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6"/>
        <w:bidi w:val="0"/>
        <w:spacing w:before="0" w:after="120"/>
        <w:jc w:val="center"/>
        <w:rPr>
          <w:sz w:val="30"/>
          <w:szCs w:val="30"/>
        </w:rPr>
      </w:pPr>
      <w:r>
        <w:rPr>
          <w:rFonts w:eastAsia="Arial" w:cs="Arial" w:ascii="Arial" w:hAnsi="Arial"/>
          <w:b/>
          <w:bCs/>
          <w:color w:val="1F3864"/>
          <w:sz w:val="30"/>
          <w:szCs w:val="30"/>
        </w:rPr>
        <w:t>Six Stages in the Incident Response Plan</w:t>
      </w:r>
    </w:p>
    <w:p>
      <w:pPr>
        <w:pStyle w:val="Normal"/>
        <w:pBdr>
          <w:bottom w:val="single" w:sz="12" w:space="20" w:color="C00000"/>
        </w:pBdr>
        <w:bidi w:val="0"/>
        <w:spacing w:before="0" w:after="400"/>
        <w:jc w:val="center"/>
        <w:rPr/>
      </w:pPr>
      <w:r>
        <w:rPr>
          <w:rFonts w:eastAsia="Arial" w:cs="Arial" w:ascii="Arial" w:hAnsi="Arial"/>
          <w:i/>
          <w:iCs/>
          <w:color w:val="2E75B6"/>
          <w:sz w:val="32"/>
          <w:szCs w:val="32"/>
        </w:rPr>
        <w:t>Research Report</w:t>
      </w:r>
    </w:p>
    <w:p>
      <w:pPr>
        <w:pStyle w:val="BodyText"/>
        <w:bidi w:val="0"/>
        <w:ind w:hanging="0" w:start="0" w:end="0"/>
        <w:jc w:val="start"/>
        <w:rPr/>
      </w:pPr>
      <w:r>
        <w:rPr>
          <w:rFonts w:eastAsia="Arial" w:cs="Arial" w:ascii="Arial" w:hAnsi="Arial"/>
          <w:b/>
          <w:bCs/>
          <w:color w:val="1F3864"/>
          <w:sz w:val="22"/>
          <w:szCs w:val="22"/>
        </w:rPr>
        <w:t>Author: Vineeth M</w:t>
      </w:r>
    </w:p>
    <w:p>
      <w:pPr>
        <w:pStyle w:val="BodyText"/>
        <w:bidi w:val="0"/>
        <w:ind w:hanging="0" w:start="0" w:end="0"/>
        <w:jc w:val="start"/>
        <w:rPr/>
      </w:pPr>
      <w:r>
        <w:rPr>
          <w:rFonts w:eastAsia="Arial" w:cs="Arial" w:ascii="Arial" w:hAnsi="Arial"/>
          <w:b/>
          <w:bCs/>
          <w:color w:val="1F3864"/>
          <w:sz w:val="22"/>
          <w:szCs w:val="22"/>
        </w:rPr>
        <w:t xml:space="preserve">Date: </w:t>
      </w:r>
      <w:r>
        <w:rPr>
          <w:rFonts w:eastAsia="Arial" w:cs="Arial" w:ascii="Arial" w:hAnsi="Arial"/>
          <w:b/>
          <w:bCs/>
          <w:color w:val="1F3864"/>
          <w:sz w:val="22"/>
          <w:szCs w:val="22"/>
        </w:rPr>
        <w:t>01</w:t>
      </w:r>
      <w:r>
        <w:rPr>
          <w:rFonts w:eastAsia="Arial" w:cs="Arial" w:ascii="Arial" w:hAnsi="Arial"/>
          <w:b/>
          <w:bCs/>
          <w:color w:val="1F3864"/>
          <w:sz w:val="22"/>
          <w:szCs w:val="22"/>
        </w:rPr>
        <w:t>-</w:t>
      </w:r>
      <w:r>
        <w:rPr>
          <w:rFonts w:eastAsia="Arial" w:cs="Arial" w:ascii="Arial" w:hAnsi="Arial"/>
          <w:b/>
          <w:bCs/>
          <w:color w:val="1F3864"/>
          <w:sz w:val="22"/>
          <w:szCs w:val="22"/>
        </w:rPr>
        <w:t>03</w:t>
      </w:r>
      <w:r>
        <w:rPr>
          <w:rFonts w:eastAsia="Arial" w:cs="Arial" w:ascii="Arial" w:hAnsi="Arial"/>
          <w:b/>
          <w:bCs/>
          <w:color w:val="1F3864"/>
          <w:sz w:val="22"/>
          <w:szCs w:val="22"/>
        </w:rPr>
        <w:t>-2026</w:t>
      </w:r>
    </w:p>
    <w:p>
      <w:pPr>
        <w:pStyle w:val="Normal"/>
        <w:bidi w:val="0"/>
        <w:jc w:val="start"/>
        <w:rPr/>
      </w:pPr>
      <w:r>
        <w:rPr/>
      </w:r>
    </w:p>
    <w:p>
      <w:pPr>
        <w:pStyle w:val="Heading2"/>
        <w:bidi w:val="0"/>
        <w:jc w:val="start"/>
        <w:rPr>
          <w:rStyle w:val="Strong"/>
        </w:rPr>
      </w:pPr>
      <w:r>
        <w:rPr/>
      </w:r>
    </w:p>
    <w:p>
      <w:pPr>
        <w:pStyle w:val="BodyText"/>
        <w:bidi w:val="0"/>
        <w:jc w:val="start"/>
        <w:rPr>
          <w:rStyle w:val="Strong"/>
        </w:rPr>
      </w:pPr>
      <w:r>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 xml:space="preserve">1. </w:t>
      </w:r>
      <w:r>
        <w:rPr>
          <w:rStyle w:val="Strong"/>
          <w:rFonts w:eastAsia="Arial" w:cs="Arial" w:ascii="Arial" w:hAnsi="Arial"/>
          <w:b/>
          <w:bCs/>
          <w:color w:val="1F3864"/>
          <w:sz w:val="24"/>
          <w:szCs w:val="24"/>
        </w:rPr>
        <w:t>What Is Incident Response?</w:t>
      </w:r>
    </w:p>
    <w:p>
      <w:pPr>
        <w:pStyle w:val="BodyText"/>
        <w:rPr/>
      </w:pPr>
      <w:r>
        <w:rPr>
          <w:rStyle w:val="Strong"/>
          <w:i/>
          <w:iCs/>
          <w:sz w:val="22"/>
          <w:szCs w:val="22"/>
        </w:rPr>
        <w:t>Incident response</w:t>
      </w:r>
      <w:r>
        <w:rPr>
          <w:i/>
          <w:iCs/>
          <w:sz w:val="22"/>
          <w:szCs w:val="22"/>
        </w:rPr>
        <w:t xml:space="preserve"> is a structured process that enables organizations to detect, manage, and respond to cybersecurity incidents in a </w:t>
      </w:r>
      <w:r>
        <w:rPr>
          <w:rStyle w:val="Strong"/>
          <w:i/>
          <w:iCs/>
          <w:sz w:val="22"/>
          <w:szCs w:val="22"/>
        </w:rPr>
        <w:t>standardized and timely manner</w:t>
      </w:r>
      <w:r>
        <w:rPr>
          <w:i/>
          <w:iCs/>
          <w:sz w:val="22"/>
          <w:szCs w:val="22"/>
        </w:rPr>
        <w:t>. It helps organizations identify attacks, limit damage, eliminate the root cause of the incident, and restore normal operations as quickly as possible.</w:t>
      </w:r>
    </w:p>
    <w:p>
      <w:pPr>
        <w:pStyle w:val="BodyText"/>
        <w:rPr/>
      </w:pPr>
      <w:r>
        <w:rPr>
          <w:i/>
          <w:iCs/>
          <w:sz w:val="22"/>
          <w:szCs w:val="22"/>
        </w:rPr>
        <w:t xml:space="preserve">A security incident refers to any event that may involve </w:t>
      </w:r>
      <w:r>
        <w:rPr>
          <w:rStyle w:val="Strong"/>
          <w:i/>
          <w:iCs/>
          <w:sz w:val="22"/>
          <w:szCs w:val="22"/>
        </w:rPr>
        <w:t>policy violations, unauthorized access, or threats to organizational data and IT systems</w:t>
      </w:r>
      <w:r>
        <w:rPr>
          <w:i/>
          <w:iCs/>
          <w:sz w:val="22"/>
          <w:szCs w:val="22"/>
        </w:rPr>
        <w:t>. Security monitoring tools generate alerts when suspicious activities occur. These alerts are analyzed and investigated to determine whether they are real security incidents requiring immediate action.</w:t>
      </w:r>
    </w:p>
    <w:p>
      <w:pPr>
        <w:pStyle w:val="BodyText"/>
        <w:rPr/>
      </w:pPr>
      <w:r>
        <w:rPr>
          <w:i/>
          <w:iCs/>
          <w:sz w:val="22"/>
          <w:szCs w:val="22"/>
        </w:rPr>
        <w:t xml:space="preserve">If incidents are not properly handled, they can escalate into serious data breaches that cause financial loss, operational disruption, and reputational damage. Therefore, an effective incident response process prepares organizations to handle different types of cyber threats efficiently. The main objectives of incident response are to </w:t>
      </w:r>
      <w:r>
        <w:rPr>
          <w:rStyle w:val="Strong"/>
          <w:i/>
          <w:iCs/>
          <w:sz w:val="22"/>
          <w:szCs w:val="22"/>
        </w:rPr>
        <w:t>reduce losses, contain threats, recover business services, and prevent future attacks by addressing exploited vulnerabilities</w:t>
      </w:r>
      <w:r>
        <w:rPr>
          <w:i/>
          <w:iCs/>
          <w:sz w:val="22"/>
          <w:szCs w:val="22"/>
        </w:rPr>
        <w:t>.</w:t>
      </w:r>
    </w:p>
    <w:p>
      <w:pPr>
        <w:pStyle w:val="Normal"/>
        <w:bidi w:val="0"/>
        <w:jc w:val="start"/>
        <w:rPr/>
      </w:pPr>
      <w:r>
        <w:rPr/>
      </w:r>
    </w:p>
    <w:p>
      <w:pPr>
        <w:pStyle w:val="Normal"/>
        <w:bidi w:val="0"/>
        <w:jc w:val="start"/>
        <w:rPr>
          <w:rStyle w:val="Strong"/>
          <w:rFonts w:ascii="Arial" w:hAnsi="Arial" w:eastAsia="Arial" w:cs="Arial"/>
          <w:color w:val="1F3864"/>
          <w:sz w:val="24"/>
          <w:szCs w:val="24"/>
        </w:rPr>
      </w:pPr>
      <w:r>
        <w:rPr/>
      </w:r>
    </w:p>
    <w:p>
      <w:pPr>
        <w:pStyle w:val="Normal"/>
        <w:bidi w:val="0"/>
        <w:jc w:val="start"/>
        <w:rPr>
          <w:rStyle w:val="Strong"/>
          <w:rFonts w:ascii="Arial" w:hAnsi="Arial" w:eastAsia="Arial" w:cs="Arial"/>
          <w:color w:val="1F3864"/>
          <w:sz w:val="24"/>
          <w:szCs w:val="24"/>
        </w:rPr>
      </w:pPr>
      <w:r>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 xml:space="preserve">2. </w:t>
      </w:r>
      <w:r>
        <w:rPr>
          <w:rStyle w:val="Strong"/>
          <w:rFonts w:eastAsia="Arial" w:cs="Arial" w:ascii="Arial" w:hAnsi="Arial"/>
          <w:b/>
          <w:bCs/>
          <w:color w:val="1F3864"/>
          <w:sz w:val="24"/>
          <w:szCs w:val="24"/>
        </w:rPr>
        <w:t>Incident Response Process Approaches</w:t>
      </w:r>
    </w:p>
    <w:p>
      <w:pPr>
        <w:pStyle w:val="BodyText"/>
        <w:rPr/>
      </w:pPr>
      <w:r>
        <w:rPr/>
      </w:r>
    </w:p>
    <w:p>
      <w:pPr>
        <w:pStyle w:val="BodyText"/>
        <w:rPr/>
      </w:pPr>
      <w:r>
        <w:rPr>
          <w:i/>
          <w:iCs/>
          <w:sz w:val="22"/>
          <w:szCs w:val="22"/>
        </w:rPr>
        <w:t xml:space="preserve">Incident response processes can differ based on the </w:t>
      </w:r>
      <w:r>
        <w:rPr>
          <w:rStyle w:val="Strong"/>
          <w:i/>
          <w:iCs/>
          <w:sz w:val="22"/>
          <w:szCs w:val="22"/>
        </w:rPr>
        <w:t>type of trigger</w:t>
      </w:r>
      <w:r>
        <w:rPr>
          <w:i/>
          <w:iCs/>
          <w:sz w:val="22"/>
          <w:szCs w:val="22"/>
        </w:rPr>
        <w:t xml:space="preserve"> that initiates the response. A trigger is the event or indication that alerts an organization to a potential security incident. Some triggers are based on </w:t>
      </w:r>
      <w:r>
        <w:rPr>
          <w:rStyle w:val="Strong"/>
          <w:i/>
          <w:iCs/>
          <w:sz w:val="22"/>
          <w:szCs w:val="22"/>
        </w:rPr>
        <w:t>direct evidence of an attack</w:t>
      </w:r>
      <w:r>
        <w:rPr>
          <w:i/>
          <w:iCs/>
          <w:sz w:val="22"/>
          <w:szCs w:val="22"/>
        </w:rPr>
        <w:t xml:space="preserve">, while others rely on </w:t>
      </w:r>
      <w:r>
        <w:rPr>
          <w:rStyle w:val="Strong"/>
          <w:i/>
          <w:iCs/>
          <w:sz w:val="22"/>
          <w:szCs w:val="22"/>
        </w:rPr>
        <w:t>early warning signs or indicators of compromise (IoCs)</w:t>
      </w:r>
      <w:r>
        <w:rPr>
          <w:i/>
          <w:iCs/>
          <w:sz w:val="22"/>
          <w:szCs w:val="22"/>
        </w:rPr>
        <w:t>.</w:t>
      </w:r>
    </w:p>
    <w:p>
      <w:pPr>
        <w:pStyle w:val="BodyText"/>
        <w:rPr>
          <w:i/>
          <w:i/>
          <w:iCs/>
          <w:sz w:val="22"/>
          <w:szCs w:val="22"/>
        </w:rPr>
      </w:pPr>
      <w:r>
        <w:rPr>
          <w:i/>
          <w:iCs/>
          <w:sz w:val="22"/>
          <w:szCs w:val="22"/>
        </w:rPr>
        <w:t>The first type of trigger reacts to attacks after their effects become noticeable, such as system slowdowns or service disruptions, which may occur during zero-day threats. The second type focuses on early detection through indirect indicators before users experience any impact. Although early detection helps prevent damage, it may also generate more false positives.</w:t>
      </w:r>
    </w:p>
    <w:p>
      <w:pPr>
        <w:pStyle w:val="BodyText"/>
        <w:rPr/>
      </w:pPr>
      <w:r>
        <w:rPr>
          <w:i/>
          <w:iCs/>
          <w:sz w:val="22"/>
          <w:szCs w:val="22"/>
        </w:rPr>
        <w:t>Based on these triggering mechanisms, incident response processes are generally categorized into three main approaches:</w:t>
      </w:r>
    </w:p>
    <w:p>
      <w:pPr>
        <w:pStyle w:val="Heading2"/>
        <w:bidi w:val="0"/>
        <w:spacing w:before="300" w:after="160"/>
        <w:jc w:val="start"/>
        <w:rPr/>
      </w:pPr>
      <w:r>
        <w:rPr>
          <w:rStyle w:val="Strong"/>
          <w:rFonts w:eastAsia="Arial" w:cs="Arial" w:ascii="Arial" w:hAnsi="Arial"/>
          <w:b/>
          <w:bCs/>
          <w:color w:val="2E75B6"/>
          <w:sz w:val="24"/>
          <w:szCs w:val="24"/>
        </w:rPr>
        <w:t>2.</w:t>
      </w:r>
      <w:r>
        <w:rPr>
          <w:rStyle w:val="Strong"/>
          <w:rFonts w:eastAsia="Arial" w:cs="Arial" w:ascii="Arial" w:hAnsi="Arial"/>
          <w:b/>
          <w:bCs/>
          <w:color w:val="2E75B6"/>
          <w:sz w:val="24"/>
          <w:szCs w:val="24"/>
        </w:rPr>
        <w:t>1 Front-Loaded Prevention</w:t>
      </w:r>
    </w:p>
    <w:p>
      <w:pPr>
        <w:pStyle w:val="BodyText"/>
        <w:rPr/>
      </w:pPr>
      <w:r>
        <w:rPr>
          <w:i/>
          <w:iCs/>
          <w:sz w:val="22"/>
          <w:szCs w:val="22"/>
        </w:rPr>
        <w:t xml:space="preserve">This approach focuses on </w:t>
      </w:r>
      <w:r>
        <w:rPr>
          <w:rStyle w:val="Strong"/>
          <w:i/>
          <w:iCs/>
          <w:sz w:val="22"/>
          <w:szCs w:val="22"/>
        </w:rPr>
        <w:t>proactive defense</w:t>
      </w:r>
      <w:r>
        <w:rPr>
          <w:i/>
          <w:iCs/>
          <w:sz w:val="22"/>
          <w:szCs w:val="22"/>
        </w:rPr>
        <w:t xml:space="preserve"> by collecting threat intelligence and monitoring indicators of compromise to stop attacks at an early stage. It helps prevent threats before they cause significant harm. However, because it relies heavily on early warnings, it often produces a higher number of false positives, which can increase operational costs. Despite this drawback, it is highly valuable for protecting critical assets.</w:t>
      </w:r>
    </w:p>
    <w:p>
      <w:pPr>
        <w:pStyle w:val="Heading3"/>
        <w:rPr/>
      </w:pPr>
      <w:r>
        <w:rPr>
          <w:rStyle w:val="Strong"/>
          <w:rFonts w:eastAsia="Arial" w:cs="Arial" w:ascii="Arial" w:hAnsi="Arial"/>
          <w:b/>
          <w:bCs/>
          <w:color w:val="2E75B6"/>
          <w:sz w:val="24"/>
          <w:szCs w:val="24"/>
        </w:rPr>
        <w:t>2.</w:t>
      </w:r>
      <w:r>
        <w:rPr>
          <w:rStyle w:val="Strong"/>
          <w:rFonts w:eastAsia="Arial" w:cs="Arial" w:ascii="Arial" w:hAnsi="Arial"/>
          <w:b/>
          <w:bCs/>
          <w:color w:val="2E75B6"/>
          <w:sz w:val="24"/>
          <w:szCs w:val="24"/>
        </w:rPr>
        <w:t>2 Back-Loaded Recovery</w:t>
      </w:r>
    </w:p>
    <w:p>
      <w:pPr>
        <w:pStyle w:val="BodyText"/>
        <w:rPr/>
      </w:pPr>
      <w:r>
        <w:rPr>
          <w:i/>
          <w:iCs/>
          <w:sz w:val="22"/>
          <w:szCs w:val="22"/>
        </w:rPr>
        <w:t xml:space="preserve">This approach responds to </w:t>
      </w:r>
      <w:r>
        <w:rPr>
          <w:rStyle w:val="Strong"/>
          <w:i/>
          <w:iCs/>
          <w:sz w:val="22"/>
          <w:szCs w:val="22"/>
        </w:rPr>
        <w:t>visible or confirmed incidents</w:t>
      </w:r>
      <w:r>
        <w:rPr>
          <w:i/>
          <w:iCs/>
          <w:sz w:val="22"/>
          <w:szCs w:val="22"/>
        </w:rPr>
        <w:t xml:space="preserve"> that have already occurred. By focusing on verified threats, it reduces false positives and avoids unnecessary responses. However, since action is taken after an attack succeeds, it cannot prevent initial damage and is therefore unsuitable for critical systems or high-risk environments.</w:t>
      </w:r>
    </w:p>
    <w:p>
      <w:pPr>
        <w:pStyle w:val="Heading3"/>
        <w:rPr/>
      </w:pPr>
      <w:r>
        <w:rPr>
          <w:rStyle w:val="Strong"/>
          <w:rFonts w:eastAsia="Arial" w:cs="Arial" w:ascii="Arial" w:hAnsi="Arial"/>
          <w:b/>
          <w:bCs/>
          <w:color w:val="2E75B6"/>
          <w:sz w:val="24"/>
          <w:szCs w:val="24"/>
        </w:rPr>
        <w:t>2.</w:t>
      </w:r>
      <w:r>
        <w:rPr>
          <w:rStyle w:val="Strong"/>
          <w:rFonts w:eastAsia="Arial" w:cs="Arial" w:ascii="Arial" w:hAnsi="Arial"/>
          <w:b/>
          <w:bCs/>
          <w:color w:val="2E75B6"/>
          <w:sz w:val="24"/>
          <w:szCs w:val="24"/>
        </w:rPr>
        <w:t>3 Hybrid Incident Response</w:t>
      </w:r>
    </w:p>
    <w:p>
      <w:pPr>
        <w:pStyle w:val="BodyText"/>
        <w:rPr>
          <w:i/>
          <w:i/>
          <w:iCs/>
          <w:sz w:val="22"/>
          <w:szCs w:val="22"/>
        </w:rPr>
      </w:pPr>
      <w:r>
        <w:rPr>
          <w:i/>
          <w:iCs/>
          <w:sz w:val="22"/>
          <w:szCs w:val="22"/>
        </w:rPr>
        <w:t>The hybrid approach combines both preventive and reactive strategies. It uses early detection to identify potential threats while also maintaining strong response capabilities for confirmed incidents. This provides a more comprehensive security strategy but requires greater investment in tools, time, and skilled personnel. Typically, prevention mechanisms are prioritized for critical systems, while reactive responses are applied to less critical components.</w:t>
      </w:r>
    </w:p>
    <w:p>
      <w:pPr>
        <w:pStyle w:val="Normal"/>
        <w:bidi w:val="0"/>
        <w:jc w:val="start"/>
        <w:rPr>
          <w:i/>
          <w:i/>
          <w:iCs/>
          <w:sz w:val="22"/>
          <w:szCs w:val="22"/>
        </w:rPr>
      </w:pPr>
      <w:r>
        <w:rPr>
          <w:i/>
          <w:iCs/>
          <w:sz w:val="22"/>
          <w:szCs w:val="22"/>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 xml:space="preserve">3. </w:t>
      </w:r>
      <w:r>
        <w:rPr>
          <w:rStyle w:val="Strong"/>
          <w:rFonts w:eastAsia="Arial" w:cs="Arial" w:ascii="Arial" w:hAnsi="Arial"/>
          <w:b/>
          <w:bCs/>
          <w:color w:val="1F3864"/>
          <w:sz w:val="24"/>
          <w:szCs w:val="24"/>
        </w:rPr>
        <w:t>The Incident Response Process</w:t>
      </w:r>
    </w:p>
    <w:p>
      <w:pPr>
        <w:pStyle w:val="Normal"/>
        <w:bidi w:val="0"/>
        <w:jc w:val="start"/>
        <w:rPr/>
      </w:pPr>
      <w:r>
        <w:rPr/>
      </w:r>
    </w:p>
    <w:p>
      <w:pPr>
        <w:pStyle w:val="Heading2"/>
        <w:bidi w:val="0"/>
        <w:spacing w:before="300" w:after="160"/>
        <w:jc w:val="start"/>
        <w:rPr/>
      </w:pPr>
      <w:r>
        <w:rPr>
          <w:rStyle w:val="Strong"/>
          <w:rFonts w:eastAsia="Arial" w:cs="Arial" w:ascii="Arial" w:hAnsi="Arial"/>
          <w:b/>
          <w:bCs/>
          <w:color w:val="2E75B6"/>
          <w:sz w:val="24"/>
          <w:szCs w:val="24"/>
        </w:rPr>
        <w:t>1. Preparation</w:t>
      </w:r>
    </w:p>
    <w:p>
      <w:pPr>
        <w:pStyle w:val="BodyText"/>
        <w:rPr>
          <w:i/>
          <w:i/>
          <w:iCs/>
          <w:sz w:val="22"/>
          <w:szCs w:val="22"/>
        </w:rPr>
      </w:pPr>
      <w:r>
        <w:rPr>
          <w:i/>
          <w:iCs/>
          <w:sz w:val="22"/>
          <w:szCs w:val="22"/>
        </w:rPr>
        <w:t>In the case of a cyber attack, the incident response team needs to be fully prepared. Organizations need step-by-step guidance to define how incident response teams will handle incidents, including internal and external communications and incident documentation.</w:t>
      </w:r>
    </w:p>
    <w:p>
      <w:pPr>
        <w:pStyle w:val="Heading2"/>
        <w:bidi w:val="0"/>
        <w:spacing w:before="300" w:after="160"/>
        <w:jc w:val="start"/>
        <w:rPr/>
      </w:pPr>
      <w:r>
        <w:rPr>
          <w:rStyle w:val="Strong"/>
          <w:rFonts w:eastAsia="Arial" w:cs="Arial" w:ascii="Arial" w:hAnsi="Arial"/>
          <w:b/>
          <w:bCs/>
          <w:color w:val="2E75B6"/>
          <w:sz w:val="24"/>
          <w:szCs w:val="24"/>
        </w:rPr>
        <w:t>2. Identification</w:t>
      </w:r>
    </w:p>
    <w:p>
      <w:pPr>
        <w:pStyle w:val="BodyText"/>
        <w:rPr>
          <w:i/>
          <w:i/>
          <w:iCs/>
          <w:sz w:val="22"/>
          <w:szCs w:val="22"/>
        </w:rPr>
      </w:pPr>
      <w:r>
        <w:rPr>
          <w:i/>
          <w:iCs/>
          <w:sz w:val="22"/>
          <w:szCs w:val="22"/>
        </w:rPr>
        <w:t>Identification is the detection of malicious activity. This can be based on security and monitoring tools, publicly available threat information, or insider information. An important part of identification is to collect and analyze as much data as possible about malicious activity.</w:t>
      </w:r>
    </w:p>
    <w:p>
      <w:pPr>
        <w:pStyle w:val="BodyText"/>
        <w:rPr>
          <w:i/>
          <w:i/>
          <w:iCs/>
          <w:sz w:val="22"/>
          <w:szCs w:val="22"/>
        </w:rPr>
      </w:pPr>
      <w:r>
        <w:rPr>
          <w:i/>
          <w:iCs/>
          <w:sz w:val="22"/>
          <w:szCs w:val="22"/>
        </w:rPr>
        <w:t>Incident response teams must distinguish between benign activity and true malicious behavior. This requires a major effort in reviewing security alerts and determining whether alerts are “false positives” — not real security incidents — or “true positives,” which indicate malicious activity.</w:t>
      </w:r>
    </w:p>
    <w:p>
      <w:pPr>
        <w:pStyle w:val="BodyText"/>
        <w:rPr/>
      </w:pPr>
      <w:r>
        <w:rPr/>
      </w:r>
    </w:p>
    <w:p>
      <w:pPr>
        <w:pStyle w:val="Heading2"/>
        <w:bidi w:val="0"/>
        <w:spacing w:before="300" w:after="160"/>
        <w:jc w:val="start"/>
        <w:rPr/>
      </w:pPr>
      <w:r>
        <w:rPr>
          <w:rStyle w:val="Strong"/>
          <w:rFonts w:eastAsia="Arial" w:cs="Arial" w:ascii="Arial" w:hAnsi="Arial"/>
          <w:b/>
          <w:bCs/>
          <w:color w:val="2E75B6"/>
          <w:sz w:val="24"/>
          <w:szCs w:val="24"/>
        </w:rPr>
        <w:t>3. Containment</w:t>
      </w:r>
    </w:p>
    <w:p>
      <w:pPr>
        <w:pStyle w:val="BodyText"/>
        <w:rPr>
          <w:i/>
          <w:i/>
          <w:iCs/>
          <w:sz w:val="22"/>
          <w:szCs w:val="22"/>
        </w:rPr>
      </w:pPr>
      <w:r>
        <w:rPr>
          <w:i/>
          <w:iCs/>
          <w:sz w:val="22"/>
          <w:szCs w:val="22"/>
        </w:rPr>
        <w:t>Containment is an attempt to stop the threat from spreading in the environment and doing more damage. There are two types of containment:</w:t>
      </w:r>
    </w:p>
    <w:p>
      <w:pPr>
        <w:pStyle w:val="BodyText"/>
        <w:numPr>
          <w:ilvl w:val="0"/>
          <w:numId w:val="1"/>
        </w:numPr>
        <w:tabs>
          <w:tab w:val="clear" w:pos="709"/>
          <w:tab w:val="left" w:pos="0" w:leader="none"/>
        </w:tabs>
        <w:spacing w:before="0" w:after="0"/>
        <w:ind w:hanging="283" w:start="709"/>
        <w:rPr/>
      </w:pPr>
      <w:r>
        <w:rPr>
          <w:rStyle w:val="Strong"/>
          <w:i/>
          <w:iCs/>
          <w:sz w:val="22"/>
          <w:szCs w:val="22"/>
        </w:rPr>
        <w:t>Short-term containment</w:t>
      </w:r>
      <w:r>
        <w:rPr>
          <w:i/>
          <w:iCs/>
          <w:sz w:val="22"/>
          <w:szCs w:val="22"/>
        </w:rPr>
        <w:t>—immediate action to prevent the threat from spreading. For example, quarantining an application or isolating a system from the network.</w:t>
      </w:r>
    </w:p>
    <w:p>
      <w:pPr>
        <w:pStyle w:val="BodyText"/>
        <w:numPr>
          <w:ilvl w:val="0"/>
          <w:numId w:val="1"/>
        </w:numPr>
        <w:tabs>
          <w:tab w:val="clear" w:pos="709"/>
          <w:tab w:val="left" w:pos="0" w:leader="none"/>
        </w:tabs>
        <w:ind w:hanging="283" w:start="709"/>
        <w:rPr/>
      </w:pPr>
      <w:r>
        <w:rPr>
          <w:rStyle w:val="Strong"/>
          <w:i/>
          <w:iCs/>
          <w:sz w:val="22"/>
          <w:szCs w:val="22"/>
        </w:rPr>
        <w:t>Long-term containment</w:t>
      </w:r>
      <w:r>
        <w:rPr>
          <w:i/>
          <w:iCs/>
          <w:sz w:val="22"/>
          <w:szCs w:val="22"/>
        </w:rPr>
        <w:t>—restores systems to production in a clean state before the threat was introduced.</w:t>
      </w:r>
    </w:p>
    <w:p>
      <w:pPr>
        <w:pStyle w:val="BodyText"/>
        <w:numPr>
          <w:ilvl w:val="0"/>
          <w:numId w:val="0"/>
        </w:numPr>
        <w:ind w:hanging="0" w:start="0"/>
        <w:rPr>
          <w:rFonts w:ascii="Arial" w:hAnsi="Arial" w:eastAsia="Arial" w:cs="Arial"/>
          <w:b/>
          <w:bCs/>
          <w:i/>
          <w:i/>
          <w:iCs/>
          <w:color w:val="1F3864"/>
          <w:sz w:val="24"/>
          <w:szCs w:val="24"/>
        </w:rPr>
      </w:pPr>
      <w:r>
        <w:rPr/>
      </w:r>
    </w:p>
    <w:p>
      <w:pPr>
        <w:pStyle w:val="Heading2"/>
        <w:bidi w:val="0"/>
        <w:spacing w:before="300" w:after="160"/>
        <w:jc w:val="start"/>
        <w:rPr/>
      </w:pPr>
      <w:r>
        <w:rPr>
          <w:rStyle w:val="Strong"/>
          <w:rFonts w:eastAsia="Arial" w:cs="Arial" w:ascii="Arial" w:hAnsi="Arial"/>
          <w:b/>
          <w:bCs/>
          <w:color w:val="2E75B6"/>
          <w:sz w:val="24"/>
          <w:szCs w:val="24"/>
        </w:rPr>
        <w:t>4. Eradication</w:t>
      </w:r>
    </w:p>
    <w:p>
      <w:pPr>
        <w:pStyle w:val="BodyText"/>
        <w:rPr>
          <w:i/>
          <w:i/>
          <w:iCs/>
          <w:sz w:val="22"/>
          <w:szCs w:val="22"/>
        </w:rPr>
      </w:pPr>
      <w:r>
        <w:rPr>
          <w:i/>
          <w:iCs/>
          <w:sz w:val="22"/>
          <w:szCs w:val="22"/>
        </w:rPr>
        <w:t>This process includes identifying the point of intrusion, assessing the attack surface, and removing any remaining backdoor access. At this stage, the incident response team neutralizes any remaining attacks. As part of this step, the team determines the root cause of the incident, to understand how to prevent similar attacks.</w:t>
      </w:r>
    </w:p>
    <w:p>
      <w:pPr>
        <w:pStyle w:val="Heading2"/>
        <w:bidi w:val="0"/>
        <w:spacing w:before="300" w:after="160"/>
        <w:jc w:val="start"/>
        <w:rPr/>
      </w:pPr>
      <w:r>
        <w:rPr>
          <w:rStyle w:val="Strong"/>
          <w:rFonts w:eastAsia="Arial" w:cs="Arial" w:ascii="Arial" w:hAnsi="Arial"/>
          <w:b/>
          <w:bCs/>
          <w:color w:val="2E75B6"/>
          <w:sz w:val="24"/>
          <w:szCs w:val="24"/>
        </w:rPr>
        <w:t>5. Recovery</w:t>
      </w:r>
    </w:p>
    <w:p>
      <w:pPr>
        <w:pStyle w:val="BodyText"/>
        <w:rPr>
          <w:i/>
          <w:i/>
          <w:iCs/>
          <w:sz w:val="22"/>
          <w:szCs w:val="22"/>
        </w:rPr>
      </w:pPr>
      <w:r>
        <w:rPr>
          <w:i/>
          <w:iCs/>
          <w:sz w:val="22"/>
          <w:szCs w:val="22"/>
        </w:rPr>
        <w:t>At this stage, the incident response team returns systems to normal operation. Compromised accounts are given new, more secure passwords, or replaced with a more secure access method. Vulnerabilities are remediated, functionality is tested, and normal operations resume.</w:t>
      </w:r>
    </w:p>
    <w:p>
      <w:pPr>
        <w:pStyle w:val="Heading2"/>
        <w:bidi w:val="0"/>
        <w:spacing w:before="300" w:after="160"/>
        <w:jc w:val="start"/>
        <w:rPr/>
      </w:pPr>
      <w:r>
        <w:rPr>
          <w:rStyle w:val="Strong"/>
          <w:rFonts w:eastAsia="Arial" w:cs="Arial" w:ascii="Arial" w:hAnsi="Arial"/>
          <w:b/>
          <w:bCs/>
          <w:color w:val="2E75B6"/>
          <w:sz w:val="24"/>
          <w:szCs w:val="24"/>
        </w:rPr>
        <w:t>6. Lessons Learned</w:t>
      </w:r>
    </w:p>
    <w:p>
      <w:pPr>
        <w:pStyle w:val="BodyText"/>
        <w:rPr>
          <w:i/>
          <w:i/>
          <w:iCs/>
          <w:sz w:val="22"/>
          <w:szCs w:val="22"/>
        </w:rPr>
      </w:pPr>
      <w:r>
        <w:rPr>
          <w:i/>
          <w:iCs/>
          <w:sz w:val="22"/>
          <w:szCs w:val="22"/>
        </w:rPr>
        <w:t>There are lessons to learn from any cybersecurity incident, both at the process level, and because threats are constantly changing and evolving. Learning from experience and pinpointing what went wrong is an important step in improving your ongoing incident response plan. It is a good practice to perform a post-mortem meeting with the entire team to provide feedback on what worked and what didn’t, and raise suggestions for process improvement.</w:t>
      </w:r>
    </w:p>
    <w:p>
      <w:pPr>
        <w:pStyle w:val="Normal"/>
        <w:bidi w:val="0"/>
        <w:jc w:val="start"/>
        <w:rPr>
          <w:sz w:val="22"/>
          <w:szCs w:val="22"/>
        </w:rPr>
      </w:pPr>
      <w:r>
        <w:rPr>
          <w:sz w:val="22"/>
          <w:szCs w:val="22"/>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spacing w:before="300" w:after="160"/>
        <w:jc w:val="start"/>
        <w:rPr/>
      </w:pPr>
      <w:r>
        <w:rPr>
          <w:rStyle w:val="Strong"/>
          <w:rFonts w:eastAsia="Arial" w:cs="Arial" w:ascii="Arial" w:hAnsi="Arial"/>
          <w:b/>
          <w:bCs/>
          <w:color w:val="2E75B6"/>
          <w:sz w:val="24"/>
          <w:szCs w:val="24"/>
        </w:rPr>
        <w:b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spacing w:before="200" w:after="12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roman"/>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LibreOffice/24.2.7.2$Linux_X86_64 LibreOffice_project/420$Build-2</Application>
  <AppVersion>15.0000</AppVersion>
  <Pages>4</Pages>
  <Words>839</Words>
  <Characters>5016</Characters>
  <CharactersWithSpaces>5819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2026-02-28T17:49:09Z</dcterms:created>
  <dc:creator/>
  <dc:description/>
  <dc:language>en-US</dc:language>
  <cp:lastModifiedBy/>
  <dcterms:modified xsi:type="dcterms:W3CDTF">2026-03-01T12:05:36Z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