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bookmarkStart w:id="0" w:name="how-yara-rules-work"/>
      <w:bookmarkStart w:id="1" w:name="hs_cos_wrapper_post_body_Copy_1"/>
      <w:bookmarkEnd w:id="0"/>
      <w:bookmarkEnd w:id="1"/>
      <w:r>
        <w:rPr/>
        <w:t>YARA Rules</w:t>
      </w:r>
    </w:p>
    <w:p>
      <w:pPr>
        <w:pStyle w:val="BodyText"/>
        <w:bidi w:val="0"/>
        <w:jc w:val="start"/>
        <w:rPr/>
      </w:pPr>
      <w:r>
        <w:rPr/>
      </w:r>
    </w:p>
    <w:p>
      <w:pPr>
        <w:pStyle w:val="BodyText"/>
        <w:bidi w:val="0"/>
        <w:jc w:val="start"/>
        <w:rPr/>
      </w:pPr>
      <w:r>
        <w:rPr/>
      </w:r>
    </w:p>
    <w:p>
      <w:pPr>
        <w:pStyle w:val="BodyText"/>
        <w:bidi w:val="0"/>
        <w:jc w:val="start"/>
        <w:rPr>
          <w:b w:val="false"/>
          <w:bCs w:val="false"/>
          <w:sz w:val="30"/>
          <w:szCs w:val="30"/>
        </w:rPr>
      </w:pPr>
      <w:r>
        <w:rPr>
          <w:sz w:val="22"/>
          <w:szCs w:val="22"/>
          <w:lang w:val="en-US"/>
        </w:rPr>
        <w:t>YARA rules are a powerful tool in cybersecurity, designed to help security professionals detect and classify malware by describing patterns of malicious files. Originally developed by Victor Alvarez, YARA stands for Yet Another Recursive Acronym, and today it has become a staple in malware research, digital forensics, and threat hunting.</w:t>
      </w:r>
    </w:p>
    <w:p>
      <w:pPr>
        <w:pStyle w:val="BodyText"/>
        <w:bidi w:val="0"/>
        <w:jc w:val="start"/>
        <w:rPr>
          <w:sz w:val="22"/>
          <w:szCs w:val="22"/>
        </w:rPr>
      </w:pPr>
      <w:r>
        <w:rPr>
          <w:sz w:val="22"/>
          <w:szCs w:val="22"/>
        </w:rPr>
        <w:t>At their core, YARA rules are text-based patterns that allow analysts to search for specific strings, sequences, or characteristics inside files or processes. Each rule defines a set of conditions that, when met, indicate a match. This makes them especially useful for identifying malware families, detecting variants, and documenting unique behaviors. </w:t>
      </w:r>
    </w:p>
    <w:p>
      <w:pPr>
        <w:pStyle w:val="BodyText"/>
        <w:bidi w:val="0"/>
        <w:jc w:val="start"/>
        <w:rPr>
          <w:sz w:val="22"/>
          <w:szCs w:val="22"/>
        </w:rPr>
      </w:pPr>
      <w:r>
        <w:rPr>
          <w:sz w:val="22"/>
          <w:szCs w:val="22"/>
        </w:rPr>
        <w:t>A YARA rule typically consists of YARA elements such as metadata, strings, and conditions. Security teams can use them to scan large datasets quickly, ensuring that malicious content is caught before it spreads. The flexibility of YARA rules means they can be applied across multiple platforms, from endpoint security to memory forensics and sandboxing. </w:t>
      </w:r>
    </w:p>
    <w:p>
      <w:pPr>
        <w:pStyle w:val="Normal"/>
        <w:bidi w:val="0"/>
        <w:jc w:val="start"/>
        <w:rPr>
          <w:b w:val="false"/>
          <w:bCs w:val="false"/>
          <w:sz w:val="30"/>
          <w:szCs w:val="30"/>
        </w:rPr>
      </w:pPr>
      <w:r>
        <w:rPr>
          <w:b w:val="false"/>
          <w:bCs w:val="false"/>
          <w:sz w:val="30"/>
          <w:szCs w:val="30"/>
        </w:rPr>
      </w:r>
    </w:p>
    <w:p>
      <w:pPr>
        <w:pStyle w:val="Normal"/>
        <w:bidi w:val="0"/>
        <w:jc w:val="start"/>
        <w:rPr/>
      </w:pPr>
      <w:r>
        <w:rPr/>
      </w:r>
    </w:p>
    <w:p>
      <w:pPr>
        <w:pStyle w:val="Normal"/>
        <w:bidi w:val="0"/>
        <w:jc w:val="start"/>
        <w:rPr/>
      </w:pPr>
      <w:r>
        <w:rPr/>
      </w:r>
    </w:p>
    <w:p>
      <w:pPr>
        <w:pStyle w:val="Heading2"/>
        <w:bidi w:val="0"/>
        <w:jc w:val="start"/>
        <w:rPr/>
      </w:pPr>
      <w:bookmarkStart w:id="2" w:name="why-yara-rules-matter"/>
      <w:bookmarkEnd w:id="2"/>
      <w:r>
        <w:rPr/>
        <w:t xml:space="preserve">Why YARA Rules Matter </w:t>
      </w:r>
    </w:p>
    <w:p>
      <w:pPr>
        <w:pStyle w:val="BodyText"/>
        <w:bidi w:val="0"/>
        <w:jc w:val="start"/>
        <w:rPr>
          <w:sz w:val="22"/>
          <w:szCs w:val="22"/>
        </w:rPr>
      </w:pPr>
      <w:r>
        <w:rPr>
          <w:sz w:val="22"/>
          <w:szCs w:val="22"/>
        </w:rPr>
        <w:t>YARA rules are critical in the fight against modern cyber threats because they: </w:t>
      </w:r>
    </w:p>
    <w:p>
      <w:pPr>
        <w:pStyle w:val="BodyText"/>
        <w:numPr>
          <w:ilvl w:val="0"/>
          <w:numId w:val="1"/>
        </w:numPr>
        <w:tabs>
          <w:tab w:val="left" w:pos="709" w:leader="none"/>
        </w:tabs>
        <w:bidi w:val="0"/>
        <w:spacing w:before="0" w:after="0"/>
        <w:ind w:hanging="283" w:start="709"/>
        <w:jc w:val="start"/>
        <w:rPr>
          <w:sz w:val="22"/>
          <w:szCs w:val="22"/>
        </w:rPr>
      </w:pPr>
      <w:r>
        <w:rPr>
          <w:b/>
          <w:sz w:val="22"/>
          <w:szCs w:val="22"/>
        </w:rPr>
        <w:t>Detect Variants</w:t>
      </w:r>
      <w:r>
        <w:rPr>
          <w:sz w:val="22"/>
          <w:szCs w:val="22"/>
        </w:rPr>
        <w:t>: Malware authors often release modified versions of existing malware. YARA rules help detect these variants by focusing on underlying patterns rather than just file hashes. </w:t>
      </w:r>
    </w:p>
    <w:p>
      <w:pPr>
        <w:pStyle w:val="BodyText"/>
        <w:numPr>
          <w:ilvl w:val="0"/>
          <w:numId w:val="1"/>
        </w:numPr>
        <w:tabs>
          <w:tab w:val="left" w:pos="709" w:leader="none"/>
        </w:tabs>
        <w:bidi w:val="0"/>
        <w:spacing w:before="0" w:after="0"/>
        <w:ind w:hanging="283" w:start="709"/>
        <w:jc w:val="start"/>
        <w:rPr>
          <w:sz w:val="22"/>
          <w:szCs w:val="22"/>
        </w:rPr>
      </w:pPr>
      <w:r>
        <w:rPr>
          <w:b/>
          <w:sz w:val="22"/>
          <w:szCs w:val="22"/>
        </w:rPr>
        <w:t>Support Threat Hunting</w:t>
      </w:r>
      <w:r>
        <w:rPr>
          <w:sz w:val="22"/>
          <w:szCs w:val="22"/>
        </w:rPr>
        <w:t>: Analysts can proactively search across systems using YARA rules to find traces of advanced attacks. </w:t>
      </w:r>
    </w:p>
    <w:p>
      <w:pPr>
        <w:pStyle w:val="BodyText"/>
        <w:numPr>
          <w:ilvl w:val="0"/>
          <w:numId w:val="1"/>
        </w:numPr>
        <w:tabs>
          <w:tab w:val="left" w:pos="709" w:leader="none"/>
        </w:tabs>
        <w:bidi w:val="0"/>
        <w:spacing w:before="0" w:after="0"/>
        <w:ind w:hanging="283" w:start="709"/>
        <w:jc w:val="start"/>
        <w:rPr>
          <w:sz w:val="22"/>
          <w:szCs w:val="22"/>
        </w:rPr>
      </w:pPr>
      <w:r>
        <w:rPr>
          <w:b/>
          <w:sz w:val="22"/>
          <w:szCs w:val="22"/>
        </w:rPr>
        <w:t>Enable Forensic Analysis</w:t>
      </w:r>
      <w:r>
        <w:rPr>
          <w:sz w:val="22"/>
          <w:szCs w:val="22"/>
        </w:rPr>
        <w:t>: YARA rules speed up investigations by identifying malicious files during forensic scans. </w:t>
      </w:r>
    </w:p>
    <w:p>
      <w:pPr>
        <w:pStyle w:val="BodyText"/>
        <w:numPr>
          <w:ilvl w:val="0"/>
          <w:numId w:val="1"/>
        </w:numPr>
        <w:tabs>
          <w:tab w:val="left" w:pos="709" w:leader="none"/>
        </w:tabs>
        <w:bidi w:val="0"/>
        <w:ind w:hanging="283" w:start="709"/>
        <w:jc w:val="start"/>
        <w:rPr>
          <w:sz w:val="22"/>
          <w:szCs w:val="22"/>
        </w:rPr>
      </w:pPr>
      <w:r>
        <w:rPr>
          <w:b/>
          <w:sz w:val="22"/>
          <w:szCs w:val="22"/>
        </w:rPr>
        <w:t>Reduce False Negatives</w:t>
      </w:r>
      <w:r>
        <w:rPr>
          <w:sz w:val="22"/>
          <w:szCs w:val="22"/>
        </w:rPr>
        <w:t>: Combining different detection methods with cybersecurity YARA improves accuracy. </w:t>
      </w:r>
    </w:p>
    <w:p>
      <w:pPr>
        <w:pStyle w:val="BodyText"/>
        <w:bidi w:val="0"/>
        <w:jc w:val="start"/>
        <w:rPr>
          <w:sz w:val="22"/>
          <w:szCs w:val="22"/>
        </w:rPr>
      </w:pPr>
      <w:r>
        <w:rPr>
          <w:sz w:val="22"/>
          <w:szCs w:val="22"/>
        </w:rPr>
        <w:t>What this really means is that YARA rules allow organizations to stay ahead of evolving threats and create consistent, repeatable detection strategies. </w:t>
      </w:r>
    </w:p>
    <w:p>
      <w:pPr>
        <w:pStyle w:val="Normal"/>
        <w:bidi w:val="0"/>
        <w:jc w:val="start"/>
        <w:rPr/>
      </w:pPr>
      <w:r>
        <w:rPr/>
      </w:r>
    </w:p>
    <w:p>
      <w:pPr>
        <w:pStyle w:val="Normal"/>
        <w:bidi w:val="0"/>
        <w:jc w:val="start"/>
        <w:rPr/>
      </w:pPr>
      <w:r>
        <w:rPr/>
      </w:r>
    </w:p>
    <w:p>
      <w:pPr>
        <w:pStyle w:val="Heading2"/>
        <w:bidi w:val="0"/>
        <w:jc w:val="start"/>
        <w:rPr>
          <w:sz w:val="22"/>
          <w:szCs w:val="22"/>
        </w:rPr>
      </w:pPr>
      <w:bookmarkStart w:id="3" w:name="yara-elements"/>
      <w:bookmarkEnd w:id="3"/>
      <w:r>
        <w:rPr/>
        <w:t xml:space="preserve">YARA Elements </w:t>
      </w:r>
    </w:p>
    <w:p>
      <w:pPr>
        <w:pStyle w:val="BodyText"/>
        <w:bidi w:val="0"/>
        <w:jc w:val="start"/>
        <w:rPr>
          <w:sz w:val="22"/>
          <w:szCs w:val="22"/>
        </w:rPr>
      </w:pPr>
      <w:r>
        <w:rPr>
          <w:sz w:val="22"/>
          <w:szCs w:val="22"/>
        </w:rPr>
        <w:t>Every YARA rule follows a standard format made up of several YARA elements: </w:t>
      </w:r>
    </w:p>
    <w:p>
      <w:pPr>
        <w:pStyle w:val="BodyText"/>
        <w:numPr>
          <w:ilvl w:val="0"/>
          <w:numId w:val="2"/>
        </w:numPr>
        <w:tabs>
          <w:tab w:val="left" w:pos="709" w:leader="none"/>
        </w:tabs>
        <w:bidi w:val="0"/>
        <w:spacing w:before="0" w:after="0"/>
        <w:ind w:hanging="283" w:start="709"/>
        <w:jc w:val="start"/>
        <w:rPr>
          <w:sz w:val="22"/>
          <w:szCs w:val="22"/>
        </w:rPr>
      </w:pPr>
      <w:r>
        <w:rPr>
          <w:b/>
          <w:sz w:val="22"/>
          <w:szCs w:val="22"/>
        </w:rPr>
        <w:t>Rule Name &amp; Tags</w:t>
      </w:r>
      <w:r>
        <w:rPr>
          <w:sz w:val="22"/>
          <w:szCs w:val="22"/>
        </w:rPr>
        <w:t xml:space="preserve"> – Human-friendly identifiers that help classify the rule. </w:t>
      </w:r>
    </w:p>
    <w:p>
      <w:pPr>
        <w:pStyle w:val="BodyText"/>
        <w:numPr>
          <w:ilvl w:val="0"/>
          <w:numId w:val="2"/>
        </w:numPr>
        <w:tabs>
          <w:tab w:val="left" w:pos="709" w:leader="none"/>
        </w:tabs>
        <w:bidi w:val="0"/>
        <w:spacing w:before="0" w:after="0"/>
        <w:ind w:hanging="283" w:start="709"/>
        <w:jc w:val="start"/>
        <w:rPr>
          <w:sz w:val="22"/>
          <w:szCs w:val="22"/>
        </w:rPr>
      </w:pPr>
      <w:r>
        <w:rPr>
          <w:b/>
          <w:sz w:val="22"/>
          <w:szCs w:val="22"/>
        </w:rPr>
        <w:t>Metadata Section</w:t>
      </w:r>
      <w:r>
        <w:rPr>
          <w:sz w:val="22"/>
          <w:szCs w:val="22"/>
        </w:rPr>
        <w:t xml:space="preserve"> – Information like author, description, and reference notes. </w:t>
      </w:r>
    </w:p>
    <w:p>
      <w:pPr>
        <w:pStyle w:val="BodyText"/>
        <w:numPr>
          <w:ilvl w:val="0"/>
          <w:numId w:val="2"/>
        </w:numPr>
        <w:tabs>
          <w:tab w:val="left" w:pos="709" w:leader="none"/>
        </w:tabs>
        <w:bidi w:val="0"/>
        <w:spacing w:before="0" w:after="0"/>
        <w:ind w:hanging="283" w:start="709"/>
        <w:jc w:val="start"/>
        <w:rPr>
          <w:sz w:val="22"/>
          <w:szCs w:val="22"/>
        </w:rPr>
      </w:pPr>
      <w:r>
        <w:rPr>
          <w:b/>
          <w:sz w:val="22"/>
          <w:szCs w:val="22"/>
        </w:rPr>
        <w:t>Strings Section</w:t>
      </w:r>
      <w:r>
        <w:rPr>
          <w:sz w:val="22"/>
          <w:szCs w:val="22"/>
        </w:rPr>
        <w:t xml:space="preserve"> – Defines text, hex, or regex patterns that the rule will search for. </w:t>
      </w:r>
    </w:p>
    <w:p>
      <w:pPr>
        <w:pStyle w:val="BodyText"/>
        <w:numPr>
          <w:ilvl w:val="0"/>
          <w:numId w:val="2"/>
        </w:numPr>
        <w:tabs>
          <w:tab w:val="left" w:pos="709" w:leader="none"/>
        </w:tabs>
        <w:bidi w:val="0"/>
        <w:spacing w:before="0" w:after="0"/>
        <w:ind w:hanging="283" w:start="709"/>
        <w:jc w:val="start"/>
        <w:rPr>
          <w:sz w:val="22"/>
          <w:szCs w:val="22"/>
        </w:rPr>
      </w:pPr>
      <w:r>
        <w:rPr>
          <w:b/>
          <w:sz w:val="22"/>
          <w:szCs w:val="22"/>
        </w:rPr>
        <w:t>Condition Section</w:t>
      </w:r>
      <w:r>
        <w:rPr>
          <w:sz w:val="22"/>
          <w:szCs w:val="22"/>
        </w:rPr>
        <w:t xml:space="preserve"> – Logical expressions that specify how strings and modules combine to trigger a match. </w:t>
      </w:r>
    </w:p>
    <w:p>
      <w:pPr>
        <w:pStyle w:val="BodyText"/>
        <w:numPr>
          <w:ilvl w:val="0"/>
          <w:numId w:val="2"/>
        </w:numPr>
        <w:tabs>
          <w:tab w:val="left" w:pos="709" w:leader="none"/>
        </w:tabs>
        <w:bidi w:val="0"/>
        <w:ind w:hanging="283" w:start="709"/>
        <w:jc w:val="start"/>
        <w:rPr>
          <w:sz w:val="22"/>
          <w:szCs w:val="22"/>
        </w:rPr>
      </w:pPr>
      <w:r>
        <w:rPr>
          <w:b/>
          <w:sz w:val="22"/>
          <w:szCs w:val="22"/>
        </w:rPr>
        <w:t>Optional Modules</w:t>
      </w:r>
      <w:r>
        <w:rPr>
          <w:sz w:val="22"/>
          <w:szCs w:val="22"/>
        </w:rPr>
        <w:t xml:space="preserve"> – Prebuilt modules (e.g., PE, ELF, Cuckoo) extend functionality for specific file formats. </w:t>
      </w:r>
    </w:p>
    <w:p>
      <w:pPr>
        <w:pStyle w:val="Normal"/>
        <w:bidi w:val="0"/>
        <w:jc w:val="start"/>
        <w:rPr>
          <w:b/>
          <w:bCs/>
        </w:rPr>
      </w:pPr>
      <w:r>
        <w:rPr>
          <w:b/>
          <w:bCs/>
        </w:rPr>
        <w:t>Main String Representation Methods in YARA</w:t>
      </w:r>
    </w:p>
    <w:p>
      <w:pPr>
        <w:pStyle w:val="Normal"/>
        <w:bidi w:val="0"/>
        <w:jc w:val="start"/>
        <w:rPr>
          <w:b/>
          <w:bCs/>
        </w:rPr>
      </w:pPr>
      <w:r>
        <w:rPr>
          <w:b/>
          <w:bCs/>
        </w:rPr>
      </w:r>
    </w:p>
    <w:tbl>
      <w:tblPr>
        <w:tblW w:w="3629" w:type="dxa"/>
        <w:jc w:val="start"/>
        <w:tblInd w:w="0" w:type="dxa"/>
        <w:tblLayout w:type="fixed"/>
        <w:tblCellMar>
          <w:top w:w="28" w:type="dxa"/>
          <w:start w:w="28" w:type="dxa"/>
          <w:bottom w:w="28" w:type="dxa"/>
          <w:end w:w="28" w:type="dxa"/>
        </w:tblCellMar>
      </w:tblPr>
      <w:tblGrid>
        <w:gridCol w:w="1259"/>
        <w:gridCol w:w="2370"/>
      </w:tblGrid>
      <w:tr>
        <w:trPr>
          <w:tblHeader w:val="true"/>
        </w:trPr>
        <w:tc>
          <w:tcPr>
            <w:tcW w:w="1259" w:type="dxa"/>
            <w:tcBorders/>
            <w:vAlign w:val="center"/>
          </w:tcPr>
          <w:p>
            <w:pPr>
              <w:pStyle w:val="TableHeading"/>
              <w:rPr/>
            </w:pPr>
            <w:r>
              <w:rPr/>
              <w:t>Method</w:t>
            </w:r>
          </w:p>
        </w:tc>
        <w:tc>
          <w:tcPr>
            <w:tcW w:w="2370" w:type="dxa"/>
            <w:tcBorders/>
            <w:vAlign w:val="center"/>
          </w:tcPr>
          <w:p>
            <w:pPr>
              <w:pStyle w:val="TableHeading"/>
              <w:rPr/>
            </w:pPr>
            <w:r>
              <w:rPr/>
              <w:t>Purpose</w:t>
            </w:r>
          </w:p>
        </w:tc>
      </w:tr>
    </w:tbl>
    <w:tbl>
      <w:tblPr>
        <w:tblW w:w="3629" w:type="dxa"/>
        <w:jc w:val="start"/>
        <w:tblInd w:w="0" w:type="dxa"/>
        <w:tblLayout w:type="fixed"/>
        <w:tblCellMar>
          <w:top w:w="28" w:type="dxa"/>
          <w:start w:w="28" w:type="dxa"/>
          <w:bottom w:w="28" w:type="dxa"/>
          <w:end w:w="28" w:type="dxa"/>
        </w:tblCellMar>
      </w:tblPr>
      <w:tblGrid>
        <w:gridCol w:w="1259"/>
        <w:gridCol w:w="2370"/>
      </w:tblGrid>
      <w:tr>
        <w:trPr/>
        <w:tc>
          <w:tcPr>
            <w:tcW w:w="1259" w:type="dxa"/>
            <w:tcBorders/>
            <w:vAlign w:val="center"/>
          </w:tcPr>
          <w:p>
            <w:pPr>
              <w:pStyle w:val="TableContents"/>
              <w:rPr/>
            </w:pPr>
            <w:r>
              <w:rPr/>
              <w:t>ascii</w:t>
            </w:r>
          </w:p>
        </w:tc>
        <w:tc>
          <w:tcPr>
            <w:tcW w:w="2370" w:type="dxa"/>
            <w:tcBorders/>
            <w:vAlign w:val="center"/>
          </w:tcPr>
          <w:p>
            <w:pPr>
              <w:pStyle w:val="TableContents"/>
              <w:rPr/>
            </w:pPr>
            <w:r>
              <w:rPr/>
              <w:t>Normal text</w:t>
            </w:r>
          </w:p>
        </w:tc>
      </w:tr>
    </w:tbl>
    <w:tbl>
      <w:tblPr>
        <w:tblW w:w="3603" w:type="dxa"/>
        <w:jc w:val="start"/>
        <w:tblInd w:w="0" w:type="dxa"/>
        <w:tblLayout w:type="fixed"/>
        <w:tblCellMar>
          <w:top w:w="28" w:type="dxa"/>
          <w:start w:w="28" w:type="dxa"/>
          <w:bottom w:w="28" w:type="dxa"/>
          <w:end w:w="28" w:type="dxa"/>
        </w:tblCellMar>
      </w:tblPr>
      <w:tblGrid>
        <w:gridCol w:w="1259"/>
        <w:gridCol w:w="2344"/>
      </w:tblGrid>
      <w:tr>
        <w:trPr/>
        <w:tc>
          <w:tcPr>
            <w:tcW w:w="1259" w:type="dxa"/>
            <w:tcBorders/>
            <w:vAlign w:val="center"/>
          </w:tcPr>
          <w:p>
            <w:pPr>
              <w:pStyle w:val="TableContents"/>
              <w:rPr/>
            </w:pPr>
            <w:r>
              <w:rPr/>
              <w:t>wide</w:t>
            </w:r>
          </w:p>
        </w:tc>
        <w:tc>
          <w:tcPr>
            <w:tcW w:w="2344" w:type="dxa"/>
            <w:tcBorders/>
            <w:vAlign w:val="center"/>
          </w:tcPr>
          <w:p>
            <w:pPr>
              <w:pStyle w:val="TableContents"/>
              <w:rPr/>
            </w:pPr>
            <w:r>
              <w:rPr/>
              <w:t>UTF-16</w:t>
            </w:r>
          </w:p>
        </w:tc>
      </w:tr>
    </w:tbl>
    <w:tbl>
      <w:tblPr>
        <w:tblW w:w="3603" w:type="dxa"/>
        <w:jc w:val="start"/>
        <w:tblInd w:w="0" w:type="dxa"/>
        <w:tblLayout w:type="fixed"/>
        <w:tblCellMar>
          <w:top w:w="28" w:type="dxa"/>
          <w:start w:w="28" w:type="dxa"/>
          <w:bottom w:w="28" w:type="dxa"/>
          <w:end w:w="28" w:type="dxa"/>
        </w:tblCellMar>
      </w:tblPr>
      <w:tblGrid>
        <w:gridCol w:w="1259"/>
        <w:gridCol w:w="2344"/>
      </w:tblGrid>
      <w:tr>
        <w:trPr/>
        <w:tc>
          <w:tcPr>
            <w:tcW w:w="1259" w:type="dxa"/>
            <w:tcBorders/>
            <w:vAlign w:val="center"/>
          </w:tcPr>
          <w:p>
            <w:pPr>
              <w:pStyle w:val="TableContents"/>
              <w:rPr/>
            </w:pPr>
            <w:r>
              <w:rPr/>
              <w:t>base64</w:t>
            </w:r>
          </w:p>
        </w:tc>
        <w:tc>
          <w:tcPr>
            <w:tcW w:w="2344" w:type="dxa"/>
            <w:tcBorders/>
            <w:vAlign w:val="center"/>
          </w:tcPr>
          <w:p>
            <w:pPr>
              <w:pStyle w:val="TableContents"/>
              <w:rPr/>
            </w:pPr>
            <w:r>
              <w:rPr/>
              <w:t>Encoded payloads</w:t>
            </w:r>
          </w:p>
        </w:tc>
      </w:tr>
    </w:tbl>
    <w:tbl>
      <w:tblPr>
        <w:tblW w:w="3629" w:type="dxa"/>
        <w:jc w:val="start"/>
        <w:tblInd w:w="0" w:type="dxa"/>
        <w:tblLayout w:type="fixed"/>
        <w:tblCellMar>
          <w:top w:w="28" w:type="dxa"/>
          <w:start w:w="28" w:type="dxa"/>
          <w:bottom w:w="28" w:type="dxa"/>
          <w:end w:w="28" w:type="dxa"/>
        </w:tblCellMar>
      </w:tblPr>
      <w:tblGrid>
        <w:gridCol w:w="1254"/>
        <w:gridCol w:w="2375"/>
      </w:tblGrid>
      <w:tr>
        <w:trPr/>
        <w:tc>
          <w:tcPr>
            <w:tcW w:w="1254" w:type="dxa"/>
            <w:tcBorders/>
            <w:vAlign w:val="center"/>
          </w:tcPr>
          <w:p>
            <w:pPr>
              <w:pStyle w:val="TableContents"/>
              <w:rPr/>
            </w:pPr>
            <w:r>
              <w:rPr/>
              <w:t>base64wide</w:t>
            </w:r>
          </w:p>
        </w:tc>
        <w:tc>
          <w:tcPr>
            <w:tcW w:w="2375" w:type="dxa"/>
            <w:tcBorders/>
            <w:vAlign w:val="center"/>
          </w:tcPr>
          <w:p>
            <w:pPr>
              <w:pStyle w:val="TableContents"/>
              <w:rPr/>
            </w:pPr>
            <w:r>
              <w:rPr/>
              <w:t>UTF-16 + Base64</w:t>
            </w:r>
          </w:p>
        </w:tc>
      </w:tr>
    </w:tbl>
    <w:tbl>
      <w:tblPr>
        <w:tblW w:w="3629" w:type="dxa"/>
        <w:jc w:val="start"/>
        <w:tblInd w:w="0" w:type="dxa"/>
        <w:tblLayout w:type="fixed"/>
        <w:tblCellMar>
          <w:top w:w="28" w:type="dxa"/>
          <w:start w:w="28" w:type="dxa"/>
          <w:bottom w:w="28" w:type="dxa"/>
          <w:end w:w="28" w:type="dxa"/>
        </w:tblCellMar>
      </w:tblPr>
      <w:tblGrid>
        <w:gridCol w:w="1286"/>
        <w:gridCol w:w="2343"/>
      </w:tblGrid>
      <w:tr>
        <w:trPr/>
        <w:tc>
          <w:tcPr>
            <w:tcW w:w="1286" w:type="dxa"/>
            <w:tcBorders/>
            <w:vAlign w:val="center"/>
          </w:tcPr>
          <w:p>
            <w:pPr>
              <w:pStyle w:val="TableContents"/>
              <w:rPr/>
            </w:pPr>
            <w:r>
              <w:rPr/>
              <w:t>hex</w:t>
            </w:r>
          </w:p>
        </w:tc>
        <w:tc>
          <w:tcPr>
            <w:tcW w:w="2343" w:type="dxa"/>
            <w:tcBorders/>
            <w:vAlign w:val="center"/>
          </w:tcPr>
          <w:p>
            <w:pPr>
              <w:pStyle w:val="TableContents"/>
              <w:rPr/>
            </w:pPr>
            <w:r>
              <w:rPr/>
              <w:t>Raw bytes</w:t>
            </w:r>
          </w:p>
        </w:tc>
      </w:tr>
    </w:tbl>
    <w:tbl>
      <w:tblPr>
        <w:tblW w:w="3629" w:type="dxa"/>
        <w:jc w:val="start"/>
        <w:tblInd w:w="0" w:type="dxa"/>
        <w:tblLayout w:type="fixed"/>
        <w:tblCellMar>
          <w:top w:w="28" w:type="dxa"/>
          <w:start w:w="28" w:type="dxa"/>
          <w:bottom w:w="28" w:type="dxa"/>
          <w:end w:w="28" w:type="dxa"/>
        </w:tblCellMar>
      </w:tblPr>
      <w:tblGrid>
        <w:gridCol w:w="1286"/>
        <w:gridCol w:w="2343"/>
      </w:tblGrid>
      <w:tr>
        <w:trPr/>
        <w:tc>
          <w:tcPr>
            <w:tcW w:w="1286" w:type="dxa"/>
            <w:tcBorders/>
            <w:vAlign w:val="center"/>
          </w:tcPr>
          <w:p>
            <w:pPr>
              <w:pStyle w:val="TableContents"/>
              <w:rPr/>
            </w:pPr>
            <w:r>
              <w:rPr/>
              <w:t>regex</w:t>
            </w:r>
          </w:p>
        </w:tc>
        <w:tc>
          <w:tcPr>
            <w:tcW w:w="2343" w:type="dxa"/>
            <w:tcBorders/>
            <w:vAlign w:val="center"/>
          </w:tcPr>
          <w:p>
            <w:pPr>
              <w:pStyle w:val="TableContents"/>
              <w:rPr/>
            </w:pPr>
            <w:r>
              <w:rPr/>
              <w:t>Flexible pattern</w:t>
            </w:r>
          </w:p>
        </w:tc>
      </w:tr>
    </w:tbl>
    <w:tbl>
      <w:tblPr>
        <w:tblW w:w="3629" w:type="dxa"/>
        <w:jc w:val="start"/>
        <w:tblInd w:w="0" w:type="dxa"/>
        <w:tblLayout w:type="fixed"/>
        <w:tblCellMar>
          <w:top w:w="28" w:type="dxa"/>
          <w:start w:w="28" w:type="dxa"/>
          <w:bottom w:w="28" w:type="dxa"/>
          <w:end w:w="28" w:type="dxa"/>
        </w:tblCellMar>
      </w:tblPr>
      <w:tblGrid>
        <w:gridCol w:w="1286"/>
        <w:gridCol w:w="2343"/>
      </w:tblGrid>
      <w:tr>
        <w:trPr/>
        <w:tc>
          <w:tcPr>
            <w:tcW w:w="1286" w:type="dxa"/>
            <w:tcBorders/>
            <w:vAlign w:val="center"/>
          </w:tcPr>
          <w:p>
            <w:pPr>
              <w:pStyle w:val="TableContents"/>
              <w:rPr/>
            </w:pPr>
            <w:r>
              <w:rPr/>
              <w:t>xor</w:t>
            </w:r>
          </w:p>
        </w:tc>
        <w:tc>
          <w:tcPr>
            <w:tcW w:w="2343" w:type="dxa"/>
            <w:tcBorders/>
            <w:vAlign w:val="center"/>
          </w:tcPr>
          <w:p>
            <w:pPr>
              <w:pStyle w:val="TableContents"/>
              <w:rPr/>
            </w:pPr>
            <w:r>
              <w:rPr/>
              <w:t>Obfuscated malware strings</w:t>
            </w:r>
          </w:p>
        </w:tc>
      </w:tr>
    </w:tbl>
    <w:p>
      <w:pPr>
        <w:pStyle w:val="Normal"/>
        <w:bidi w:val="0"/>
        <w:jc w:val="start"/>
        <w:rPr>
          <w:b/>
          <w:bCs/>
        </w:rPr>
      </w:pPr>
      <w:r>
        <w:rPr>
          <w:b/>
          <w:bCs/>
        </w:rPr>
      </w:r>
    </w:p>
    <w:p>
      <w:pPr>
        <w:pStyle w:val="Normal"/>
        <w:bidi w:val="0"/>
        <w:jc w:val="start"/>
        <w:rPr/>
      </w:pPr>
      <w:r>
        <w:rPr/>
      </w:r>
    </w:p>
    <w:p>
      <w:pPr>
        <w:pStyle w:val="Normal"/>
        <w:bidi w:val="0"/>
        <w:jc w:val="start"/>
        <w:rPr/>
      </w:pPr>
      <w:r>
        <w:rPr/>
      </w:r>
    </w:p>
    <w:p>
      <w:pPr>
        <w:pStyle w:val="Heading2"/>
        <w:bidi w:val="0"/>
        <w:jc w:val="start"/>
        <w:rPr/>
      </w:pPr>
      <w:bookmarkStart w:id="4" w:name="how-to-create-yara-rules"/>
      <w:bookmarkEnd w:id="4"/>
      <w:r>
        <w:rPr/>
        <w:t xml:space="preserve">How to Create YARA Rules </w:t>
      </w:r>
    </w:p>
    <w:p>
      <w:pPr>
        <w:pStyle w:val="BodyText"/>
        <w:bidi w:val="0"/>
        <w:jc w:val="start"/>
        <w:rPr>
          <w:sz w:val="22"/>
          <w:szCs w:val="22"/>
        </w:rPr>
      </w:pPr>
      <w:r>
        <w:rPr>
          <w:sz w:val="22"/>
          <w:szCs w:val="22"/>
        </w:rPr>
        <w:t>Creating effective YARA rules is both a science and an art. Here’s a practical process: </w:t>
      </w:r>
    </w:p>
    <w:p>
      <w:pPr>
        <w:pStyle w:val="BodyText"/>
        <w:numPr>
          <w:ilvl w:val="0"/>
          <w:numId w:val="3"/>
        </w:numPr>
        <w:tabs>
          <w:tab w:val="left" w:pos="709" w:leader="none"/>
        </w:tabs>
        <w:bidi w:val="0"/>
        <w:spacing w:before="0" w:after="0"/>
        <w:ind w:hanging="283" w:start="709"/>
        <w:jc w:val="start"/>
        <w:rPr>
          <w:sz w:val="22"/>
          <w:szCs w:val="22"/>
        </w:rPr>
      </w:pPr>
      <w:r>
        <w:rPr>
          <w:b/>
          <w:sz w:val="22"/>
          <w:szCs w:val="22"/>
        </w:rPr>
        <w:t>Collect Samples</w:t>
      </w:r>
      <w:r>
        <w:rPr>
          <w:sz w:val="22"/>
          <w:szCs w:val="22"/>
        </w:rPr>
        <w:t xml:space="preserve"> – Gather malicious files or behaviors you want to detect. </w:t>
      </w:r>
    </w:p>
    <w:p>
      <w:pPr>
        <w:pStyle w:val="BodyText"/>
        <w:numPr>
          <w:ilvl w:val="0"/>
          <w:numId w:val="3"/>
        </w:numPr>
        <w:tabs>
          <w:tab w:val="left" w:pos="709" w:leader="none"/>
        </w:tabs>
        <w:bidi w:val="0"/>
        <w:spacing w:before="0" w:after="0"/>
        <w:ind w:hanging="283" w:start="709"/>
        <w:jc w:val="start"/>
        <w:rPr>
          <w:sz w:val="22"/>
          <w:szCs w:val="22"/>
        </w:rPr>
      </w:pPr>
      <w:r>
        <w:rPr>
          <w:b/>
          <w:sz w:val="22"/>
          <w:szCs w:val="22"/>
        </w:rPr>
        <w:t>Extract Indicators</w:t>
      </w:r>
      <w:r>
        <w:rPr>
          <w:sz w:val="22"/>
          <w:szCs w:val="22"/>
        </w:rPr>
        <w:t xml:space="preserve"> – Identify unique strings, binary patterns, or code sequences. </w:t>
      </w:r>
    </w:p>
    <w:p>
      <w:pPr>
        <w:pStyle w:val="BodyText"/>
        <w:numPr>
          <w:ilvl w:val="0"/>
          <w:numId w:val="3"/>
        </w:numPr>
        <w:tabs>
          <w:tab w:val="left" w:pos="709" w:leader="none"/>
        </w:tabs>
        <w:bidi w:val="0"/>
        <w:spacing w:before="0" w:after="0"/>
        <w:ind w:hanging="283" w:start="709"/>
        <w:jc w:val="start"/>
        <w:rPr>
          <w:sz w:val="22"/>
          <w:szCs w:val="22"/>
        </w:rPr>
      </w:pPr>
      <w:r>
        <w:rPr>
          <w:b/>
          <w:sz w:val="22"/>
          <w:szCs w:val="22"/>
        </w:rPr>
        <w:t>Write the Rule Skeleton</w:t>
      </w:r>
      <w:r>
        <w:rPr>
          <w:sz w:val="22"/>
          <w:szCs w:val="22"/>
        </w:rPr>
        <w:t xml:space="preserve"> – Define metadata, strings, and conditions. </w:t>
      </w:r>
    </w:p>
    <w:p>
      <w:pPr>
        <w:pStyle w:val="BodyText"/>
        <w:numPr>
          <w:ilvl w:val="0"/>
          <w:numId w:val="3"/>
        </w:numPr>
        <w:tabs>
          <w:tab w:val="left" w:pos="709" w:leader="none"/>
        </w:tabs>
        <w:bidi w:val="0"/>
        <w:spacing w:before="0" w:after="0"/>
        <w:ind w:hanging="283" w:start="709"/>
        <w:jc w:val="start"/>
        <w:rPr>
          <w:sz w:val="22"/>
          <w:szCs w:val="22"/>
        </w:rPr>
      </w:pPr>
      <w:r>
        <w:rPr>
          <w:b/>
          <w:sz w:val="22"/>
          <w:szCs w:val="22"/>
        </w:rPr>
        <w:t>Test the Rule</w:t>
      </w:r>
      <w:r>
        <w:rPr>
          <w:sz w:val="22"/>
          <w:szCs w:val="22"/>
        </w:rPr>
        <w:t xml:space="preserve"> – Run it against known clean and malicious files to check accuracy. </w:t>
      </w:r>
    </w:p>
    <w:p>
      <w:pPr>
        <w:pStyle w:val="BodyText"/>
        <w:numPr>
          <w:ilvl w:val="0"/>
          <w:numId w:val="3"/>
        </w:numPr>
        <w:tabs>
          <w:tab w:val="left" w:pos="709" w:leader="none"/>
        </w:tabs>
        <w:bidi w:val="0"/>
        <w:ind w:hanging="283" w:start="709"/>
        <w:jc w:val="start"/>
        <w:rPr>
          <w:sz w:val="22"/>
          <w:szCs w:val="22"/>
        </w:rPr>
      </w:pPr>
      <w:r>
        <w:rPr>
          <w:b/>
          <w:sz w:val="22"/>
          <w:szCs w:val="22"/>
        </w:rPr>
        <w:t>Refine and Update</w:t>
      </w:r>
      <w:r>
        <w:rPr>
          <w:sz w:val="22"/>
          <w:szCs w:val="22"/>
        </w:rPr>
        <w:t xml:space="preserve"> – Tweak conditions to avoid false positives and expand coverage. </w:t>
      </w:r>
    </w:p>
    <w:p>
      <w:pPr>
        <w:pStyle w:val="BodyText"/>
        <w:bidi w:val="0"/>
        <w:jc w:val="start"/>
        <w:rPr>
          <w:sz w:val="22"/>
          <w:szCs w:val="22"/>
        </w:rPr>
      </w:pPr>
      <w:r>
        <w:rPr>
          <w:sz w:val="22"/>
          <w:szCs w:val="22"/>
        </w:rPr>
        <w:t>Looking at community-shared YARA rules examples can be helpful when starting out, but each organization should tune rules to its specific environment.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bookmarkStart w:id="5" w:name="detecting-threats-with-custom-yara-rules"/>
      <w:bookmarkEnd w:id="5"/>
      <w:r>
        <w:rPr/>
        <w:t xml:space="preserve">Detecting Threats with Custom YARA Rules </w:t>
      </w:r>
    </w:p>
    <w:p>
      <w:pPr>
        <w:pStyle w:val="BodyText"/>
        <w:bidi w:val="0"/>
        <w:jc w:val="start"/>
        <w:rPr>
          <w:sz w:val="22"/>
          <w:szCs w:val="22"/>
        </w:rPr>
      </w:pPr>
      <w:r>
        <w:rPr>
          <w:sz w:val="22"/>
          <w:szCs w:val="22"/>
        </w:rPr>
        <w:t>Custom YARA rules empower security teams to go beyond standard detections. By writing rules tailored to their unique environment, analysts can: </w:t>
      </w:r>
    </w:p>
    <w:p>
      <w:pPr>
        <w:pStyle w:val="BodyText"/>
        <w:numPr>
          <w:ilvl w:val="0"/>
          <w:numId w:val="4"/>
        </w:numPr>
        <w:tabs>
          <w:tab w:val="left" w:pos="709" w:leader="none"/>
        </w:tabs>
        <w:bidi w:val="0"/>
        <w:spacing w:before="0" w:after="0"/>
        <w:ind w:hanging="283" w:start="709"/>
        <w:jc w:val="start"/>
        <w:rPr>
          <w:sz w:val="22"/>
          <w:szCs w:val="22"/>
        </w:rPr>
      </w:pPr>
      <w:r>
        <w:rPr>
          <w:sz w:val="22"/>
          <w:szCs w:val="22"/>
        </w:rPr>
        <w:t>Scan email attachments or file shares for hidden malware. </w:t>
      </w:r>
    </w:p>
    <w:p>
      <w:pPr>
        <w:pStyle w:val="BodyText"/>
        <w:numPr>
          <w:ilvl w:val="0"/>
          <w:numId w:val="4"/>
        </w:numPr>
        <w:tabs>
          <w:tab w:val="left" w:pos="709" w:leader="none"/>
        </w:tabs>
        <w:bidi w:val="0"/>
        <w:spacing w:before="0" w:after="0"/>
        <w:ind w:hanging="283" w:start="709"/>
        <w:jc w:val="start"/>
        <w:rPr>
          <w:sz w:val="22"/>
          <w:szCs w:val="22"/>
        </w:rPr>
      </w:pPr>
      <w:r>
        <w:rPr>
          <w:sz w:val="22"/>
          <w:szCs w:val="22"/>
        </w:rPr>
        <w:t>Monitor endpoint processes in real time. </w:t>
      </w:r>
    </w:p>
    <w:p>
      <w:pPr>
        <w:pStyle w:val="BodyText"/>
        <w:numPr>
          <w:ilvl w:val="0"/>
          <w:numId w:val="4"/>
        </w:numPr>
        <w:tabs>
          <w:tab w:val="left" w:pos="709" w:leader="none"/>
        </w:tabs>
        <w:bidi w:val="0"/>
        <w:spacing w:before="0" w:after="0"/>
        <w:ind w:hanging="283" w:start="709"/>
        <w:jc w:val="start"/>
        <w:rPr>
          <w:sz w:val="22"/>
          <w:szCs w:val="22"/>
        </w:rPr>
      </w:pPr>
      <w:r>
        <w:rPr>
          <w:sz w:val="22"/>
          <w:szCs w:val="22"/>
        </w:rPr>
        <w:t>Integrate with SIEM or EDR tools to automate detection workflows. </w:t>
      </w:r>
    </w:p>
    <w:p>
      <w:pPr>
        <w:pStyle w:val="BodyText"/>
        <w:numPr>
          <w:ilvl w:val="0"/>
          <w:numId w:val="4"/>
        </w:numPr>
        <w:tabs>
          <w:tab w:val="left" w:pos="709" w:leader="none"/>
        </w:tabs>
        <w:bidi w:val="0"/>
        <w:ind w:hanging="283" w:start="709"/>
        <w:jc w:val="start"/>
        <w:rPr>
          <w:sz w:val="22"/>
          <w:szCs w:val="22"/>
        </w:rPr>
      </w:pPr>
      <w:r>
        <w:rPr>
          <w:sz w:val="22"/>
          <w:szCs w:val="22"/>
        </w:rPr>
        <w:t>Use YARA in memory forensics to identify in-memory payloads that never touch disk. </w:t>
      </w:r>
    </w:p>
    <w:p>
      <w:pPr>
        <w:pStyle w:val="BodyText"/>
        <w:bidi w:val="0"/>
        <w:jc w:val="start"/>
        <w:rPr>
          <w:sz w:val="22"/>
          <w:szCs w:val="22"/>
        </w:rPr>
      </w:pPr>
      <w:r>
        <w:rPr>
          <w:sz w:val="22"/>
          <w:szCs w:val="22"/>
        </w:rPr>
        <w:t>This flexibility makes cybersecurity YARA indispensable in modern SOC operations, especially when speed and precision are critical. </w:t>
      </w:r>
    </w:p>
    <w:p>
      <w:pPr>
        <w:pStyle w:val="Normal"/>
        <w:bidi w:val="0"/>
        <w:jc w:val="start"/>
        <w:rPr>
          <w:sz w:val="22"/>
          <w:szCs w:val="22"/>
        </w:rPr>
      </w:pPr>
      <w:r>
        <w:rPr>
          <w:sz w:val="22"/>
          <w:szCs w:val="22"/>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YARA Detection Methodology</w:t>
      </w:r>
    </w:p>
    <w:p>
      <w:pPr>
        <w:pStyle w:val="Normal"/>
        <w:bidi w:val="0"/>
        <w:jc w:val="start"/>
        <w:rPr/>
      </w:pPr>
      <w:r>
        <w:rPr/>
      </w:r>
    </w:p>
    <w:p>
      <w:pPr>
        <w:pStyle w:val="BodyText"/>
        <w:bidi w:val="0"/>
        <w:spacing w:lineRule="auto" w:line="276" w:before="0" w:after="140"/>
        <w:jc w:val="start"/>
        <w:rPr/>
      </w:pPr>
      <w:r>
        <w:rPr>
          <w:sz w:val="22"/>
          <w:szCs w:val="22"/>
        </w:rPr>
        <w:t xml:space="preserve">YARA is used by defining </w:t>
      </w:r>
      <w:r>
        <w:rPr>
          <w:rStyle w:val="Strong"/>
          <w:sz w:val="22"/>
          <w:szCs w:val="22"/>
        </w:rPr>
        <w:t>strings</w:t>
      </w:r>
      <w:r>
        <w:rPr>
          <w:sz w:val="22"/>
          <w:szCs w:val="22"/>
        </w:rPr>
        <w:t xml:space="preserve"> that represent suspicious indicators related to a malware family, then applying </w:t>
      </w:r>
      <w:r>
        <w:rPr>
          <w:rStyle w:val="Strong"/>
          <w:sz w:val="22"/>
          <w:szCs w:val="22"/>
        </w:rPr>
        <w:t>conditions</w:t>
      </w:r>
      <w:r>
        <w:rPr>
          <w:sz w:val="22"/>
          <w:szCs w:val="22"/>
        </w:rPr>
        <w:t xml:space="preserve"> to decide when those indicators are significant enough to trigger detection . In a YARA rule, the </w:t>
      </w:r>
      <w:r>
        <w:rPr>
          <w:rStyle w:val="SourceText"/>
          <w:sz w:val="22"/>
          <w:szCs w:val="22"/>
        </w:rPr>
        <w:t>strings</w:t>
      </w:r>
      <w:r>
        <w:rPr>
          <w:sz w:val="22"/>
          <w:szCs w:val="22"/>
        </w:rPr>
        <w:t xml:space="preserve"> section contains identifiers such as syscall names, API names, file paths, mutex names, commands, or malware-specific text patterns that may appear inside a malicious file or in memory. Each string is given a variable name such as </w:t>
      </w:r>
      <w:r>
        <w:rPr>
          <w:rStyle w:val="SourceText"/>
          <w:sz w:val="22"/>
          <w:szCs w:val="22"/>
        </w:rPr>
        <w:t>$sys1 = "sys_write" nocase ascii wide</w:t>
      </w:r>
      <w:r>
        <w:rPr>
          <w:sz w:val="22"/>
          <w:szCs w:val="22"/>
        </w:rPr>
        <w:t xml:space="preserve">, where </w:t>
      </w:r>
      <w:r>
        <w:rPr>
          <w:rStyle w:val="SourceText"/>
          <w:sz w:val="22"/>
          <w:szCs w:val="22"/>
        </w:rPr>
        <w:t>nocase</w:t>
      </w:r>
      <w:r>
        <w:rPr>
          <w:sz w:val="22"/>
          <w:szCs w:val="22"/>
        </w:rPr>
        <w:t xml:space="preserve"> allows matching regardless of uppercase or lowercase, </w:t>
      </w:r>
      <w:r>
        <w:rPr>
          <w:rStyle w:val="SourceText"/>
          <w:sz w:val="22"/>
          <w:szCs w:val="22"/>
        </w:rPr>
        <w:t>ascii</w:t>
      </w:r>
      <w:r>
        <w:rPr>
          <w:sz w:val="22"/>
          <w:szCs w:val="22"/>
        </w:rPr>
        <w:t xml:space="preserve"> searches normal text encoding, and </w:t>
      </w:r>
      <w:r>
        <w:rPr>
          <w:rStyle w:val="SourceText"/>
          <w:sz w:val="22"/>
          <w:szCs w:val="22"/>
        </w:rPr>
        <w:t>wide</w:t>
      </w:r>
      <w:r>
        <w:rPr>
          <w:sz w:val="22"/>
          <w:szCs w:val="22"/>
        </w:rPr>
        <w:t xml:space="preserve"> searches UTF-16 encoded text often found in compiled binaries or memory. Because one string alone may also appear in legitimate software, the </w:t>
      </w:r>
      <w:r>
        <w:rPr>
          <w:rStyle w:val="SourceText"/>
          <w:sz w:val="22"/>
          <w:szCs w:val="22"/>
        </w:rPr>
        <w:t>condition</w:t>
      </w:r>
      <w:r>
        <w:rPr>
          <w:sz w:val="22"/>
          <w:szCs w:val="22"/>
        </w:rPr>
        <w:t xml:space="preserve"> section defines logic such as </w:t>
      </w:r>
      <w:r>
        <w:rPr>
          <w:rStyle w:val="SourceText"/>
          <w:sz w:val="22"/>
          <w:szCs w:val="22"/>
        </w:rPr>
        <w:t>2 of them</w:t>
      </w:r>
      <w:r>
        <w:rPr>
          <w:sz w:val="22"/>
          <w:szCs w:val="22"/>
        </w:rPr>
        <w:t xml:space="preserve"> or </w:t>
      </w:r>
      <w:r>
        <w:rPr>
          <w:rStyle w:val="SourceText"/>
          <w:sz w:val="22"/>
          <w:szCs w:val="22"/>
        </w:rPr>
        <w:t>all of them</w:t>
      </w:r>
      <w:r>
        <w:rPr>
          <w:sz w:val="22"/>
          <w:szCs w:val="22"/>
        </w:rPr>
        <w:t>, meaning YARA only matches when multiple suspicious indicators appear together. This reduces false positives and makes detection more reliable by treating strings as clues and conditions as the confidence threshold.</w:t>
      </w:r>
    </w:p>
    <w:p>
      <w:pPr>
        <w:pStyle w:val="BodyText"/>
        <w:bidi w:val="0"/>
        <w:jc w:val="start"/>
        <w:rPr>
          <w:sz w:val="22"/>
          <w:szCs w:val="22"/>
        </w:rPr>
      </w:pPr>
      <w:r>
        <w:rPr>
          <w:sz w:val="22"/>
          <w:szCs w:val="22"/>
        </w:rPr>
        <w:t>When scanning files, the most effective approach is to choose strings that are stable and characteristic of the target malware rather than common programming functions. Useful indicators include unusual syscalls, hidden file paths, persistence artifacts, loader commands, or encryption markers that are uncommon in legitimate applications. For memory scanning, the strategy changes because legitimate processes also contain many normal APIs and system calls, so analysts focus on suspicious combinations rather than single strings . Memory is valuable because advanced malware often decrypts itself only during execution, meaning hidden payloads, injected code, or runtime artifacts may appear only in RAM. Even advanced APT malware may use legitimate processes, ports, or trusted system binaries to evade detection, but it still leaves memory clues such as unusual string clusters, injected regions, or syscall patterns. Therefore, YARA becomes most powerful when file scanning, memory analysis, and behavioral context are combined, especially alongside tools such as Volatility and YARA for threat hunting against stealth malware.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TotalTime>
  <Application>LibreOffice/24.2.7.2$Linux_X86_64 LibreOffice_project/420$Build-2</Application>
  <AppVersion>15.0000</AppVersion>
  <Pages>3</Pages>
  <Words>897</Words>
  <Characters>5142</Characters>
  <CharactersWithSpaces>6009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2026-04-01T10:38:35Z</dcterms:created>
  <dc:creator/>
  <dc:description/>
  <dc:language>en-US</dc:language>
  <cp:lastModifiedBy/>
  <dcterms:modified xsi:type="dcterms:W3CDTF">2026-04-01T13:46:07Z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