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C1C88">
      <w:pPr>
        <w:pStyle w:val="3"/>
        <w:widowControl/>
        <w:spacing w:line="360" w:lineRule="auto"/>
        <w:rPr>
          <w:rFonts w:hint="eastAsia" w:ascii="宋体" w:hAnsi="宋体" w:eastAsia="宋体" w:cs="宋体"/>
          <w:sz w:val="52"/>
          <w:szCs w:val="52"/>
          <w:lang w:val="en-US"/>
        </w:rPr>
      </w:pPr>
      <w:bookmarkStart w:id="0" w:name="_GoBack"/>
      <w:bookmarkEnd w:id="0"/>
      <w:r>
        <w:rPr>
          <w:rFonts w:hint="eastAsia" w:ascii="宋体" w:hAnsi="宋体" w:eastAsia="宋体" w:cs="宋体"/>
          <w:sz w:val="52"/>
          <w:szCs w:val="52"/>
          <w:lang w:eastAsia="zh-CN"/>
        </w:rPr>
        <w:t>智慧建筑能耗监测系统解决方案</w:t>
      </w:r>
    </w:p>
    <w:p w14:paraId="70975B0D">
      <w:pPr>
        <w:pStyle w:val="7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宋体" w:hAnsi="宋体" w:eastAsia="宋体" w:cs="Times New Roman"/>
          <w:sz w:val="32"/>
          <w:szCs w:val="32"/>
          <w:lang w:val="en-US"/>
        </w:rPr>
      </w:pPr>
      <w:r>
        <w:rPr>
          <w:rStyle w:val="6"/>
          <w:rFonts w:hint="eastAsia" w:ascii="宋体" w:hAnsi="宋体" w:eastAsia="宋体" w:cs="Times New Roman"/>
          <w:sz w:val="32"/>
          <w:szCs w:val="32"/>
          <w:lang w:eastAsia="zh-CN"/>
        </w:rPr>
        <w:t>系统概述</w:t>
      </w:r>
    </w:p>
    <w:p w14:paraId="428952B9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在城市绿色发展和“双碳”目标的背景下，建筑能耗的监测与优化成为节能减排的重要一环。智慧建筑能耗监测系统通过无线传感器网络（WSN）实时监控建筑内各类用能设备（如照明、空调、电梯等）的运行状态和能耗数据，实现能耗的精细化管理和智能调控。</w:t>
      </w:r>
    </w:p>
    <w:p w14:paraId="76087E76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该系统支持多楼层、多区域的分布式部署，基于低功耗传感器节点与网关的数据交互机制，可实现用电、用水、用气等多维度的能源数据实时采集与分析，为建筑运维提供准确、可视、可控的节能决策支持，提升能源使用效率，降低运营成本。</w:t>
      </w:r>
    </w:p>
    <w:p w14:paraId="2AF5F947">
      <w:pPr>
        <w:pStyle w:val="2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32"/>
          <w:szCs w:val="32"/>
          <w:lang w:val="en-US"/>
        </w:rPr>
      </w:pPr>
      <w:r>
        <w:rPr>
          <w:rStyle w:val="6"/>
          <w:rFonts w:hint="eastAsia" w:ascii="宋体" w:hAnsi="宋体" w:eastAsia="宋体" w:cs="Times New Roman"/>
          <w:sz w:val="32"/>
          <w:szCs w:val="32"/>
          <w:lang w:eastAsia="zh-CN"/>
        </w:rPr>
        <w:t>技术选择</w:t>
      </w:r>
    </w:p>
    <w:p w14:paraId="00065D00">
      <w:pPr>
        <w:pStyle w:val="2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ZigBee/Thread协议</w:t>
      </w:r>
    </w:p>
    <w:p w14:paraId="3D61FBBC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ZigBee或Thread协议具有低功耗、低带宽和自组网能力，适合在建筑内部署大量传感器节点。其支持多跳通信和高节点密度，能稳定覆盖多个楼层，实现温度、照明、电力等实时数据的高效采集与传输。</w:t>
      </w:r>
    </w:p>
    <w:p w14:paraId="125B90CC">
      <w:pPr>
        <w:pStyle w:val="2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NB-IoT</w:t>
      </w:r>
    </w:p>
    <w:p w14:paraId="75FD1E02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NB-IoT具备广覆盖、低功耗和大连接数等特点，适合建筑环境中部分无Wi-Fi或以太网覆盖区域的数据上传任务。它通过蜂窝网络将网关汇聚的数据远程上传至云端，实现低成本、可靠的远程通信。</w:t>
      </w:r>
    </w:p>
    <w:p w14:paraId="4E81719F">
      <w:pPr>
        <w:pStyle w:val="2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Wi-Fi</w:t>
      </w:r>
    </w:p>
    <w:p w14:paraId="284D78B8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Wi-Fi作为建筑内部常用的网络方式，连接管理平台与终端设备，如监控系统、移动APP等。其传输速率高、部署成本低，适用于远程查看能耗数据、接收告警信息及远程控制设备等功能。</w:t>
      </w:r>
    </w:p>
    <w:p w14:paraId="14FF9671">
      <w:pPr>
        <w:pStyle w:val="2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智能电表/能耗采集模块</w:t>
      </w:r>
    </w:p>
    <w:p w14:paraId="69A87769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智能电表或多功能能耗采集模块安装在照明、电梯、空调等用能设备或配电柜上，能够精确采集电压、电流、功率等数据，实现分项、分时统计，为能耗分析和节能策略提供准确数据支撑。</w:t>
      </w:r>
    </w:p>
    <w:p w14:paraId="37934928">
      <w:pPr>
        <w:pStyle w:val="2"/>
        <w:widowControl/>
        <w:numPr>
          <w:ilvl w:val="0"/>
          <w:numId w:val="2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云平台与可视化系统</w:t>
      </w:r>
    </w:p>
    <w:p w14:paraId="3BEFEAF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云平台集中存储与处理上传的能耗数据，并通过可视化界面展示各设备、楼层和时间段的能耗情况。平台支持趋势分析、对比分析和告警配置，帮助运维人员进行智能决策和能源优化管理。</w:t>
      </w:r>
    </w:p>
    <w:p w14:paraId="22066664">
      <w:pPr>
        <w:pStyle w:val="2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等线" w:hAnsi="等线" w:eastAsia="等线" w:cs="Times New Roman"/>
          <w:sz w:val="32"/>
          <w:szCs w:val="32"/>
          <w:lang w:val="en-US"/>
        </w:rPr>
      </w:pPr>
      <w:r>
        <w:rPr>
          <w:rStyle w:val="6"/>
          <w:rFonts w:hint="eastAsia" w:ascii="等线" w:hAnsi="等线" w:eastAsia="等线" w:cs="Times New Roman"/>
          <w:sz w:val="32"/>
          <w:szCs w:val="32"/>
          <w:lang w:eastAsia="zh-CN"/>
        </w:rPr>
        <w:t>解决方案</w:t>
      </w:r>
    </w:p>
    <w:p w14:paraId="4974A2BF">
      <w:pPr>
        <w:pStyle w:val="2"/>
        <w:widowControl/>
        <w:numPr>
          <w:ilvl w:val="0"/>
          <w:numId w:val="3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能耗数据实时采集</w:t>
      </w:r>
    </w:p>
    <w:p w14:paraId="4E522930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节点部署策略：系统根据建筑结构和用能分布，在中央空调系统、电梯机房、照明区、会议室、机房等重点能耗区域部署智能传感节点。这些节点集成电流、电压、温湿度、功率等多种传感器，可精准采集设备工作状态和环境参数。部署过程中充分考虑空间布局与通信覆盖，采用自组网方式连接，确保采集数据的连续性与完整性。节点位置支持后期调整和增补，便于系统扩展。</w:t>
      </w:r>
    </w:p>
    <w:p w14:paraId="6525D204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分项监测功能：系统支持按设备类型、楼层、使用区域等维度进行能耗分项监测。例如，可分别记录空调、照明、电梯、插座等子系统的能耗数据，实现精细化用能分析。通过历史对比和图表展示，用户可直观识别哪些区域或设备能耗过高，便于进行重点能效改进。该功能支持设置分组和标签，便于多项目、多楼宇统一管理和横向对比。</w:t>
      </w:r>
    </w:p>
    <w:p w14:paraId="2560E3D2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数据上传与本地缓存：所有采集的数据首先经ZigBee或Thread协议汇聚至楼宇网关。网关通过NB-IoT或Wi-Fi将数据上传至云平台，确保运维人员可远程查看。为防止通信中断影响数据完整性，网关具备本地缓存功能，可在网络恢复后自动补传数据，确保信息连续性和历史可追溯性。此外，系统还支持边缘处理，提升上传效率。</w:t>
      </w:r>
    </w:p>
    <w:p w14:paraId="15D818F9">
      <w:pPr>
        <w:pStyle w:val="2"/>
        <w:widowControl/>
        <w:numPr>
          <w:ilvl w:val="0"/>
          <w:numId w:val="3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智能用能分析与节能控制</w:t>
      </w:r>
    </w:p>
    <w:p w14:paraId="69B2E1DC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能耗趋势分析：系统基于实时与历史数据，生成每日、每周、每月能耗趋势图，并支持按区域或设备进行对比分析。用户可通过数据图表快速识别高耗时段或高耗设备，从而有针对性地优化运行策略。平台支持导出报表和数据分析模型，为节能评估、设备保养和预算管理提供数据支持，有助于企业实现“节能可视化”。</w:t>
      </w:r>
    </w:p>
    <w:p w14:paraId="4E449D0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能调度策略：系统结合实时负载数据与环境参数，自动判断用能需求，并调控设备运行时间。例如，在人员密度较低的时段自动关闭部分照明或空调，实现“按需供能”。同时，支持与日照、温度等传感器联动，动态调整照明强度与空调设定温度，提升能效。系统还支持手动与自动两种策略切换，满足不同场景需求。</w:t>
      </w:r>
    </w:p>
    <w:p w14:paraId="70B65285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异常用能预警：系统设有多级能耗预警机制。可对设备功率、电流、电压波动等设定阈值，一旦发现异常（如设备空转、功耗异常升高或漏电情况），系统将立即通过短信、邮件或App推送警报信息，提醒运维人员及时干预。该机制有效防止能源浪费和设备损坏，提升能源管理的安全性与响应效率。</w:t>
      </w:r>
    </w:p>
    <w:p w14:paraId="01440B4B">
      <w:pPr>
        <w:pStyle w:val="2"/>
        <w:widowControl/>
        <w:numPr>
          <w:ilvl w:val="0"/>
          <w:numId w:val="3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综合环境联动管理</w:t>
      </w:r>
    </w:p>
    <w:p w14:paraId="042CD901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舒适度调节功能：系统综合分析温度、湿度、二氧化碳浓度等参数，自动调节HVAC（供暖通风空调）系统的风速、温度设定和运行状态，维持舒适办公环境。系统可根据人员活动频率和时间段自动调整策略，如在午休或夜间下调运行强度，平衡舒适度与能效。同时支持个性化区域配置，满足不同办公区或功能区的环境控制需求。</w:t>
      </w:r>
    </w:p>
    <w:p w14:paraId="6B913577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光照感应控制：在走廊、卫生间、会议室等使用频次不固定区域，系统通过部署光照与人体红外传感器，实现自动照明控制。当前方检测到人员进入时，自动点亮灯光；人员离开一定时间后自动关闭。光照强度也可根据室外光环境自动调整照明亮度，避免过度照明，节约电能，提升用户体验与节能效果。</w:t>
      </w:r>
    </w:p>
    <w:p w14:paraId="3415485C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多系统集成：系统支持与楼宇自动控制系统（BAS）、视频监控、安防报警、门禁系统等集成，通过统一平台集中管理建筑设备与能源。各子系统之间可联动运行，例如能耗异常可触发摄像头定位监控，或通过门禁系统判断区域人员密度，从而动态调整能耗策略。平台采用开放协议，便于对接第三方软件或物联网平台，实现建筑智能化整体升级。</w:t>
      </w:r>
    </w:p>
    <w:p w14:paraId="0C390E94">
      <w:pPr>
        <w:pStyle w:val="2"/>
        <w:widowControl/>
        <w:numPr>
          <w:ilvl w:val="0"/>
          <w:numId w:val="1"/>
        </w:numPr>
        <w:spacing w:line="360" w:lineRule="auto"/>
        <w:ind w:left="440" w:hanging="440"/>
        <w:contextualSpacing/>
        <w:rPr>
          <w:rFonts w:hint="eastAsia" w:ascii="等线" w:hAnsi="等线" w:eastAsia="等线" w:cs="Times New Roman"/>
          <w:sz w:val="32"/>
          <w:szCs w:val="32"/>
          <w:lang w:val="en-US"/>
        </w:rPr>
      </w:pPr>
      <w:r>
        <w:rPr>
          <w:rStyle w:val="6"/>
          <w:rFonts w:hint="eastAsia" w:ascii="等线" w:hAnsi="等线" w:eastAsia="等线" w:cs="Times New Roman"/>
          <w:sz w:val="32"/>
          <w:szCs w:val="32"/>
          <w:lang w:eastAsia="zh-CN"/>
        </w:rPr>
        <w:t>系统的可扩展性与未来发展</w:t>
      </w:r>
    </w:p>
    <w:p w14:paraId="70C0452E">
      <w:pPr>
        <w:pStyle w:val="2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分层架构与模块化设计</w:t>
      </w:r>
    </w:p>
    <w:p w14:paraId="16249D1E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慧建筑能耗监测系统采用感知层、网络层、应用层的三层架构设计，使系统具备良好的灵活性和可扩展性。在感知层，各类传感器节点（如电流、电压、温湿度等）模块化部署，可按需增加、替换或升级；在网络层，系统支持ZigBee、Thread、LoRa、NB-IoT等多种通信方式，满足不同建筑通信环境；在应用层，平台提供数据可视化、告警分析、智能调度等功能模块，可根据不同用户需求灵活组合使用。每一层之间通过标准接口连接，确保系统维护简便、扩展高效。无论是数千平米的小型办公楼，还是上百万平米的大型商业综合体或园区，都能按需配置，实现快速部署与持续演进。</w:t>
      </w:r>
    </w:p>
    <w:p w14:paraId="6FE64559">
      <w:pPr>
        <w:pStyle w:val="2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未来技术融合方向</w:t>
      </w:r>
    </w:p>
    <w:p w14:paraId="2B40DA0A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边缘计算集成：通过在楼宇网关侧部署边缘计算能力，系统可实现对本地采集的能耗数据进行实时处理和初步分析，及时识别异常用能行为并触发预警。这不仅减少了数据传输到云端的压力和延迟，还提高了系统响应速度和稳定性，有效保障建筑能耗监测的连续性和可靠性。</w:t>
      </w:r>
    </w:p>
    <w:p w14:paraId="12310223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AI能效预测：系统采用机器学习算法分析历史能耗及环境数据，预测未来特定时间段的能耗峰值和用能趋势。基于预测结果，自动调整空调、照明等设备的运行策略，优化能源分配，避免用电高峰造成的费用上涨和设备负荷，提升整体能源利用效率。</w:t>
      </w:r>
    </w:p>
    <w:p w14:paraId="2FBEB3DA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碳排放管理模块：新增碳排放实时核算功能，结合能耗数据自动计算建筑碳排放量。系统支持碳排放报表生成和数据上报，助力企业实现碳资产管理和绿色认证。通过可视化监控和趋势分析，促进建筑节能减排目标的落实和环境责任的履行。</w:t>
      </w:r>
    </w:p>
    <w:p w14:paraId="03159026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移动管理终端：开发配套APP及小程序，方便管理员随时随地查看建筑能耗趋势、接收设备故障和能耗异常告警。支持远程设备控制和参数调整，实现对建筑能耗管理的灵活调度和快速响应，提升运维效率和用户体验。</w:t>
      </w:r>
    </w:p>
    <w:p w14:paraId="0605CDED">
      <w:pPr>
        <w:pStyle w:val="2"/>
        <w:widowControl/>
        <w:numPr>
          <w:ilvl w:val="0"/>
          <w:numId w:val="4"/>
        </w:numPr>
        <w:spacing w:line="360" w:lineRule="auto"/>
        <w:ind w:left="440" w:hanging="440"/>
        <w:contextualSpacing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支持多样化场景拓展</w:t>
      </w:r>
    </w:p>
    <w:p w14:paraId="134339E0">
      <w:pPr>
        <w:keepNext w:val="0"/>
        <w:keepLines w:val="0"/>
        <w:widowControl w:val="0"/>
        <w:suppressLineNumbers w:val="0"/>
        <w:spacing w:before="0" w:beforeAutospacing="0" w:after="160" w:afterAutospacing="0" w:line="360" w:lineRule="auto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智慧建筑能耗监测系统具备良好的通用性与适配性，能够广泛应用于各类建筑与运营场景。除常见的写字楼、商场、酒店等商业建筑外，系统还适用于对能耗和环境控制要求更高的场所，如医院、学校、机场、会展中心等公共设施，以及车间、厂房、仓储中心等工业园区。系统可根据不同场景的设备类型、运行模式与管理需求，灵活配置监测点位与控制逻辑，实现分区域、分系统的节能优化管理。配合本地部署与云端管理机制，运维人员可集中管控多个异地项目，实现跨场景、跨楼宇的统一运营。该系统的推广有助于推动多行业用能的智能化转型，助力智慧城市与低碳社会的建设目标落地。</w:t>
      </w:r>
    </w:p>
    <w:p w14:paraId="37B10D90">
      <w:pPr>
        <w:spacing w:line="360" w:lineRule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040D"/>
    <w:multiLevelType w:val="multilevel"/>
    <w:tmpl w:val="813B040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9D310B9A"/>
    <w:multiLevelType w:val="multilevel"/>
    <w:tmpl w:val="9D310B9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41A6A"/>
    <w:multiLevelType w:val="multilevel"/>
    <w:tmpl w:val="00041A6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FBDA91D"/>
    <w:multiLevelType w:val="multilevel"/>
    <w:tmpl w:val="6FBDA91D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eastAsia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D502B"/>
    <w:rsid w:val="4B93047E"/>
    <w:rsid w:val="653E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0" w:beforeAutospacing="1" w:after="0" w:afterAutospacing="1" w:line="240" w:lineRule="auto"/>
      <w:ind w:left="0" w:right="0"/>
      <w:jc w:val="left"/>
    </w:pPr>
    <w:rPr>
      <w:rFonts w:hint="default" w:ascii="等线" w:hAnsi="等线" w:eastAsia="等线" w:cs="等线"/>
      <w:kern w:val="0"/>
      <w:sz w:val="24"/>
      <w:lang w:val="en-US" w:eastAsia="zh-CN" w:bidi="ar"/>
    </w:rPr>
  </w:style>
  <w:style w:type="paragraph" w:styleId="3">
    <w:name w:val="Title"/>
    <w:basedOn w:val="1"/>
    <w:next w:val="1"/>
    <w:link w:val="8"/>
    <w:qFormat/>
    <w:uiPriority w:val="0"/>
    <w:pPr>
      <w:keepNext w:val="0"/>
      <w:keepLines w:val="0"/>
      <w:widowControl w:val="0"/>
      <w:suppressLineNumbers w:val="0"/>
      <w:spacing w:before="0" w:beforeAutospacing="0" w:after="80" w:afterAutospacing="0" w:line="240" w:lineRule="auto"/>
      <w:ind w:left="0" w:right="0"/>
      <w:contextualSpacing/>
      <w:jc w:val="center"/>
    </w:pPr>
    <w:rPr>
      <w:rFonts w:hint="default" w:ascii="等线 Light" w:hAnsi="等线 Light" w:eastAsia="等线 Light" w:cs="Times New Roman"/>
      <w:spacing w:val="-10"/>
      <w:kern w:val="28"/>
      <w:sz w:val="56"/>
      <w:szCs w:val="56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720" w:right="0"/>
      <w:contextualSpacing/>
      <w:jc w:val="left"/>
    </w:pPr>
    <w:rPr>
      <w:rFonts w:hint="eastAsia" w:ascii="等线" w:hAnsi="等线" w:eastAsia="等线" w:cs="Times New Roman"/>
      <w:kern w:val="2"/>
      <w:sz w:val="22"/>
      <w:szCs w:val="24"/>
      <w:lang w:val="en-US" w:eastAsia="zh-CN" w:bidi="ar"/>
    </w:rPr>
  </w:style>
  <w:style w:type="character" w:customStyle="1" w:styleId="8">
    <w:name w:val="标题 字符"/>
    <w:basedOn w:val="5"/>
    <w:link w:val="3"/>
    <w:qFormat/>
    <w:uiPriority w:val="0"/>
    <w:rPr>
      <w:rFonts w:hint="eastAsia"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2996</Words>
  <Characters>3091</Characters>
  <Lines>0</Lines>
  <Paragraphs>0</Paragraphs>
  <TotalTime>0</TotalTime>
  <ScaleCrop>false</ScaleCrop>
  <LinksUpToDate>false</LinksUpToDate>
  <CharactersWithSpaces>3091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2025-07-08T08:44:00Z</dcterms:created>
  <dc:creator>SHI_Z</dc:creator>
  <cp:lastModifiedBy>绾颜</cp:lastModifiedBy>
  <dcterms:modified xsi:type="dcterms:W3CDTF">2025-07-08T12:09:33Z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eyJoZGlkIjoiMjVjZTFlMzg4MDM4OTIwMzY5OThlOTZiZThiMGVjYjQiLCJ1c2VySWQiOiI4MTQwMDY0NTAifQ==</vt:lpwstr>
  </property>
  <property fmtid="{D5CDD505-2E9C-101B-9397-08002B2CF9AE}" pid="4" name="ICV">
    <vt:lpwstr>B0841B0892A1444BBD7C372721D308B0_12</vt:lpwstr>
  </property>
</Properties>
</file>