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jc w:val="center"/>
      </w:pPr>
      <w:r>
        <w:rPr>
          <w:rFonts w:ascii="Calibri" w:hAnsi="Calibri" w:eastAsia="Noto Sans CJK SC"/>
          <w:b/>
          <w:color w:val="555555"/>
          <w:sz w:val="24"/>
        </w:rPr>
        <w:t>项目方案</w:t>
      </w:r>
    </w:p>
    <w:p>
      <w:pPr>
        <w:spacing w:after="120"/>
        <w:jc w:val="center"/>
      </w:pPr>
      <w:r>
        <w:rPr>
          <w:rFonts w:ascii="Calibri" w:hAnsi="Calibri" w:eastAsia="Noto Sans CJK SC"/>
          <w:b/>
          <w:color w:val="000000"/>
          <w:sz w:val="56"/>
        </w:rPr>
        <w:t>AdaptLearn Copilot</w:t>
      </w:r>
    </w:p>
    <w:p>
      <w:pPr>
        <w:spacing w:after="400"/>
        <w:jc w:val="center"/>
      </w:pPr>
      <w:r>
        <w:rPr>
          <w:rFonts w:ascii="Calibri" w:hAnsi="Calibri" w:eastAsia="Noto Sans CJK SC"/>
          <w:color w:val="555555"/>
          <w:sz w:val="26"/>
        </w:rPr>
        <w:t>面向 K12 公立学校初中英语的认知诊断与个性化学习规划多智能体系统</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232"/>
            <w:vAlign w:val="center"/>
            <w:tcMar>
              <w:top w:w="80" w:type="dxa"/>
              <w:start w:w="120" w:type="dxa"/>
              <w:bottom w:w="80" w:type="dxa"/>
              <w:end w:w="120" w:type="dxa"/>
            </w:tcMar>
            <w:shd w:fill="E8EEF5"/>
          </w:tcPr>
          <w:p>
            <w:pPr>
              <w:spacing w:after="0"/>
            </w:pPr>
            <w:r>
              <w:rPr>
                <w:rFonts w:ascii="Calibri" w:hAnsi="Calibri" w:eastAsia="Noto Sans CJK SC"/>
                <w:b/>
                <w:color w:val="1F4D78"/>
                <w:sz w:val="21"/>
              </w:rPr>
              <w:t>项目项</w:t>
            </w:r>
          </w:p>
        </w:tc>
        <w:tc>
          <w:tcPr>
            <w:tcW w:type="dxa" w:w="7128"/>
            <w:vAlign w:val="center"/>
            <w:tcMar>
              <w:top w:w="80" w:type="dxa"/>
              <w:start w:w="120" w:type="dxa"/>
              <w:bottom w:w="80" w:type="dxa"/>
              <w:end w:w="120" w:type="dxa"/>
            </w:tcMar>
            <w:shd w:fill="E8EEF5"/>
          </w:tcPr>
          <w:p>
            <w:pPr>
              <w:spacing w:after="0"/>
            </w:pPr>
            <w:r>
              <w:rPr>
                <w:rFonts w:ascii="Calibri" w:hAnsi="Calibri" w:eastAsia="Noto Sans CJK SC"/>
                <w:b/>
                <w:color w:val="1F4D78"/>
                <w:sz w:val="21"/>
              </w:rPr>
              <w:t>内容</w:t>
            </w:r>
          </w:p>
        </w:tc>
      </w:tr>
      <w:tr>
        <w:trPr>
          <w:cantSplit/>
        </w:trPr>
        <w:tc>
          <w:tcPr>
            <w:tcW w:type="dxa" w:w="2232"/>
          </w:tcPr>
          <w:p>
            <w:pPr>
              <w:spacing w:after="0" w:line="264" w:lineRule="auto"/>
            </w:pPr>
            <w:r>
              <w:rPr>
                <w:rFonts w:ascii="Calibri" w:hAnsi="Calibri" w:eastAsia="Noto Sans CJK SC"/>
                <w:sz w:val="20"/>
              </w:rPr>
              <w:t>团队名称</w:t>
            </w:r>
          </w:p>
        </w:tc>
        <w:tc>
          <w:tcPr>
            <w:tcW w:type="dxa" w:w="7128"/>
          </w:tcPr>
          <w:p>
            <w:pPr>
              <w:spacing w:after="0" w:line="264" w:lineRule="auto"/>
            </w:pPr>
            <w:r>
              <w:rPr>
                <w:rFonts w:ascii="Calibri" w:hAnsi="Calibri" w:eastAsia="Noto Sans CJK SC"/>
                <w:sz w:val="20"/>
              </w:rPr>
              <w:t>Cognitive Pathfinders</w:t>
            </w:r>
          </w:p>
        </w:tc>
      </w:tr>
      <w:tr>
        <w:trPr>
          <w:cantSplit/>
        </w:trPr>
        <w:tc>
          <w:tcPr>
            <w:tcW w:type="dxa" w:w="2232"/>
          </w:tcPr>
          <w:p>
            <w:pPr>
              <w:spacing w:after="0" w:line="264" w:lineRule="auto"/>
            </w:pPr>
            <w:r>
              <w:rPr>
                <w:rFonts w:ascii="Calibri" w:hAnsi="Calibri" w:eastAsia="Noto Sans CJK SC"/>
                <w:sz w:val="20"/>
              </w:rPr>
              <w:t>项目定位</w:t>
            </w:r>
          </w:p>
        </w:tc>
        <w:tc>
          <w:tcPr>
            <w:tcW w:type="dxa" w:w="7128"/>
          </w:tcPr>
          <w:p>
            <w:pPr>
              <w:spacing w:after="0" w:line="264" w:lineRule="auto"/>
            </w:pPr>
            <w:r>
              <w:rPr>
                <w:rFonts w:ascii="Calibri" w:hAnsi="Calibri" w:eastAsia="Noto Sans CJK SC"/>
                <w:sz w:val="20"/>
              </w:rPr>
              <w:t>认知状态 + 思维品质诊断型学习规划 Copilot</w:t>
            </w:r>
          </w:p>
        </w:tc>
      </w:tr>
      <w:tr>
        <w:trPr>
          <w:cantSplit/>
        </w:trPr>
        <w:tc>
          <w:tcPr>
            <w:tcW w:type="dxa" w:w="2232"/>
          </w:tcPr>
          <w:p>
            <w:pPr>
              <w:spacing w:after="0" w:line="264" w:lineRule="auto"/>
            </w:pPr>
            <w:r>
              <w:rPr>
                <w:rFonts w:ascii="Calibri" w:hAnsi="Calibri" w:eastAsia="Noto Sans CJK SC"/>
                <w:sz w:val="20"/>
              </w:rPr>
              <w:t>核心场景</w:t>
            </w:r>
          </w:p>
        </w:tc>
        <w:tc>
          <w:tcPr>
            <w:tcW w:type="dxa" w:w="7128"/>
          </w:tcPr>
          <w:p>
            <w:pPr>
              <w:spacing w:after="0" w:line="264" w:lineRule="auto"/>
            </w:pPr>
            <w:r>
              <w:rPr>
                <w:rFonts w:ascii="Calibri" w:hAnsi="Calibri" w:eastAsia="Noto Sans CJK SC"/>
                <w:sz w:val="20"/>
              </w:rPr>
              <w:t>初中英语单元学习后的认知与思维诊断、规则化学习路径推荐和教师可审计决策支持</w:t>
            </w:r>
          </w:p>
        </w:tc>
      </w:tr>
      <w:tr>
        <w:trPr>
          <w:cantSplit/>
        </w:trPr>
        <w:tc>
          <w:tcPr>
            <w:tcW w:type="dxa" w:w="2232"/>
          </w:tcPr>
          <w:p>
            <w:pPr>
              <w:spacing w:after="0" w:line="264" w:lineRule="auto"/>
            </w:pPr>
            <w:r>
              <w:rPr>
                <w:rFonts w:ascii="Calibri" w:hAnsi="Calibri" w:eastAsia="Noto Sans CJK SC"/>
                <w:sz w:val="20"/>
              </w:rPr>
              <w:t>目标客户</w:t>
            </w:r>
          </w:p>
        </w:tc>
        <w:tc>
          <w:tcPr>
            <w:tcW w:type="dxa" w:w="7128"/>
          </w:tcPr>
          <w:p>
            <w:pPr>
              <w:spacing w:after="0" w:line="264" w:lineRule="auto"/>
            </w:pPr>
            <w:r>
              <w:rPr>
                <w:rFonts w:ascii="Calibri" w:hAnsi="Calibri" w:eastAsia="Noto Sans CJK SC"/>
                <w:sz w:val="20"/>
              </w:rPr>
              <w:t>公立初中、九年一贯制学校、智慧校园试点校、区域教育信息化平台</w:t>
            </w:r>
          </w:p>
        </w:tc>
      </w:tr>
      <w:tr>
        <w:trPr>
          <w:cantSplit/>
        </w:trPr>
        <w:tc>
          <w:tcPr>
            <w:tcW w:type="dxa" w:w="2232"/>
          </w:tcPr>
          <w:p>
            <w:pPr>
              <w:spacing w:after="0" w:line="264" w:lineRule="auto"/>
            </w:pPr>
            <w:r>
              <w:rPr>
                <w:rFonts w:ascii="Calibri" w:hAnsi="Calibri" w:eastAsia="Noto Sans CJK SC"/>
                <w:sz w:val="20"/>
              </w:rPr>
              <w:t>核心技术</w:t>
            </w:r>
          </w:p>
        </w:tc>
        <w:tc>
          <w:tcPr>
            <w:tcW w:type="dxa" w:w="7128"/>
            <w:vAlign w:val="center"/>
          </w:tcPr>
          <w:p>
            <w:pPr>
              <w:spacing w:after="0" w:line="240" w:lineRule="auto"/>
              <w:jc w:val="left"/>
            </w:pPr>
            <w:r>
              <w:t>多维知识图谱、LLM 自动标注、学习者画像、BKT、IRT、规则推荐引擎、多智能体编排、Verifier、教师可审计解释、Research &amp; Evidence Review Agent、Lint &amp; Quality Gate、Decision Trace</w:t>
            </w:r>
            <w:r>
              <w:rPr>
                <w:rFonts w:ascii="Arial" w:hAnsi="Arial" w:eastAsia="Noto Sans CJK SC"/>
                <w:b w:val="0"/>
                <w:i w:val="0"/>
                <w:color w:val="25313C"/>
                <w:sz w:val="16"/>
              </w:rPr>
            </w:r>
          </w:p>
        </w:tc>
      </w:tr>
      <w:tr>
        <w:trPr>
          <w:cantSplit/>
        </w:trPr>
        <w:tc>
          <w:tcPr>
            <w:tcW w:type="dxa" w:w="46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tcPr>
          <w:p>
            <w:pPr>
              <w:spacing w:after="0" w:line="269" w:lineRule="auto"/>
            </w:pPr>
            <w:r>
              <w:rPr>
                <w:rFonts w:ascii="Calibri" w:hAnsi="Calibri" w:eastAsia="Noto Sans CJK SC"/>
                <w:b/>
                <w:i w:val="0"/>
                <w:color w:val="263746"/>
                <w:sz w:val="18"/>
              </w:rPr>
              <w:t>项目框架</w:t>
            </w:r>
          </w:p>
        </w:tc>
        <w:tc>
          <w:tcPr>
            <w:tcW w:type="dxa" w:w="46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left"/>
            </w:pPr>
            <w:r>
              <w:t>管理中台 + 学生学习端 + 智能学习后端（Router/Orchestrator + Learning Agents + Research Governance + Adaptive Core + BKT/IRT/Rules 工具服务 + 数据与证据底座）</w:t>
            </w:r>
            <w:r>
              <w:rPr>
                <w:rFonts w:ascii="Arial" w:hAnsi="Arial" w:eastAsia="Noto Sans CJK SC"/>
                <w:b w:val="0"/>
                <w:i w:val="0"/>
                <w:color w:val="25313C"/>
                <w:sz w:val="16"/>
              </w:rPr>
            </w:r>
          </w:p>
        </w:tc>
      </w:tr>
      <w:tr>
        <w:trPr>
          <w:cantSplit/>
        </w:trPr>
        <w:tc>
          <w:tcPr>
            <w:tcW w:type="dxa" w:w="46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tcPr>
          <w:p>
            <w:pPr>
              <w:spacing w:after="0" w:line="269" w:lineRule="auto"/>
            </w:pPr>
            <w:r>
              <w:rPr>
                <w:rFonts w:ascii="Calibri" w:hAnsi="Calibri" w:eastAsia="Noto Sans CJK SC"/>
                <w:b/>
                <w:i w:val="0"/>
                <w:color w:val="263746"/>
                <w:sz w:val="18"/>
              </w:rPr>
              <w:t>评估框架</w:t>
            </w:r>
          </w:p>
        </w:tc>
        <w:tc>
          <w:tcPr>
            <w:tcW w:type="dxa" w:w="46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left"/>
            </w:pPr>
            <w:r>
              <w:t>内容与 Lint 质量、研究证据覆盖、BKT/IRT 校准、思维诊断一致性、规则推荐质量、学习增益、Agent 可靠性、教师审计体验与成本效率</w:t>
            </w:r>
            <w:r>
              <w:rPr>
                <w:rFonts w:ascii="Arial" w:hAnsi="Arial" w:eastAsia="Noto Sans CJK SC"/>
                <w:b w:val="0"/>
                <w:i w:val="0"/>
                <w:color w:val="25313C"/>
                <w:sz w:val="16"/>
              </w:rPr>
            </w:r>
          </w:p>
        </w:tc>
      </w:tr>
      <w:tr>
        <w:tc>
          <w:tcPr>
            <w:tcW w:type="dxa" w:w="4680"/>
            <w:vAlign w:val="center"/>
          </w:tcPr>
          <w:p>
            <w:pPr>
              <w:spacing w:after="0" w:line="240" w:lineRule="auto"/>
              <w:jc w:val="left"/>
            </w:pPr>
            <w:r>
              <w:t>治理机制</w:t>
            </w:r>
            <w:r>
              <w:rPr>
                <w:rFonts w:ascii="Arial" w:hAnsi="Arial" w:eastAsia="Noto Sans CJK SC"/>
                <w:b w:val="0"/>
                <w:i w:val="0"/>
                <w:color w:val="25313C"/>
                <w:sz w:val="16"/>
              </w:rPr>
            </w:r>
          </w:p>
        </w:tc>
        <w:tc>
          <w:tcPr>
            <w:tcW w:type="dxa" w:w="4680"/>
            <w:vAlign w:val="center"/>
          </w:tcPr>
          <w:p>
            <w:pPr>
              <w:spacing w:after="0" w:line="240" w:lineRule="auto"/>
              <w:jc w:val="left"/>
            </w:pPr>
            <w:r>
              <w:t>Research Evidence Review + Lint Quality Gates + 教研/教师人工复核 + 教师最终决策权</w:t>
            </w:r>
            <w:r>
              <w:rPr>
                <w:rFonts w:ascii="Arial" w:hAnsi="Arial" w:eastAsia="Noto Sans CJK SC"/>
                <w:b w:val="0"/>
                <w:i w:val="0"/>
                <w:color w:val="25313C"/>
                <w:sz w:val="16"/>
              </w:rPr>
            </w:r>
          </w:p>
        </w:tc>
      </w:tr>
    </w:tbl>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80" w:type="dxa"/>
              <w:start w:w="120" w:type="dxa"/>
              <w:bottom w:w="80" w:type="dxa"/>
              <w:end w:w="120" w:type="dxa"/>
            </w:tcMar>
            <w:shd w:fill="F4F6F9"/>
          </w:tcPr>
          <w:p>
            <w:pPr>
              <w:spacing w:after="60"/>
            </w:pPr>
            <w:r>
              <w:rPr>
                <w:rFonts w:ascii="Calibri" w:hAnsi="Calibri" w:eastAsia="Noto Sans CJK SC"/>
                <w:b/>
                <w:color w:val="1F4D78"/>
                <w:sz w:val="22"/>
              </w:rPr>
              <w:t>一句话概括</w:t>
            </w:r>
          </w:p>
          <w:p>
            <w:pPr>
              <w:spacing w:after="0" w:line="264" w:lineRule="auto"/>
            </w:pPr>
            <w:r>
              <w:rPr>
                <w:rFonts w:ascii="Calibri" w:hAnsi="Calibri" w:eastAsia="Noto Sans CJK SC"/>
              </w:rPr>
              <w:t>AdaptLearn Copilot 不是教育 chatbot，也不是普通刷题推荐系统，而是一个面向学校教学场景的“认知状态 + 思维品质”诊断型多智能体学习规划系统。</w:t>
            </w:r>
          </w:p>
        </w:tc>
      </w:tr>
    </w:tbl>
    <w:p/>
    <w:p>
      <w:r>
        <w:br w:type="page"/>
      </w:r>
    </w:p>
    <w:p>
      <w:pPr>
        <w:pStyle w:val="Heading1"/>
        <w:keepNext/>
        <w:spacing w:before="200" w:after="80"/>
      </w:pPr>
      <w:r>
        <w:t>1. 项目背景</w:t>
      </w:r>
    </w:p>
    <w:p>
      <w:pPr>
        <w:spacing w:after="120" w:line="264" w:lineRule="auto"/>
      </w:pPr>
      <w:r>
        <w:rPr>
          <w:rFonts w:ascii="Calibri" w:hAnsi="Calibri" w:eastAsia="Noto Sans CJK SC"/>
        </w:rPr>
        <w:t>在公立初中英语教学中，班级规模大、学生差异明显、教师时间有限，使得“因材施教”长期存在执行难题。教师通常能看到分数、错题和作业完成情况，却很难持续判断每个学生背后的知识缺口、掌握层级、学习策略和思维发展状态。</w:t>
      </w:r>
    </w:p>
    <w:p>
      <w:pPr>
        <w:spacing w:after="120" w:line="264" w:lineRule="auto"/>
      </w:pPr>
      <w:r>
        <w:rPr>
          <w:rFonts w:ascii="Calibri" w:hAnsi="Calibri" w:eastAsia="Noto Sans CJK SC"/>
        </w:rPr>
        <w:t>随着智慧校园、教育数字化和生成式 AI 的发展，学校开始引入智能学习系统。但大量产品仍停留在内容推荐、错题推送或问答助手层面，缺少对学生认知状态的结构化建模，也缺少教师可理解、可验证、可干预的推荐依据。</w:t>
      </w:r>
    </w:p>
    <w:p>
      <w:pPr>
        <w:spacing w:after="120" w:line="264" w:lineRule="auto"/>
      </w:pPr>
      <w:r>
        <w:rPr>
          <w:rFonts w:ascii="Calibri" w:hAnsi="Calibri" w:eastAsia="Noto Sans CJK SC"/>
        </w:rPr>
        <w:t>AdaptLearn Copilot 聚焦初中英语场景，将课程知识图谱、布鲁姆掌握层级、学习行为、思维品质和知识追踪算法结合起来，帮助教师和学生从“知道错了什么”升级到“知道为什么错、当前处于什么发展层级、下一步应该怎么学”。</w:t>
      </w:r>
    </w:p>
    <w:p>
      <w:pPr>
        <w:pStyle w:val="Heading1"/>
        <w:keepNext/>
        <w:spacing w:before="200" w:after="80"/>
      </w:pPr>
      <w:r>
        <w:t>2. 项目目标</w:t>
      </w:r>
    </w:p>
    <w:p>
      <w:pPr>
        <w:pStyle w:val="ListBullet"/>
        <w:spacing w:after="60" w:line="264" w:lineRule="auto"/>
      </w:pPr>
      <w:r>
        <w:rPr>
          <w:rFonts w:ascii="Calibri" w:hAnsi="Calibri" w:eastAsia="Noto Sans CJK SC"/>
        </w:rPr>
        <w:t>构建一个面向 K12 公立学校初中英语的轻量级学习诊断与路径规划 Copilot。</w:t>
      </w:r>
    </w:p>
    <w:p>
      <w:pPr>
        <w:pStyle w:val="ListBullet"/>
        <w:spacing w:after="60" w:line="264" w:lineRule="auto"/>
      </w:pPr>
      <w:r>
        <w:rPr>
          <w:rFonts w:ascii="Calibri" w:hAnsi="Calibri" w:eastAsia="Noto Sans CJK SC"/>
        </w:rPr>
        <w:t>将学生作业、错题、测验、课堂活动和学习行为转化为可计算的学习者画像。</w:t>
      </w:r>
    </w:p>
    <w:p>
      <w:pPr>
        <w:pStyle w:val="ListBullet"/>
        <w:spacing w:after="60" w:line="264" w:lineRule="auto"/>
      </w:pPr>
      <w:r>
        <w:rPr>
          <w:rFonts w:ascii="Calibri" w:hAnsi="Calibri" w:eastAsia="Noto Sans CJK SC"/>
        </w:rPr>
        <w:t>基于多维英语知识图谱和布鲁姆分类法，识别学生知识掌握状态和掌握层级。</w:t>
      </w:r>
    </w:p>
    <w:p>
      <w:pPr>
        <w:pStyle w:val="ListBullet"/>
      </w:pPr>
      <w:r>
        <w:rPr>
          <w:rFonts w:eastAsia="Noto Sans CJK SC" w:ascii="Calibri" w:hAnsi="Calibri"/>
        </w:rPr>
        <w:t>建立以 LLM 为核心的内容自动标注流水线，将教材、试题、素材和课堂活动映射到受控的知识点、技能、Bloom 与思维品质标签体系。</w:t>
      </w:r>
    </w:p>
    <w:p>
      <w:pPr>
        <w:pStyle w:val="ListBullet"/>
        <w:spacing w:after="60" w:line="264" w:lineRule="auto"/>
      </w:pPr>
      <w:r>
        <w:t>引入思维品质诊断，依据课标从“观察与辨析、归纳与推断、批判与创新”三个维度判断学生的发展水平。</w:t>
      </w:r>
    </w:p>
    <w:p>
      <w:pPr>
        <w:pStyle w:val="ListBullet"/>
        <w:spacing w:after="60" w:line="264" w:lineRule="auto"/>
      </w:pPr>
      <w:r>
        <w:rPr>
          <w:rFonts w:ascii="Calibri" w:hAnsi="Calibri" w:eastAsia="Noto Sans CJK SC"/>
        </w:rPr>
        <w:t>使用 BKT 估计学生在各知识点上的掌握概率，使用 IRT 估计学生能力与任务难度匹配；由规则推荐引擎生成下一步学习任务，并通过 Verifier Agent 进行教学适切性校验。</w:t>
      </w:r>
    </w:p>
    <w:p>
      <w:pPr>
        <w:pStyle w:val="ListBullet"/>
        <w:spacing w:after="60" w:line="264" w:lineRule="auto"/>
      </w:pPr>
      <w:r>
        <w:t>为教师提供可审计解释：明确展示学习证据、BKT/IRT 状态、触发规则、候选排除原因、模型与规则版本、Lint/Verifier 结果及教师操作记录；学生端输出简明、适龄、可行动的推荐理由。</w:t>
      </w:r>
    </w:p>
    <w:p>
      <w:pPr>
        <w:pStyle w:val="ListBullet"/>
        <w:spacing w:after="40"/>
      </w:pPr>
      <w:r>
        <w:rPr>
          <w:rFonts w:ascii="Arial" w:hAnsi="Arial" w:eastAsia="Noto Sans CJK SC"/>
          <w:b w:val="0"/>
          <w:i w:val="0"/>
          <w:color w:val="25313C"/>
          <w:sz w:val="19"/>
        </w:rPr>
        <w:t>通过 Research &amp; Evidence Review Agent 对核心架构、算法、量规和评估主张进行权威来源检索、证据分级、适用性审查与版本化登记。</w:t>
      </w:r>
    </w:p>
    <w:p>
      <w:pPr>
        <w:pStyle w:val="ListBullet"/>
        <w:spacing w:after="40"/>
      </w:pPr>
      <w:r>
        <w:rPr>
          <w:rFonts w:ascii="Arial" w:hAnsi="Arial" w:eastAsia="Noto Sans CJK SC"/>
          <w:b w:val="0"/>
          <w:i w:val="0"/>
          <w:color w:val="25313C"/>
          <w:sz w:val="19"/>
        </w:rPr>
        <w:t>建立覆盖内容入库、自动标注、课程组装、学习路径、学生端输出和学习证据回流的 Lint &amp; Quality Gate 体系，以规则化门禁降低格式、学科、教学、价值观、合规与数据质量风险。</w:t>
      </w:r>
    </w:p>
    <w:p>
      <w:pPr>
        <w:pStyle w:val="Heading1"/>
        <w:keepNext/>
        <w:spacing w:before="200" w:after="80"/>
      </w:pPr>
      <w:r>
        <w:t>3. 目标用户与客户画像</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376"/>
            <w:vAlign w:val="center"/>
            <w:tcMar>
              <w:top w:w="80" w:type="dxa"/>
              <w:start w:w="120" w:type="dxa"/>
              <w:bottom w:w="80" w:type="dxa"/>
              <w:end w:w="120" w:type="dxa"/>
            </w:tcMar>
            <w:shd w:fill="F2F4F7"/>
          </w:tcPr>
          <w:p>
            <w:pPr>
              <w:spacing w:after="0"/>
            </w:pPr>
            <w:r>
              <w:rPr>
                <w:rFonts w:ascii="Calibri" w:hAnsi="Calibri" w:eastAsia="Noto Sans CJK SC"/>
                <w:b/>
                <w:color w:val="1F4D78"/>
                <w:sz w:val="21"/>
              </w:rPr>
              <w:t>用户/客户</w:t>
            </w:r>
          </w:p>
        </w:tc>
        <w:tc>
          <w:tcPr>
            <w:tcW w:type="dxa" w:w="6983"/>
            <w:vAlign w:val="center"/>
            <w:tcMar>
              <w:top w:w="80" w:type="dxa"/>
              <w:start w:w="120" w:type="dxa"/>
              <w:bottom w:w="80" w:type="dxa"/>
              <w:end w:w="120" w:type="dxa"/>
            </w:tcMar>
            <w:shd w:fill="F2F4F7"/>
          </w:tcPr>
          <w:p>
            <w:pPr>
              <w:spacing w:after="0"/>
            </w:pPr>
            <w:r>
              <w:rPr>
                <w:rFonts w:ascii="Calibri" w:hAnsi="Calibri" w:eastAsia="Noto Sans CJK SC"/>
                <w:b/>
                <w:color w:val="1F4D78"/>
                <w:sz w:val="21"/>
              </w:rPr>
              <w:t>核心需求</w:t>
            </w:r>
          </w:p>
        </w:tc>
      </w:tr>
      <w:tr>
        <w:trPr>
          <w:cantSplit/>
        </w:trPr>
        <w:tc>
          <w:tcPr>
            <w:tcW w:type="dxa" w:w="2376"/>
          </w:tcPr>
          <w:p>
            <w:pPr>
              <w:spacing w:after="0" w:line="264" w:lineRule="auto"/>
            </w:pPr>
            <w:r>
              <w:rPr>
                <w:rFonts w:ascii="Calibri" w:hAnsi="Calibri" w:eastAsia="Noto Sans CJK SC"/>
                <w:sz w:val="20"/>
              </w:rPr>
              <w:t>初中英语教师</w:t>
            </w:r>
          </w:p>
        </w:tc>
        <w:tc>
          <w:tcPr>
            <w:tcW w:type="dxa" w:w="6983"/>
          </w:tcPr>
          <w:p>
            <w:pPr>
              <w:spacing w:after="0" w:line="264" w:lineRule="auto"/>
            </w:pPr>
            <w:r>
              <w:rPr>
                <w:rFonts w:ascii="Calibri" w:hAnsi="Calibri" w:eastAsia="Noto Sans CJK SC"/>
                <w:sz w:val="20"/>
              </w:rPr>
              <w:t>快速理解每个学生的知识缺口、技能短板、思维发展水平和下一步学习任务。</w:t>
            </w:r>
          </w:p>
        </w:tc>
      </w:tr>
      <w:tr>
        <w:trPr>
          <w:cantSplit/>
        </w:trPr>
        <w:tc>
          <w:tcPr>
            <w:tcW w:type="dxa" w:w="2376"/>
          </w:tcPr>
          <w:p>
            <w:pPr>
              <w:spacing w:after="0" w:line="264" w:lineRule="auto"/>
            </w:pPr>
            <w:r>
              <w:rPr>
                <w:rFonts w:ascii="Calibri" w:hAnsi="Calibri" w:eastAsia="Noto Sans CJK SC"/>
                <w:sz w:val="20"/>
              </w:rPr>
              <w:t>英语教研组长</w:t>
            </w:r>
          </w:p>
        </w:tc>
        <w:tc>
          <w:tcPr>
            <w:tcW w:type="dxa" w:w="6983"/>
          </w:tcPr>
          <w:p>
            <w:pPr>
              <w:spacing w:after="0" w:line="264" w:lineRule="auto"/>
            </w:pPr>
            <w:r>
              <w:rPr>
                <w:rFonts w:ascii="Calibri" w:hAnsi="Calibri" w:eastAsia="Noto Sans CJK SC"/>
                <w:sz w:val="20"/>
              </w:rPr>
              <w:t>查看班级或年级层面的共性薄弱点，优化单元复习、分层作业和教研设计。</w:t>
            </w:r>
          </w:p>
        </w:tc>
      </w:tr>
      <w:tr>
        <w:trPr>
          <w:cantSplit/>
        </w:trPr>
        <w:tc>
          <w:tcPr>
            <w:tcW w:type="dxa" w:w="2376"/>
          </w:tcPr>
          <w:p>
            <w:pPr>
              <w:spacing w:after="0" w:line="264" w:lineRule="auto"/>
            </w:pPr>
            <w:r>
              <w:rPr>
                <w:rFonts w:ascii="Calibri" w:hAnsi="Calibri" w:eastAsia="Noto Sans CJK SC"/>
                <w:sz w:val="20"/>
              </w:rPr>
              <w:t>学生</w:t>
            </w:r>
          </w:p>
        </w:tc>
        <w:tc>
          <w:tcPr>
            <w:tcW w:type="dxa" w:w="6983"/>
          </w:tcPr>
          <w:p>
            <w:pPr>
              <w:spacing w:after="0" w:line="264" w:lineRule="auto"/>
            </w:pPr>
            <w:r>
              <w:rPr>
                <w:rFonts w:ascii="Calibri" w:hAnsi="Calibri" w:eastAsia="Noto Sans CJK SC"/>
                <w:sz w:val="20"/>
              </w:rPr>
              <w:t>知道自己哪里薄弱、为什么薄弱、下一步怎么学，减少盲目刷题。</w:t>
            </w:r>
          </w:p>
        </w:tc>
      </w:tr>
      <w:tr>
        <w:trPr>
          <w:cantSplit/>
        </w:trPr>
        <w:tc>
          <w:tcPr>
            <w:tcW w:type="dxa" w:w="2376"/>
          </w:tcPr>
          <w:p>
            <w:pPr>
              <w:spacing w:after="0" w:line="264" w:lineRule="auto"/>
            </w:pPr>
            <w:r>
              <w:rPr>
                <w:rFonts w:ascii="Calibri" w:hAnsi="Calibri" w:eastAsia="Noto Sans CJK SC"/>
                <w:sz w:val="20"/>
              </w:rPr>
              <w:t>学校信息化负责人</w:t>
            </w:r>
          </w:p>
        </w:tc>
        <w:tc>
          <w:tcPr>
            <w:tcW w:type="dxa" w:w="6983"/>
          </w:tcPr>
          <w:p>
            <w:pPr>
              <w:spacing w:after="0" w:line="264" w:lineRule="auto"/>
            </w:pPr>
            <w:r>
              <w:rPr>
                <w:rFonts w:ascii="Calibri" w:hAnsi="Calibri" w:eastAsia="Noto Sans CJK SC"/>
                <w:sz w:val="20"/>
              </w:rPr>
              <w:t>引入符合课标、可解释、低成本、教师可控的 AI 学习系统。</w:t>
            </w:r>
          </w:p>
        </w:tc>
      </w:tr>
      <w:tr>
        <w:trPr>
          <w:cantSplit/>
        </w:trPr>
        <w:tc>
          <w:tcPr>
            <w:tcW w:type="dxa" w:w="2376"/>
          </w:tcPr>
          <w:p>
            <w:pPr>
              <w:spacing w:after="0" w:line="264" w:lineRule="auto"/>
            </w:pPr>
            <w:r>
              <w:rPr>
                <w:rFonts w:ascii="Calibri" w:hAnsi="Calibri" w:eastAsia="Noto Sans CJK SC"/>
                <w:sz w:val="20"/>
              </w:rPr>
              <w:t>区域教育信息化平台</w:t>
            </w:r>
          </w:p>
        </w:tc>
        <w:tc>
          <w:tcPr>
            <w:tcW w:type="dxa" w:w="6983"/>
          </w:tcPr>
          <w:p>
            <w:pPr>
              <w:spacing w:after="0" w:line="264" w:lineRule="auto"/>
            </w:pPr>
            <w:r>
              <w:rPr>
                <w:rFonts w:ascii="Calibri" w:hAnsi="Calibri" w:eastAsia="Noto Sans CJK SC"/>
                <w:sz w:val="20"/>
              </w:rPr>
              <w:t>沉淀学生学习数据资产，支持区域层面的教学质量分析和资源配置。</w:t>
            </w:r>
          </w:p>
        </w:tc>
      </w:tr>
      <w:tr>
        <w:trPr>
          <w:cantSplit/>
        </w:trPr>
        <w:tc>
          <w:tcPr>
            <w:tcW w:type="dxa" w:w="2376"/>
          </w:tcPr>
          <w:p>
            <w:pPr>
              <w:spacing w:after="0" w:line="264" w:lineRule="auto"/>
            </w:pPr>
            <w:r>
              <w:rPr>
                <w:rFonts w:ascii="Calibri" w:hAnsi="Calibri" w:eastAsia="Noto Sans CJK SC"/>
                <w:sz w:val="20"/>
              </w:rPr>
              <w:t>家长</w:t>
            </w:r>
          </w:p>
        </w:tc>
        <w:tc>
          <w:tcPr>
            <w:tcW w:type="dxa" w:w="6983"/>
          </w:tcPr>
          <w:p>
            <w:pPr>
              <w:spacing w:after="0" w:line="264" w:lineRule="auto"/>
            </w:pPr>
            <w:r>
              <w:rPr>
                <w:rFonts w:ascii="Calibri" w:hAnsi="Calibri" w:eastAsia="Noto Sans CJK SC"/>
                <w:sz w:val="20"/>
              </w:rPr>
              <w:t>作为辅助使用者了解学生学习状态，但不是系统的第一核心用户。</w:t>
            </w:r>
          </w:p>
        </w:tc>
      </w:tr>
    </w:tbl>
    <w:p/>
    <w:p>
      <w:pPr>
        <w:spacing w:after="120" w:line="264" w:lineRule="auto"/>
      </w:pPr>
      <w:r>
        <w:rPr>
          <w:rFonts w:ascii="Calibri" w:hAnsi="Calibri" w:eastAsia="Noto Sans CJK SC"/>
        </w:rPr>
        <w:t>项目叙事需要明确：AdaptLearn Copilot 服务的是学校教学场景，不是校外培训场景；核心客户是公立学校和区域教育信息化平台，核心使用者是教师和学生。</w:t>
      </w:r>
    </w:p>
    <w:p>
      <w:pPr>
        <w:pStyle w:val="Heading1"/>
        <w:keepNext/>
        <w:spacing w:before="200" w:after="80"/>
      </w:pPr>
      <w:r>
        <w:t>4. 用户研究与需求验证</w:t>
      </w:r>
    </w:p>
    <w:p>
      <w:pPr>
        <w:spacing w:after="120" w:line="264" w:lineRule="auto"/>
      </w:pPr>
      <w:r>
        <w:rPr>
          <w:rFonts w:ascii="Calibri" w:hAnsi="Calibri" w:eastAsia="Noto Sans CJK SC"/>
        </w:rPr>
        <w:t>为避免方案停留在技术想象，项目将用户研究拆成“对象、方法、发现、需求转化”四层。MVP 阶段可通过访谈、课堂观察、作业/错题样本分析和竞品分析形成需求证据链。</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1800"/>
            <w:vAlign w:val="center"/>
            <w:tcMar>
              <w:top w:w="80" w:type="dxa"/>
              <w:start w:w="120" w:type="dxa"/>
              <w:bottom w:w="80" w:type="dxa"/>
              <w:end w:w="120" w:type="dxa"/>
            </w:tcMar>
            <w:shd w:fill="E8EEF5"/>
          </w:tcPr>
          <w:p>
            <w:pPr>
              <w:spacing w:after="0"/>
            </w:pPr>
            <w:r>
              <w:rPr>
                <w:rFonts w:ascii="Calibri" w:hAnsi="Calibri" w:eastAsia="Noto Sans CJK SC"/>
                <w:b/>
                <w:color w:val="1F4D78"/>
                <w:sz w:val="21"/>
              </w:rPr>
              <w:t>研究对象</w:t>
            </w:r>
          </w:p>
        </w:tc>
        <w:tc>
          <w:tcPr>
            <w:tcW w:type="dxa" w:w="1944"/>
            <w:vAlign w:val="center"/>
            <w:tcMar>
              <w:top w:w="80" w:type="dxa"/>
              <w:start w:w="120" w:type="dxa"/>
              <w:bottom w:w="80" w:type="dxa"/>
              <w:end w:w="120" w:type="dxa"/>
            </w:tcMar>
            <w:shd w:fill="E8EEF5"/>
          </w:tcPr>
          <w:p>
            <w:pPr>
              <w:spacing w:after="0"/>
            </w:pPr>
            <w:r>
              <w:rPr>
                <w:rFonts w:ascii="Calibri" w:hAnsi="Calibri" w:eastAsia="Noto Sans CJK SC"/>
                <w:b/>
                <w:color w:val="1F4D78"/>
                <w:sz w:val="21"/>
              </w:rPr>
              <w:t>研究方式</w:t>
            </w:r>
          </w:p>
        </w:tc>
        <w:tc>
          <w:tcPr>
            <w:tcW w:type="dxa" w:w="2951"/>
            <w:vAlign w:val="center"/>
            <w:tcMar>
              <w:top w:w="80" w:type="dxa"/>
              <w:start w:w="120" w:type="dxa"/>
              <w:bottom w:w="80" w:type="dxa"/>
              <w:end w:w="120" w:type="dxa"/>
            </w:tcMar>
            <w:shd w:fill="E8EEF5"/>
          </w:tcPr>
          <w:p>
            <w:pPr>
              <w:spacing w:after="0"/>
            </w:pPr>
            <w:r>
              <w:rPr>
                <w:rFonts w:ascii="Calibri" w:hAnsi="Calibri" w:eastAsia="Noto Sans CJK SC"/>
                <w:b/>
                <w:color w:val="1F4D78"/>
                <w:sz w:val="21"/>
              </w:rPr>
              <w:t>关键发现</w:t>
            </w:r>
          </w:p>
        </w:tc>
        <w:tc>
          <w:tcPr>
            <w:tcW w:type="dxa" w:w="2664"/>
            <w:vAlign w:val="center"/>
            <w:tcMar>
              <w:top w:w="80" w:type="dxa"/>
              <w:start w:w="120" w:type="dxa"/>
              <w:bottom w:w="80" w:type="dxa"/>
              <w:end w:w="120" w:type="dxa"/>
            </w:tcMar>
            <w:shd w:fill="E8EEF5"/>
          </w:tcPr>
          <w:p>
            <w:pPr>
              <w:spacing w:after="0"/>
            </w:pPr>
            <w:r>
              <w:rPr>
                <w:rFonts w:ascii="Calibri" w:hAnsi="Calibri" w:eastAsia="Noto Sans CJK SC"/>
                <w:b/>
                <w:color w:val="1F4D78"/>
                <w:sz w:val="21"/>
              </w:rPr>
              <w:t>产品需求转化</w:t>
            </w:r>
          </w:p>
        </w:tc>
      </w:tr>
      <w:tr>
        <w:trPr>
          <w:cantSplit/>
        </w:trPr>
        <w:tc>
          <w:tcPr>
            <w:tcW w:type="dxa" w:w="1800"/>
          </w:tcPr>
          <w:p>
            <w:pPr>
              <w:spacing w:after="0" w:line="264" w:lineRule="auto"/>
            </w:pPr>
            <w:r>
              <w:rPr>
                <w:rFonts w:ascii="Calibri" w:hAnsi="Calibri" w:eastAsia="Noto Sans CJK SC"/>
                <w:sz w:val="20"/>
              </w:rPr>
              <w:t>初中英语教师</w:t>
            </w:r>
          </w:p>
        </w:tc>
        <w:tc>
          <w:tcPr>
            <w:tcW w:type="dxa" w:w="1944"/>
          </w:tcPr>
          <w:p>
            <w:pPr>
              <w:spacing w:after="0" w:line="264" w:lineRule="auto"/>
            </w:pPr>
            <w:r>
              <w:rPr>
                <w:rFonts w:ascii="Calibri" w:hAnsi="Calibri" w:eastAsia="Noto Sans CJK SC"/>
                <w:sz w:val="20"/>
              </w:rPr>
              <w:t>访谈 / 课堂观察</w:t>
            </w:r>
          </w:p>
        </w:tc>
        <w:tc>
          <w:tcPr>
            <w:tcW w:type="dxa" w:w="2951"/>
          </w:tcPr>
          <w:p>
            <w:pPr>
              <w:spacing w:after="0" w:line="264" w:lineRule="auto"/>
            </w:pPr>
            <w:r>
              <w:rPr>
                <w:rFonts w:ascii="Calibri" w:hAnsi="Calibri" w:eastAsia="Noto Sans CJK SC"/>
                <w:sz w:val="20"/>
              </w:rPr>
              <w:t>教师能看到分数和错题，但难以持续判断每个学生的真实薄弱点。</w:t>
            </w:r>
          </w:p>
        </w:tc>
        <w:tc>
          <w:tcPr>
            <w:tcW w:type="dxa" w:w="2664"/>
          </w:tcPr>
          <w:p>
            <w:pPr>
              <w:spacing w:after="0" w:line="264" w:lineRule="auto"/>
            </w:pPr>
            <w:r>
              <w:rPr>
                <w:rFonts w:ascii="Calibri" w:hAnsi="Calibri" w:eastAsia="Noto Sans CJK SC"/>
                <w:sz w:val="20"/>
              </w:rPr>
              <w:t>知识缺口 Dashboard、认知状态摘要、分层任务建议。</w:t>
            </w:r>
          </w:p>
        </w:tc>
      </w:tr>
      <w:tr>
        <w:trPr>
          <w:cantSplit/>
        </w:trPr>
        <w:tc>
          <w:tcPr>
            <w:tcW w:type="dxa" w:w="1800"/>
          </w:tcPr>
          <w:p>
            <w:pPr>
              <w:spacing w:after="0" w:line="264" w:lineRule="auto"/>
            </w:pPr>
            <w:r>
              <w:rPr>
                <w:rFonts w:ascii="Calibri" w:hAnsi="Calibri" w:eastAsia="Noto Sans CJK SC"/>
                <w:sz w:val="20"/>
              </w:rPr>
              <w:t>学生</w:t>
            </w:r>
          </w:p>
        </w:tc>
        <w:tc>
          <w:tcPr>
            <w:tcW w:type="dxa" w:w="1944"/>
          </w:tcPr>
          <w:p>
            <w:pPr>
              <w:spacing w:after="0" w:line="264" w:lineRule="auto"/>
            </w:pPr>
            <w:r>
              <w:rPr>
                <w:rFonts w:ascii="Calibri" w:hAnsi="Calibri" w:eastAsia="Noto Sans CJK SC"/>
                <w:sz w:val="20"/>
              </w:rPr>
              <w:t>问卷 / 学习记录分析</w:t>
            </w:r>
          </w:p>
        </w:tc>
        <w:tc>
          <w:tcPr>
            <w:tcW w:type="dxa" w:w="2951"/>
          </w:tcPr>
          <w:p>
            <w:pPr>
              <w:spacing w:after="0" w:line="264" w:lineRule="auto"/>
            </w:pPr>
            <w:r>
              <w:rPr>
                <w:rFonts w:ascii="Calibri" w:hAnsi="Calibri" w:eastAsia="Noto Sans CJK SC"/>
                <w:sz w:val="20"/>
              </w:rPr>
              <w:t>学生知道自己错了，但常常不知道错因和下一步学习路径。</w:t>
            </w:r>
          </w:p>
        </w:tc>
        <w:tc>
          <w:tcPr>
            <w:tcW w:type="dxa" w:w="2664"/>
          </w:tcPr>
          <w:p>
            <w:pPr>
              <w:spacing w:after="0" w:line="264" w:lineRule="auto"/>
            </w:pPr>
            <w:r>
              <w:rPr>
                <w:rFonts w:ascii="Calibri" w:hAnsi="Calibri" w:eastAsia="Noto Sans CJK SC"/>
                <w:sz w:val="20"/>
              </w:rPr>
              <w:t>学生版诊断解释、个性化学习路径、反思任务。</w:t>
            </w:r>
          </w:p>
        </w:tc>
      </w:tr>
      <w:tr>
        <w:trPr>
          <w:cantSplit/>
        </w:trPr>
        <w:tc>
          <w:tcPr>
            <w:tcW w:type="dxa" w:w="1800"/>
          </w:tcPr>
          <w:p>
            <w:pPr>
              <w:spacing w:after="0" w:line="264" w:lineRule="auto"/>
            </w:pPr>
            <w:r>
              <w:rPr>
                <w:rFonts w:ascii="Calibri" w:hAnsi="Calibri" w:eastAsia="Noto Sans CJK SC"/>
                <w:sz w:val="20"/>
              </w:rPr>
              <w:t>教研组长</w:t>
            </w:r>
          </w:p>
        </w:tc>
        <w:tc>
          <w:tcPr>
            <w:tcW w:type="dxa" w:w="1944"/>
          </w:tcPr>
          <w:p>
            <w:pPr>
              <w:spacing w:after="0" w:line="264" w:lineRule="auto"/>
            </w:pPr>
            <w:r>
              <w:rPr>
                <w:rFonts w:ascii="Calibri" w:hAnsi="Calibri" w:eastAsia="Noto Sans CJK SC"/>
                <w:sz w:val="20"/>
              </w:rPr>
              <w:t>访谈 / 教研材料分析</w:t>
            </w:r>
          </w:p>
        </w:tc>
        <w:tc>
          <w:tcPr>
            <w:tcW w:type="dxa" w:w="2951"/>
          </w:tcPr>
          <w:p>
            <w:pPr>
              <w:spacing w:after="0" w:line="264" w:lineRule="auto"/>
            </w:pPr>
            <w:r>
              <w:rPr>
                <w:rFonts w:ascii="Calibri" w:hAnsi="Calibri" w:eastAsia="Noto Sans CJK SC"/>
                <w:sz w:val="20"/>
              </w:rPr>
              <w:t>教研需要班级共性问题，而不只是单个学生成绩。</w:t>
            </w:r>
          </w:p>
        </w:tc>
        <w:tc>
          <w:tcPr>
            <w:tcW w:type="dxa" w:w="2664"/>
          </w:tcPr>
          <w:p>
            <w:pPr>
              <w:spacing w:after="0" w:line="264" w:lineRule="auto"/>
            </w:pPr>
            <w:r>
              <w:rPr>
                <w:rFonts w:ascii="Calibri" w:hAnsi="Calibri" w:eastAsia="Noto Sans CJK SC"/>
                <w:sz w:val="20"/>
              </w:rPr>
              <w:t>班级薄弱点分析、单元复习建议、教研视图。</w:t>
            </w:r>
          </w:p>
        </w:tc>
      </w:tr>
      <w:tr>
        <w:trPr>
          <w:cantSplit/>
        </w:trPr>
        <w:tc>
          <w:tcPr>
            <w:tcW w:type="dxa" w:w="1800"/>
          </w:tcPr>
          <w:p>
            <w:pPr>
              <w:spacing w:after="0" w:line="264" w:lineRule="auto"/>
            </w:pPr>
            <w:r>
              <w:rPr>
                <w:rFonts w:ascii="Calibri" w:hAnsi="Calibri" w:eastAsia="Noto Sans CJK SC"/>
                <w:sz w:val="20"/>
              </w:rPr>
              <w:t>信息化负责人</w:t>
            </w:r>
          </w:p>
        </w:tc>
        <w:tc>
          <w:tcPr>
            <w:tcW w:type="dxa" w:w="1944"/>
          </w:tcPr>
          <w:p>
            <w:pPr>
              <w:spacing w:after="0" w:line="264" w:lineRule="auto"/>
            </w:pPr>
            <w:r>
              <w:rPr>
                <w:rFonts w:ascii="Calibri" w:hAnsi="Calibri" w:eastAsia="Noto Sans CJK SC"/>
                <w:sz w:val="20"/>
              </w:rPr>
              <w:t>访谈 / 竞品分析</w:t>
            </w:r>
          </w:p>
        </w:tc>
        <w:tc>
          <w:tcPr>
            <w:tcW w:type="dxa" w:w="2951"/>
          </w:tcPr>
          <w:p>
            <w:pPr>
              <w:spacing w:after="0" w:line="264" w:lineRule="auto"/>
            </w:pPr>
            <w:r>
              <w:rPr>
                <w:rFonts w:ascii="Calibri" w:hAnsi="Calibri" w:eastAsia="Noto Sans CJK SC"/>
                <w:sz w:val="20"/>
              </w:rPr>
              <w:t>关注数据安全、教师负担、系统是否黑箱、是否替代教师。</w:t>
            </w:r>
          </w:p>
        </w:tc>
        <w:tc>
          <w:tcPr>
            <w:tcW w:type="dxa" w:w="2664"/>
          </w:tcPr>
          <w:p>
            <w:pPr>
              <w:spacing w:after="0" w:line="264" w:lineRule="auto"/>
            </w:pPr>
            <w:r>
              <w:rPr>
                <w:rFonts w:ascii="Calibri" w:hAnsi="Calibri" w:eastAsia="Noto Sans CJK SC"/>
                <w:sz w:val="20"/>
              </w:rPr>
              <w:t>教师确认机制、Verifier 校验、Trace 记录、轻量接入。</w:t>
            </w:r>
          </w:p>
        </w:tc>
      </w:tr>
      <w:tr>
        <w:tc>
          <w:tcPr>
            <w:tcW w:type="dxa" w:w="2340"/>
            <w:vAlign w:val="center"/>
          </w:tcPr>
          <w:p>
            <w:pPr>
              <w:spacing w:after="0" w:line="240" w:lineRule="auto"/>
              <w:jc w:val="left"/>
            </w:pPr>
            <w:r/>
            <w:r>
              <w:rPr>
                <w:rFonts w:ascii="Arial" w:hAnsi="Arial" w:eastAsia="Noto Sans CJK SC"/>
                <w:b w:val="0"/>
                <w:i w:val="0"/>
                <w:color w:val="25313C"/>
                <w:sz w:val="16"/>
              </w:rPr>
              <w:t>教研/技术治理负责人</w:t>
            </w:r>
          </w:p>
        </w:tc>
        <w:tc>
          <w:tcPr>
            <w:tcW w:type="dxa" w:w="2340"/>
            <w:vAlign w:val="center"/>
          </w:tcPr>
          <w:p>
            <w:pPr>
              <w:spacing w:after="0" w:line="240" w:lineRule="auto"/>
              <w:jc w:val="left"/>
            </w:pPr>
            <w:r/>
            <w:r>
              <w:rPr>
                <w:rFonts w:ascii="Arial" w:hAnsi="Arial" w:eastAsia="Noto Sans CJK SC"/>
                <w:b w:val="0"/>
                <w:i w:val="0"/>
                <w:color w:val="25313C"/>
                <w:sz w:val="16"/>
              </w:rPr>
              <w:t>架构评审 / 文献与政策审查</w:t>
            </w:r>
          </w:p>
        </w:tc>
        <w:tc>
          <w:tcPr>
            <w:tcW w:type="dxa" w:w="2340"/>
            <w:vAlign w:val="center"/>
          </w:tcPr>
          <w:p>
            <w:pPr>
              <w:spacing w:after="0" w:line="240" w:lineRule="auto"/>
              <w:jc w:val="left"/>
            </w:pPr>
            <w:r/>
            <w:r>
              <w:rPr>
                <w:rFonts w:ascii="Arial" w:hAnsi="Arial" w:eastAsia="Noto Sans CJK SC"/>
                <w:b w:val="0"/>
                <w:i w:val="0"/>
                <w:color w:val="25313C"/>
                <w:sz w:val="16"/>
              </w:rPr>
              <w:t>公立学校要求核心设计有可核验依据，同时担忧引用幻觉、证据过度外推和内容质量不一致。</w:t>
            </w:r>
          </w:p>
        </w:tc>
        <w:tc>
          <w:tcPr>
            <w:tcW w:type="dxa" w:w="2340"/>
            <w:vAlign w:val="center"/>
          </w:tcPr>
          <w:p>
            <w:pPr>
              <w:spacing w:after="0" w:line="240" w:lineRule="auto"/>
              <w:jc w:val="left"/>
            </w:pPr>
            <w:r/>
            <w:r>
              <w:rPr>
                <w:rFonts w:ascii="Arial" w:hAnsi="Arial" w:eastAsia="Noto Sans CJK SC"/>
                <w:b w:val="0"/>
                <w:i w:val="0"/>
                <w:color w:val="25313C"/>
                <w:sz w:val="16"/>
              </w:rPr>
              <w:t>Research Agent、Evidence Registry、Citation Lint、Lint Rule Center 与专家审批。</w:t>
            </w:r>
          </w:p>
        </w:tc>
      </w:tr>
    </w:tbl>
    <w:p/>
    <w:p>
      <w:pPr>
        <w:spacing w:after="120" w:line="264" w:lineRule="auto"/>
      </w:pPr>
      <w:r>
        <w:rPr>
          <w:rFonts w:ascii="Calibri" w:hAnsi="Calibri" w:eastAsia="Noto Sans CJK SC"/>
        </w:rPr>
        <w:t>后续可通过小范围班级试点验证诊断准确性、推荐采纳率、任务完成率、教师使用负担和学生反馈质量。</w:t>
      </w:r>
    </w:p>
    <w:p>
      <w:pPr>
        <w:pStyle w:val="Heading1"/>
        <w:keepNext/>
        <w:spacing w:before="200" w:after="80"/>
      </w:pPr>
      <w:r>
        <w:t>5. 核心痛点</w:t>
      </w:r>
    </w:p>
    <w:p>
      <w:pPr>
        <w:spacing w:after="120" w:line="264" w:lineRule="auto"/>
      </w:pPr>
      <w:r>
        <w:rPr>
          <w:rFonts w:ascii="Calibri" w:hAnsi="Calibri" w:eastAsia="Noto Sans CJK SC"/>
        </w:rPr>
        <w:t>痛点一：大班教学下，教师很难持续、细粒度地识别每个学生的真实学习状态。</w:t>
      </w:r>
    </w:p>
    <w:p>
      <w:pPr>
        <w:spacing w:after="120" w:line="264" w:lineRule="auto"/>
      </w:pPr>
      <w:r>
        <w:rPr>
          <w:rFonts w:ascii="Calibri" w:hAnsi="Calibri" w:eastAsia="Noto Sans CJK SC"/>
        </w:rPr>
        <w:t>痛点二：现有学习系统常记录学习结果，却缺少对认知状态的解释。阅读错题可能源于词汇、语法、语篇结构、推断能力、写作迁移或学习策略问题，不能用单一正确率解释。</w:t>
      </w:r>
    </w:p>
    <w:p>
      <w:pPr>
        <w:spacing w:after="120" w:line="264" w:lineRule="auto"/>
      </w:pPr>
      <w:r>
        <w:rPr>
          <w:rFonts w:ascii="Calibri" w:hAnsi="Calibri" w:eastAsia="Noto Sans CJK SC"/>
        </w:rPr>
        <w:t>痛点三：知识图谱经常被当成内容目录或标签体系，没有真正成为学生诊断和画像建模的结构化坐标系。</w:t>
      </w:r>
    </w:p>
    <w:p>
      <w:pPr>
        <w:spacing w:after="120" w:line="264" w:lineRule="auto"/>
      </w:pPr>
      <w:r>
        <w:rPr>
          <w:rFonts w:ascii="Calibri" w:hAnsi="Calibri" w:eastAsia="Noto Sans CJK SC"/>
        </w:rPr>
        <w:t>痛点四：普通推荐系统容易停留在“错什么推什么”，缺少对知识掌握层级、思维品质和当前发展区间的判断。</w:t>
      </w:r>
    </w:p>
    <w:p>
      <w:pPr/>
      <w:r>
        <w:rPr>
          <w:rFonts w:eastAsia="Noto Sans CJK SC" w:ascii="Calibri" w:hAnsi="Calibri"/>
        </w:rPr>
        <w:t>痛点五：知识点、技能、Bloom 和思维品质属于高成本、多维度标注任务。完全依赖人工不仅扩展速度慢，不同标注者之间也可能存在一致性不足，难以支撑持续更新的内容与任务库。</w:t>
      </w:r>
    </w:p>
    <w:p>
      <w:pPr>
        <w:spacing w:after="80" w:line="269" w:lineRule="auto"/>
      </w:pPr>
      <w:r>
        <w:rPr>
          <w:rFonts w:ascii="Arial" w:hAnsi="Arial" w:eastAsia="Noto Sans CJK SC"/>
          <w:b w:val="0"/>
          <w:i w:val="0"/>
          <w:color w:val="25313C"/>
          <w:sz w:val="20"/>
        </w:rPr>
        <w:t>痛点六：面向公立学校的核心架构、算法、量规和评价指标需要能够说明“依据是什么、证据强度如何、适用条件是什么”。仅凭团队经验或模型生成的引用，无法满足教研与技术治理对权威性、可核验性和审计性的要求。</w:t>
      </w:r>
    </w:p>
    <w:p>
      <w:pPr>
        <w:spacing w:after="80" w:line="269" w:lineRule="auto"/>
      </w:pPr>
      <w:r>
        <w:rPr>
          <w:rFonts w:ascii="Arial" w:hAnsi="Arial" w:eastAsia="Noto Sans CJK SC"/>
          <w:b w:val="0"/>
          <w:i w:val="0"/>
          <w:color w:val="25313C"/>
          <w:sz w:val="20"/>
        </w:rPr>
        <w:t>痛点七：教材、试题、教案、学习路径和学生反馈涉及体例格式、标点、术语、学科准确性、教学适切性、价值导向、未成年人安全与隐私。完全依赖人工逐条检查成本高，完全依赖 LLM 又容易出现误判，因此需要分层 Lint、质量门禁和人工复核协同。</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3888"/>
            <w:vAlign w:val="center"/>
            <w:tcMar>
              <w:top w:w="80" w:type="dxa"/>
              <w:start w:w="120" w:type="dxa"/>
              <w:bottom w:w="80" w:type="dxa"/>
              <w:end w:w="120" w:type="dxa"/>
            </w:tcMar>
            <w:shd w:fill="F2F4F7"/>
          </w:tcPr>
          <w:p>
            <w:pPr>
              <w:spacing w:after="0"/>
            </w:pPr>
            <w:r>
              <w:rPr>
                <w:rFonts w:ascii="Calibri" w:hAnsi="Calibri" w:eastAsia="Noto Sans CJK SC"/>
                <w:b/>
                <w:color w:val="1F4D78"/>
                <w:sz w:val="21"/>
              </w:rPr>
              <w:t>普通题目推荐</w:t>
            </w:r>
          </w:p>
        </w:tc>
        <w:tc>
          <w:tcPr>
            <w:tcW w:type="dxa" w:w="5472"/>
            <w:vAlign w:val="center"/>
            <w:tcMar>
              <w:top w:w="80" w:type="dxa"/>
              <w:start w:w="120" w:type="dxa"/>
              <w:bottom w:w="80" w:type="dxa"/>
              <w:end w:w="120" w:type="dxa"/>
            </w:tcMar>
            <w:shd w:fill="F2F4F7"/>
          </w:tcPr>
          <w:p>
            <w:pPr>
              <w:spacing w:after="0"/>
            </w:pPr>
            <w:r>
              <w:rPr>
                <w:rFonts w:ascii="Calibri" w:hAnsi="Calibri" w:eastAsia="Noto Sans CJK SC"/>
                <w:b/>
                <w:color w:val="1F4D78"/>
                <w:sz w:val="21"/>
              </w:rPr>
              <w:t>AdaptLearn Copilot</w:t>
            </w:r>
          </w:p>
        </w:tc>
      </w:tr>
      <w:tr>
        <w:trPr>
          <w:cantSplit/>
        </w:trPr>
        <w:tc>
          <w:tcPr>
            <w:tcW w:type="dxa" w:w="3888"/>
          </w:tcPr>
          <w:p>
            <w:pPr>
              <w:spacing w:after="0" w:line="264" w:lineRule="auto"/>
            </w:pPr>
            <w:r>
              <w:rPr>
                <w:rFonts w:ascii="Calibri" w:hAnsi="Calibri" w:eastAsia="Noto Sans CJK SC"/>
                <w:sz w:val="20"/>
              </w:rPr>
              <w:t>根据错题推荐题</w:t>
            </w:r>
          </w:p>
        </w:tc>
        <w:tc>
          <w:tcPr>
            <w:tcW w:type="dxa" w:w="5472"/>
          </w:tcPr>
          <w:p>
            <w:pPr>
              <w:spacing w:after="0" w:line="264" w:lineRule="auto"/>
            </w:pPr>
            <w:r>
              <w:rPr>
                <w:rFonts w:ascii="Calibri" w:hAnsi="Calibri" w:eastAsia="Noto Sans CJK SC"/>
                <w:sz w:val="20"/>
              </w:rPr>
              <w:t>根据认知状态推荐学习路径</w:t>
            </w:r>
          </w:p>
        </w:tc>
      </w:tr>
      <w:tr>
        <w:trPr>
          <w:cantSplit/>
        </w:trPr>
        <w:tc>
          <w:tcPr>
            <w:tcW w:type="dxa" w:w="3888"/>
          </w:tcPr>
          <w:p>
            <w:pPr>
              <w:spacing w:after="0" w:line="264" w:lineRule="auto"/>
            </w:pPr>
            <w:r>
              <w:rPr>
                <w:rFonts w:ascii="Calibri" w:hAnsi="Calibri" w:eastAsia="Noto Sans CJK SC"/>
                <w:sz w:val="20"/>
              </w:rPr>
              <w:t>关注知识点正确率</w:t>
            </w:r>
          </w:p>
        </w:tc>
        <w:tc>
          <w:tcPr>
            <w:tcW w:type="dxa" w:w="5472"/>
          </w:tcPr>
          <w:p>
            <w:pPr>
              <w:spacing w:after="0" w:line="264" w:lineRule="auto"/>
            </w:pPr>
            <w:r>
              <w:rPr>
                <w:rFonts w:ascii="Calibri" w:hAnsi="Calibri" w:eastAsia="Noto Sans CJK SC"/>
                <w:sz w:val="20"/>
              </w:rPr>
              <w:t>关注知识点掌握层次</w:t>
            </w:r>
          </w:p>
        </w:tc>
      </w:tr>
      <w:tr>
        <w:trPr>
          <w:cantSplit/>
        </w:trPr>
        <w:tc>
          <w:tcPr>
            <w:tcW w:type="dxa" w:w="3888"/>
          </w:tcPr>
          <w:p>
            <w:pPr>
              <w:spacing w:after="0" w:line="264" w:lineRule="auto"/>
            </w:pPr>
            <w:r>
              <w:rPr>
                <w:rFonts w:ascii="Calibri" w:hAnsi="Calibri" w:eastAsia="Noto Sans CJK SC"/>
                <w:sz w:val="20"/>
              </w:rPr>
              <w:t>关注题目相似度</w:t>
            </w:r>
          </w:p>
        </w:tc>
        <w:tc>
          <w:tcPr>
            <w:tcW w:type="dxa" w:w="5472"/>
          </w:tcPr>
          <w:p>
            <w:pPr>
              <w:spacing w:after="0" w:line="264" w:lineRule="auto"/>
            </w:pPr>
            <w:r>
              <w:rPr>
                <w:rFonts w:ascii="Calibri" w:hAnsi="Calibri" w:eastAsia="Noto Sans CJK SC"/>
                <w:sz w:val="20"/>
              </w:rPr>
              <w:t>关注学生当前发展水平</w:t>
            </w:r>
          </w:p>
        </w:tc>
      </w:tr>
      <w:tr>
        <w:trPr>
          <w:cantSplit/>
        </w:trPr>
        <w:tc>
          <w:tcPr>
            <w:tcW w:type="dxa" w:w="3888"/>
          </w:tcPr>
          <w:p>
            <w:pPr>
              <w:spacing w:after="0" w:line="264" w:lineRule="auto"/>
            </w:pPr>
            <w:r>
              <w:rPr>
                <w:rFonts w:ascii="Calibri" w:hAnsi="Calibri" w:eastAsia="Noto Sans CJK SC"/>
                <w:sz w:val="20"/>
              </w:rPr>
              <w:t>关注短期提分</w:t>
            </w:r>
          </w:p>
        </w:tc>
        <w:tc>
          <w:tcPr>
            <w:tcW w:type="dxa" w:w="5472"/>
          </w:tcPr>
          <w:p>
            <w:pPr>
              <w:spacing w:after="0" w:line="264" w:lineRule="auto"/>
            </w:pPr>
            <w:r>
              <w:rPr>
                <w:rFonts w:ascii="Calibri" w:hAnsi="Calibri" w:eastAsia="Noto Sans CJK SC"/>
                <w:sz w:val="20"/>
              </w:rPr>
              <w:t>关注知识成长与思维发展</w:t>
            </w:r>
          </w:p>
        </w:tc>
      </w:tr>
      <w:tr>
        <w:trPr>
          <w:cantSplit/>
        </w:trPr>
        <w:tc>
          <w:tcPr>
            <w:tcW w:type="dxa" w:w="3888"/>
          </w:tcPr>
          <w:p>
            <w:pPr>
              <w:spacing w:after="0" w:line="264" w:lineRule="auto"/>
            </w:pPr>
            <w:r>
              <w:rPr>
                <w:rFonts w:ascii="Calibri" w:hAnsi="Calibri" w:eastAsia="Noto Sans CJK SC"/>
                <w:sz w:val="20"/>
              </w:rPr>
              <w:t>推荐逻辑黑箱</w:t>
            </w:r>
          </w:p>
        </w:tc>
        <w:tc>
          <w:tcPr>
            <w:tcW w:type="dxa" w:w="5472"/>
          </w:tcPr>
          <w:p>
            <w:pPr>
              <w:spacing w:after="0" w:line="264" w:lineRule="auto"/>
            </w:pPr>
            <w:r>
              <w:rPr>
                <w:rFonts w:ascii="Calibri" w:hAnsi="Calibri" w:eastAsia="Noto Sans CJK SC"/>
                <w:sz w:val="20"/>
              </w:rPr>
              <w:t>推荐过程可解释、可追踪</w:t>
            </w:r>
          </w:p>
        </w:tc>
      </w:tr>
      <w:tr>
        <w:trPr>
          <w:cantSplit/>
        </w:trPr>
        <w:tc>
          <w:tcPr>
            <w:tcW w:type="dxa" w:w="3888"/>
          </w:tcPr>
          <w:p>
            <w:pPr>
              <w:spacing w:after="0" w:line="264" w:lineRule="auto"/>
            </w:pPr>
            <w:r>
              <w:rPr>
                <w:rFonts w:ascii="Calibri" w:hAnsi="Calibri" w:eastAsia="Noto Sans CJK SC"/>
                <w:sz w:val="20"/>
              </w:rPr>
              <w:t>缺少思维指标</w:t>
            </w:r>
          </w:p>
        </w:tc>
        <w:tc>
          <w:tcPr>
            <w:tcW w:type="dxa" w:w="5472"/>
          </w:tcPr>
          <w:p>
            <w:pPr>
              <w:spacing w:after="0" w:line="264" w:lineRule="auto"/>
            </w:pPr>
            <w:r>
              <w:rPr>
                <w:rFonts w:ascii="Calibri" w:hAnsi="Calibri" w:eastAsia="Noto Sans CJK SC"/>
                <w:sz w:val="20"/>
              </w:rPr>
              <w:t>引入课标中的思维品质维度</w:t>
            </w:r>
          </w:p>
        </w:tc>
      </w:tr>
    </w:tbl>
    <w:p/>
    <w:p>
      <w:pPr>
        <w:pStyle w:val="Heading1"/>
        <w:keepNext/>
        <w:spacing w:before="200" w:after="80"/>
      </w:pPr>
      <w:r>
        <w:t>6. 需求分析</w:t>
      </w:r>
    </w:p>
    <w:p>
      <w:pPr>
        <w:pStyle w:val="Heading2"/>
        <w:keepNext/>
        <w:spacing w:before="140" w:after="80"/>
      </w:pPr>
      <w:r>
        <w:t>6.1 MVP 场景</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80" w:type="dxa"/>
              <w:start w:w="120" w:type="dxa"/>
              <w:bottom w:w="80" w:type="dxa"/>
              <w:end w:w="120" w:type="dxa"/>
            </w:tcMar>
            <w:shd w:fill="F4F6F9"/>
          </w:tcPr>
          <w:p>
            <w:pPr>
              <w:spacing w:after="60"/>
            </w:pPr>
            <w:r>
              <w:rPr>
                <w:rFonts w:ascii="Calibri" w:hAnsi="Calibri" w:eastAsia="Noto Sans CJK SC"/>
                <w:b/>
                <w:color w:val="1F4D78"/>
                <w:sz w:val="22"/>
              </w:rPr>
              <w:t>最适合的 MVP 切入点</w:t>
            </w:r>
          </w:p>
          <w:p>
            <w:pPr>
              <w:spacing w:after="0" w:line="264" w:lineRule="auto"/>
            </w:pPr>
            <w:r>
              <w:rPr>
                <w:rFonts w:ascii="Calibri" w:hAnsi="Calibri" w:eastAsia="Noto Sans CJK SC"/>
              </w:rPr>
              <w:t>初中英语单元学习后的认知诊断与下一步学习路径推荐。该场景数据来源清晰、教师需求真实、产品边界可控，适合先做试点验证。</w:t>
            </w:r>
          </w:p>
        </w:tc>
      </w:tr>
    </w:tbl>
    <w:p/>
    <w:p>
      <w:pPr>
        <w:pStyle w:val="ListNumber"/>
        <w:spacing w:after="60" w:line="264" w:lineRule="auto"/>
      </w:pPr>
      <w:r>
        <w:rPr>
          <w:rFonts w:ascii="Arial" w:hAnsi="Arial" w:eastAsia="Noto Sans CJK SC"/>
          <w:b w:val="0"/>
        </w:rPr>
        <w:t>教研人员导入一个单元的教材、试题、素材与活动；系统先执行结构、编辑和语言 Lint，再通过 LLM 自动标注、Annotation/Pedagogical/Values Lint、置信度分流和专家抽检，形成可检索、可审核、可发布的任务库。学生随后完成该单元的作业、练习、课堂活动和阶段测。</w:t>
      </w:r>
    </w:p>
    <w:p>
      <w:pPr>
        <w:pStyle w:val="ListNumber"/>
        <w:spacing w:after="60" w:line="264" w:lineRule="auto"/>
      </w:pPr>
      <w:r>
        <w:rPr>
          <w:rFonts w:ascii="Calibri" w:hAnsi="Calibri" w:eastAsia="Noto Sans CJK SC"/>
        </w:rPr>
        <w:t>系统读取通过 Evidence &amp; Data Lint 的学习证据，更新学生画像、BKT 知识掌握状态、IRT 能力状态和行为特征。</w:t>
      </w:r>
    </w:p>
    <w:p>
      <w:pPr>
        <w:pStyle w:val="ListNumber"/>
        <w:spacing w:after="60" w:line="264" w:lineRule="auto"/>
      </w:pPr>
      <w:r>
        <w:rPr>
          <w:rFonts w:ascii="Calibri" w:hAnsi="Calibri" w:eastAsia="Noto Sans CJK SC"/>
        </w:rPr>
        <w:t>Diagnosis Agents 综合 BKT/IRT 状态、语言技能、学习行为、学习策略和思维品质形成结构化诊断。</w:t>
      </w:r>
    </w:p>
    <w:p>
      <w:pPr>
        <w:pStyle w:val="ListNumber"/>
        <w:spacing w:after="60" w:line="264" w:lineRule="auto"/>
      </w:pPr>
      <w:r>
        <w:rPr>
          <w:rFonts w:ascii="Calibri" w:hAnsi="Calibri" w:eastAsia="Noto Sans CJK SC"/>
        </w:rPr>
        <w:t>Recommendation Agent 调用规则推荐引擎，完成候选任务召回、硬过滤、规则评分、路径排序与序列组装。</w:t>
      </w:r>
    </w:p>
    <w:p>
      <w:pPr>
        <w:pStyle w:val="ListNumber"/>
        <w:spacing w:after="60" w:line="264" w:lineRule="auto"/>
      </w:pPr>
      <w:r>
        <w:rPr>
          <w:rFonts w:ascii="Calibri" w:hAnsi="Calibri" w:eastAsia="Noto Sans CJK SC"/>
        </w:rPr>
        <w:t>Verifier Agent 独立校验路径是否符合 BKT 认知状态、IRT 难度匹配、课程目标、Bloom 推进、思维发展需求和教师策略。</w:t>
      </w:r>
    </w:p>
    <w:p>
      <w:pPr>
        <w:pStyle w:val="ListNumber"/>
        <w:spacing w:after="60" w:line="264" w:lineRule="auto"/>
      </w:pPr>
      <w:r>
        <w:rPr>
          <w:rFonts w:ascii="Calibri" w:hAnsi="Calibri" w:eastAsia="Noto Sans CJK SC"/>
        </w:rPr>
        <w:t>Explainer &amp; Reflection Agent 基于结构化 Decision Trace 生成教师可审计解释和学生版简明解释，不生成或保存不受控的隐性推理链。</w:t>
      </w:r>
    </w:p>
    <w:p>
      <w:pPr>
        <w:pStyle w:val="ListNumber"/>
        <w:spacing w:after="60" w:line="264" w:lineRule="auto"/>
      </w:pPr>
      <w:r>
        <w:t>Decision Trace Service 记录证据快照、BKT/IRT 参数与状态、规则命中、候选排除、Lint/Verifier 结果和教师决策，支持复盘、重放、版本比较和后续迭代。</w:t>
      </w:r>
    </w:p>
    <w:p>
      <w:pPr>
        <w:pStyle w:val="Heading2"/>
        <w:keepNext/>
        <w:spacing w:before="140" w:after="80"/>
      </w:pPr>
      <w:r>
        <w:t>6.2 产品功能模块</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376"/>
            <w:vAlign w:val="center"/>
            <w:tcMar>
              <w:top w:w="80" w:type="dxa"/>
              <w:start w:w="120" w:type="dxa"/>
              <w:bottom w:w="80" w:type="dxa"/>
              <w:end w:w="120" w:type="dxa"/>
            </w:tcMar>
            <w:shd w:fill="F2F4F7"/>
          </w:tcPr>
          <w:p>
            <w:pPr>
              <w:spacing w:after="0"/>
            </w:pPr>
            <w:r>
              <w:rPr>
                <w:rFonts w:ascii="Calibri" w:hAnsi="Calibri" w:eastAsia="Noto Sans CJK SC"/>
                <w:b/>
                <w:color w:val="1F4D78"/>
                <w:sz w:val="21"/>
              </w:rPr>
              <w:t>模块</w:t>
            </w:r>
          </w:p>
        </w:tc>
        <w:tc>
          <w:tcPr>
            <w:tcW w:type="dxa" w:w="6983"/>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功能</w:t>
            </w:r>
          </w:p>
        </w:tc>
      </w:tr>
      <w:tr>
        <w:trPr>
          <w:cantSplit/>
        </w:trPr>
        <w:tc>
          <w:tcPr>
            <w:tcW w:type="dxa" w:w="2376"/>
          </w:tcPr>
          <w:p>
            <w:pPr>
              <w:spacing w:after="0" w:line="264" w:lineRule="auto"/>
            </w:pPr>
            <w:r>
              <w:rPr>
                <w:rFonts w:ascii="Calibri" w:hAnsi="Calibri" w:eastAsia="Noto Sans CJK SC"/>
                <w:sz w:val="20"/>
              </w:rPr>
              <w:t>学生画像模块</w:t>
            </w:r>
          </w:p>
        </w:tc>
        <w:tc>
          <w:tcPr>
            <w:tcW w:type="dxa" w:w="6983"/>
          </w:tcPr>
          <w:p>
            <w:pPr>
              <w:spacing w:after="0" w:line="264" w:lineRule="auto"/>
            </w:pPr>
            <w:r>
              <w:rPr>
                <w:rFonts w:ascii="Calibri" w:hAnsi="Calibri" w:eastAsia="Noto Sans CJK SC"/>
                <w:sz w:val="20"/>
              </w:rPr>
              <w:t>记录基础信息、兴趣、优势学科、待提高学科、学习偏好、教师备注和教师策略约束。</w:t>
            </w:r>
          </w:p>
        </w:tc>
      </w:tr>
      <w:tr>
        <w:trPr>
          <w:cantSplit/>
        </w:trPr>
        <w:tc>
          <w:tcPr>
            <w:tcW w:type="dxa" w:w="2376"/>
          </w:tcPr>
          <w:p>
            <w:pPr>
              <w:spacing w:after="0" w:line="264" w:lineRule="auto"/>
            </w:pPr>
            <w:r>
              <w:rPr>
                <w:rFonts w:ascii="Calibri" w:hAnsi="Calibri" w:eastAsia="Noto Sans CJK SC"/>
                <w:sz w:val="20"/>
              </w:rPr>
              <w:t>知识图谱模块</w:t>
            </w:r>
          </w:p>
        </w:tc>
        <w:tc>
          <w:tcPr>
            <w:tcW w:type="dxa" w:w="6983"/>
          </w:tcPr>
          <w:p>
            <w:pPr>
              <w:spacing w:after="0" w:line="264" w:lineRule="auto"/>
            </w:pPr>
            <w:r>
              <w:rPr>
                <w:rFonts w:ascii="Calibri" w:hAnsi="Calibri" w:eastAsia="Noto Sans CJK SC"/>
                <w:sz w:val="20"/>
              </w:rPr>
              <w:t>建立初中英语多维知识图谱，并维护每个学生在节点上的掌握状态。</w:t>
            </w:r>
          </w:p>
        </w:tc>
      </w:tr>
      <w:tr>
        <w:trPr>
          <w:cantSplit/>
        </w:trPr>
        <w:tc>
          <w:tcPr>
            <w:tcW w:type="dxa" w:w="2376"/>
          </w:tcPr>
          <w:p>
            <w:pPr>
              <w:spacing w:after="0" w:line="264" w:lineRule="auto"/>
            </w:pPr>
            <w:r>
              <w:rPr>
                <w:rFonts w:ascii="Calibri" w:hAnsi="Calibri" w:eastAsia="Noto Sans CJK SC"/>
                <w:sz w:val="20"/>
              </w:rPr>
              <w:t>知识与能力建模模块</w:t>
            </w:r>
          </w:p>
        </w:tc>
        <w:tc>
          <w:tcPr>
            <w:tcW w:type="dxa" w:w="6983"/>
          </w:tcPr>
          <w:p>
            <w:pPr>
              <w:spacing w:after="0" w:line="264" w:lineRule="auto"/>
            </w:pPr>
            <w:r>
              <w:rPr>
                <w:rFonts w:ascii="Calibri" w:hAnsi="Calibri" w:eastAsia="Noto Sans CJK SC"/>
                <w:sz w:val="20"/>
              </w:rPr>
              <w:t>使用 BKT 估计知识点掌握概率 P(L)，使用 IRT 估计学生能力 θ、任务难度 b 及其匹配程度；模型状态和参数均保留版本、标准误和适用范围。</w:t>
            </w:r>
          </w:p>
        </w:tc>
      </w:tr>
      <w:tr>
        <w:trPr>
          <w:cantSplit/>
        </w:trPr>
        <w:tc>
          <w:tcPr>
            <w:tcW w:type="dxa" w:w="2376"/>
          </w:tcPr>
          <w:p>
            <w:pPr>
              <w:spacing w:after="0" w:line="264" w:lineRule="auto"/>
            </w:pPr>
            <w:r>
              <w:rPr>
                <w:rFonts w:ascii="Calibri" w:hAnsi="Calibri" w:eastAsia="Noto Sans CJK SC"/>
                <w:sz w:val="20"/>
              </w:rPr>
              <w:t>认知诊断模块</w:t>
            </w:r>
          </w:p>
        </w:tc>
        <w:tc>
          <w:tcPr>
            <w:tcW w:type="dxa" w:w="6983"/>
          </w:tcPr>
          <w:p>
            <w:pPr>
              <w:spacing w:after="0" w:line="264" w:lineRule="auto"/>
            </w:pPr>
            <w:r>
              <w:rPr>
                <w:rFonts w:ascii="Calibri" w:hAnsi="Calibri" w:eastAsia="Noto Sans CJK SC"/>
                <w:sz w:val="20"/>
              </w:rPr>
              <w:t>综合 BKT/IRT、知识、技能、行为、策略和 Bloom 掌握深度判断学生当前认知状态。</w:t>
            </w:r>
          </w:p>
        </w:tc>
      </w:tr>
      <w:tr>
        <w:trPr>
          <w:cantSplit/>
        </w:trPr>
        <w:tc>
          <w:tcPr>
            <w:tcW w:type="dxa" w:w="2376"/>
          </w:tcPr>
          <w:p>
            <w:pPr>
              <w:spacing w:after="0" w:line="264" w:lineRule="auto"/>
            </w:pPr>
            <w:r>
              <w:rPr>
                <w:rFonts w:ascii="Calibri" w:hAnsi="Calibri" w:eastAsia="Noto Sans CJK SC"/>
                <w:sz w:val="20"/>
              </w:rPr>
              <w:t>思维品质诊断模块</w:t>
            </w:r>
          </w:p>
        </w:tc>
        <w:tc>
          <w:tcPr>
            <w:tcW w:type="dxa" w:w="6983"/>
          </w:tcPr>
          <w:p>
            <w:pPr>
              <w:spacing w:after="0" w:line="264" w:lineRule="auto"/>
            </w:pPr>
            <w:r>
              <w:rPr>
                <w:rFonts w:ascii="Calibri" w:hAnsi="Calibri" w:eastAsia="Noto Sans CJK SC"/>
                <w:sz w:val="20"/>
              </w:rPr>
              <w:t>基于课标三维模型诊断观察与辨析、归纳与推断、批判与创新。</w:t>
            </w:r>
          </w:p>
        </w:tc>
      </w:tr>
      <w:tr>
        <w:trPr>
          <w:cantSplit/>
        </w:trPr>
        <w:tc>
          <w:tcPr>
            <w:tcW w:type="dxa" w:w="2376"/>
          </w:tcPr>
          <w:p>
            <w:pPr>
              <w:spacing w:after="0" w:line="264" w:lineRule="auto"/>
            </w:pPr>
            <w:r>
              <w:rPr>
                <w:rFonts w:ascii="Calibri" w:hAnsi="Calibri" w:eastAsia="Noto Sans CJK SC"/>
                <w:sz w:val="20"/>
              </w:rPr>
              <w:t>规则推荐模块</w:t>
            </w:r>
          </w:p>
        </w:tc>
        <w:tc>
          <w:tcPr>
            <w:tcW w:type="dxa" w:w="6983"/>
          </w:tcPr>
          <w:p>
            <w:pPr>
              <w:spacing w:after="0" w:line="264" w:lineRule="auto"/>
            </w:pPr>
            <w:r>
              <w:rPr>
                <w:rFonts w:ascii="Calibri" w:hAnsi="Calibri" w:eastAsia="Noto Sans CJK SC"/>
                <w:sz w:val="20"/>
              </w:rPr>
              <w:t>依据掌握缺口、IRT 难度匹配、课程目标、Bloom/思维目标、时长、重复性、多样性和教师约束，完成候选召回、硬过滤、规则评分和路径组装。</w:t>
            </w:r>
          </w:p>
        </w:tc>
      </w:tr>
      <w:tr>
        <w:trPr>
          <w:cantSplit/>
        </w:trPr>
        <w:tc>
          <w:tcPr>
            <w:tcW w:type="dxa" w:w="2376"/>
          </w:tcPr>
          <w:p>
            <w:pPr>
              <w:spacing w:after="0" w:line="264" w:lineRule="auto"/>
            </w:pPr>
            <w:r>
              <w:rPr>
                <w:rFonts w:ascii="Calibri" w:hAnsi="Calibri" w:eastAsia="Noto Sans CJK SC"/>
                <w:sz w:val="20"/>
              </w:rPr>
              <w:t>验证模块</w:t>
            </w:r>
          </w:p>
        </w:tc>
        <w:tc>
          <w:tcPr>
            <w:tcW w:type="dxa" w:w="6983"/>
          </w:tcPr>
          <w:p>
            <w:pPr>
              <w:spacing w:after="0" w:line="264" w:lineRule="auto"/>
            </w:pPr>
            <w:r>
              <w:rPr>
                <w:rFonts w:ascii="Calibri" w:hAnsi="Calibri" w:eastAsia="Noto Sans CJK SC"/>
                <w:sz w:val="20"/>
              </w:rPr>
              <w:t>由 Learning Path Lint 检查硬约束，Verifier Agent 独立校验认知状态、课程目标、IRT 难度、Bloom/思维推进和教师策略。</w:t>
            </w:r>
          </w:p>
        </w:tc>
      </w:tr>
      <w:tr>
        <w:trPr>
          <w:cantSplit/>
        </w:trPr>
        <w:tc>
          <w:tcPr>
            <w:tcW w:type="dxa" w:w="2376"/>
          </w:tcPr>
          <w:p>
            <w:pPr>
              <w:spacing w:after="0" w:line="264" w:lineRule="auto"/>
            </w:pPr>
            <w:r>
              <w:rPr>
                <w:rFonts w:ascii="Calibri" w:hAnsi="Calibri" w:eastAsia="Noto Sans CJK SC"/>
                <w:sz w:val="20"/>
              </w:rPr>
              <w:t>教师可审计解释模块</w:t>
            </w:r>
          </w:p>
        </w:tc>
        <w:tc>
          <w:tcPr>
            <w:tcW w:type="dxa" w:w="6983"/>
          </w:tcPr>
          <w:p>
            <w:pPr>
              <w:spacing w:after="0" w:line="264" w:lineRule="auto"/>
            </w:pPr>
            <w:r>
              <w:rPr>
                <w:rFonts w:ascii="Calibri" w:hAnsi="Calibri" w:eastAsia="Noto Sans CJK SC"/>
                <w:sz w:val="20"/>
              </w:rPr>
              <w:t>向教师展示证据快照、BKT/IRT 状态、触发规则、候选排除原因、Lint/Verifier 结果、版本和教师操作；向学生输出简明、适龄、可行动说明。</w:t>
            </w:r>
          </w:p>
        </w:tc>
      </w:tr>
      <w:tr>
        <w:trPr>
          <w:cantSplit/>
        </w:trPr>
        <w:tc>
          <w:tcPr>
            <w:tcW w:type="dxa" w:w="2376"/>
          </w:tcPr>
          <w:p>
            <w:pPr>
              <w:spacing w:after="0" w:line="264" w:lineRule="auto"/>
            </w:pPr>
            <w:r>
              <w:rPr>
                <w:rFonts w:ascii="Calibri" w:hAnsi="Calibri" w:eastAsia="Noto Sans CJK SC"/>
                <w:sz w:val="20"/>
              </w:rPr>
              <w:t>Decision Trace 模块</w:t>
            </w:r>
          </w:p>
        </w:tc>
        <w:tc>
          <w:tcPr>
            <w:tcW w:type="dxa" w:w="6983"/>
          </w:tcPr>
          <w:p>
            <w:pPr>
              <w:spacing w:after="0" w:line="264" w:lineRule="auto"/>
            </w:pPr>
            <w:r>
              <w:rPr>
                <w:rFonts w:ascii="Calibri" w:hAnsi="Calibri" w:eastAsia="Noto Sans CJK SC"/>
                <w:sz w:val="20"/>
              </w:rPr>
              <w:t>记录诊断、规则评估、Lint/Verifier、教师覆盖和状态更新事件，支持重放、审计和版本比较。</w:t>
            </w:r>
          </w:p>
        </w:tc>
      </w:tr>
      <w:tr>
        <w:trPr>
          <w:cantSplit/>
        </w:trPr>
        <w:tc>
          <w:tcPr>
            <w:tcW w:type="dxa" w:w="2376"/>
          </w:tcPr>
          <w:p>
            <w:pPr>
              <w:spacing w:after="0" w:line="264" w:lineRule="auto"/>
            </w:pPr>
            <w:r>
              <w:rPr>
                <w:rFonts w:ascii="Calibri" w:hAnsi="Calibri" w:eastAsia="Noto Sans CJK SC"/>
                <w:sz w:val="20"/>
              </w:rPr>
              <w:t>Dashboard</w:t>
            </w:r>
          </w:p>
        </w:tc>
        <w:tc>
          <w:tcPr>
            <w:tcW w:type="dxa" w:w="6983"/>
          </w:tcPr>
          <w:p>
            <w:pPr>
              <w:spacing w:after="0" w:line="264" w:lineRule="auto"/>
            </w:pPr>
            <w:r>
              <w:rPr>
                <w:rFonts w:ascii="Calibri" w:hAnsi="Calibri" w:eastAsia="Noto Sans CJK SC"/>
                <w:sz w:val="20"/>
              </w:rPr>
              <w:t>展示知识缺口、IRT 能力区间、思维发展、学习行为、规则推荐依据、教师覆盖和路径执行结果。</w:t>
            </w:r>
          </w:p>
        </w:tc>
      </w:tr>
      <w:tr>
        <w:trPr>
          <w:cantSplit/>
        </w:trPr>
        <w:tc>
          <w:tcPr>
            <w:tcW w:type="dxa" w:w="4680"/>
            <w:vAlign w:val="center"/>
          </w:tcPr>
          <w:p>
            <w:pPr>
              <w:spacing w:before="0" w:after="0" w:line="252" w:lineRule="auto"/>
              <w:jc w:val="left"/>
            </w:pPr>
            <w:r>
              <w:t>内容与知识管理</w:t>
            </w:r>
            <w:r>
              <w:rPr>
                <w:rFonts w:eastAsia="Noto Sans CJK SC" w:ascii="Calibri" w:hAnsi="Calibri"/>
                <w:b/>
                <w:color w:val="263746"/>
                <w:sz w:val="17"/>
              </w:rPr>
            </w:r>
          </w:p>
        </w:tc>
        <w:tc>
          <w:tcPr>
            <w:tcW w:type="dxa" w:w="4680"/>
            <w:vAlign w:val="center"/>
          </w:tcPr>
          <w:p>
            <w:pPr>
              <w:spacing w:before="0" w:after="0" w:line="252" w:lineRule="auto"/>
              <w:jc w:val="left"/>
            </w:pPr>
            <w:r>
              <w:t>管理英语知识图谱、标签体系、术语库、试题库、素材库和内容版本。</w:t>
            </w:r>
            <w:r>
              <w:rPr>
                <w:rFonts w:eastAsia="Noto Sans CJK SC" w:ascii="Calibri" w:hAnsi="Calibri"/>
                <w:b w:val="0"/>
                <w:color w:val="263746"/>
                <w:sz w:val="17"/>
              </w:rPr>
            </w:r>
          </w:p>
        </w:tc>
      </w:tr>
      <w:tr>
        <w:trPr>
          <w:cantSplit/>
        </w:trPr>
        <w:tc>
          <w:tcPr>
            <w:tcW w:type="dxa" w:w="4680"/>
            <w:vAlign w:val="center"/>
          </w:tcPr>
          <w:p>
            <w:pPr>
              <w:spacing w:before="0" w:after="0" w:line="252" w:lineRule="auto"/>
              <w:jc w:val="left"/>
            </w:pPr>
            <w:r>
              <w:t>AI 自动标注工作台</w:t>
            </w:r>
            <w:r>
              <w:rPr>
                <w:rFonts w:eastAsia="Noto Sans CJK SC" w:ascii="Calibri" w:hAnsi="Calibri"/>
                <w:b/>
                <w:color w:val="263746"/>
                <w:sz w:val="17"/>
              </w:rPr>
            </w:r>
          </w:p>
        </w:tc>
        <w:tc>
          <w:tcPr>
            <w:tcW w:type="dxa" w:w="4680"/>
            <w:vAlign w:val="center"/>
          </w:tcPr>
          <w:p>
            <w:pPr>
              <w:spacing w:before="0" w:after="0" w:line="252" w:lineRule="auto"/>
              <w:jc w:val="left"/>
            </w:pPr>
            <w:r>
              <w:t>利用 LLM 完成知识点、技能、Bloom、思维品质候选标注，并进行证据定位、QC、置信度分流和专家抽检。</w:t>
            </w:r>
            <w:r>
              <w:rPr>
                <w:rFonts w:eastAsia="Noto Sans CJK SC" w:ascii="Calibri" w:hAnsi="Calibri"/>
                <w:b w:val="0"/>
                <w:color w:val="263746"/>
                <w:sz w:val="17"/>
              </w:rPr>
            </w:r>
          </w:p>
        </w:tc>
      </w:tr>
      <w:tr>
        <w:trPr>
          <w:cantSplit/>
        </w:trPr>
        <w:tc>
          <w:tcPr>
            <w:tcW w:type="dxa" w:w="4680"/>
            <w:vAlign w:val="center"/>
          </w:tcPr>
          <w:p>
            <w:pPr>
              <w:spacing w:before="0" w:after="0" w:line="252" w:lineRule="auto"/>
              <w:jc w:val="left"/>
            </w:pPr>
            <w:r>
              <w:t>课程与任务组装</w:t>
            </w:r>
            <w:r>
              <w:rPr>
                <w:rFonts w:eastAsia="Noto Sans CJK SC" w:ascii="Calibri" w:hAnsi="Calibri"/>
                <w:b/>
                <w:color w:val="263746"/>
                <w:sz w:val="17"/>
              </w:rPr>
            </w:r>
          </w:p>
        </w:tc>
        <w:tc>
          <w:tcPr>
            <w:tcW w:type="dxa" w:w="4680"/>
            <w:vAlign w:val="center"/>
          </w:tcPr>
          <w:p>
            <w:pPr>
              <w:spacing w:before="0" w:after="0" w:line="252" w:lineRule="auto"/>
              <w:jc w:val="left"/>
            </w:pPr>
            <w:r>
              <w:t>组装课程包、单元内容、教材教案、练习计划、分层作业和任务序列。</w:t>
            </w:r>
            <w:r>
              <w:rPr>
                <w:rFonts w:eastAsia="Noto Sans CJK SC" w:ascii="Calibri" w:hAnsi="Calibri"/>
                <w:b w:val="0"/>
                <w:color w:val="263746"/>
                <w:sz w:val="17"/>
              </w:rPr>
            </w:r>
          </w:p>
        </w:tc>
      </w:tr>
      <w:tr>
        <w:trPr>
          <w:cantSplit/>
        </w:trPr>
        <w:tc>
          <w:tcPr>
            <w:tcW w:type="dxa" w:w="4680"/>
            <w:vAlign w:val="center"/>
          </w:tcPr>
          <w:p>
            <w:pPr>
              <w:spacing w:before="0" w:after="0" w:line="252" w:lineRule="auto"/>
              <w:jc w:val="left"/>
            </w:pPr>
            <w:r>
              <w:t>教师决策工作台</w:t>
            </w:r>
            <w:r>
              <w:rPr>
                <w:rFonts w:eastAsia="Noto Sans CJK SC" w:ascii="Calibri" w:hAnsi="Calibri"/>
                <w:b/>
                <w:color w:val="263746"/>
                <w:sz w:val="17"/>
              </w:rPr>
            </w:r>
          </w:p>
        </w:tc>
        <w:tc>
          <w:tcPr>
            <w:tcW w:type="dxa" w:w="4680"/>
            <w:vAlign w:val="center"/>
          </w:tcPr>
          <w:p>
            <w:pPr>
              <w:spacing w:before="0" w:after="0" w:line="252" w:lineRule="auto"/>
              <w:jc w:val="left"/>
            </w:pPr>
            <w:r>
              <w:t>查看学生/班级诊断、规则路径与审计解释，支持教师确认、修改、覆盖和重规划。</w:t>
            </w:r>
            <w:r>
              <w:rPr>
                <w:rFonts w:eastAsia="Noto Sans CJK SC" w:ascii="Calibri" w:hAnsi="Calibri"/>
                <w:b w:val="0"/>
                <w:color w:val="263746"/>
                <w:sz w:val="17"/>
              </w:rPr>
            </w:r>
          </w:p>
        </w:tc>
      </w:tr>
      <w:tr>
        <w:trPr>
          <w:cantSplit/>
        </w:trPr>
        <w:tc>
          <w:tcPr>
            <w:tcW w:type="dxa" w:w="4680"/>
            <w:vAlign w:val="center"/>
          </w:tcPr>
          <w:p>
            <w:pPr>
              <w:spacing w:before="0" w:after="0" w:line="252" w:lineRule="auto"/>
              <w:jc w:val="left"/>
            </w:pPr>
            <w:r>
              <w:t>学生学习端</w:t>
            </w:r>
            <w:r>
              <w:rPr>
                <w:rFonts w:eastAsia="Noto Sans CJK SC" w:ascii="Calibri" w:hAnsi="Calibri"/>
                <w:b/>
                <w:color w:val="263746"/>
                <w:sz w:val="17"/>
              </w:rPr>
            </w:r>
          </w:p>
        </w:tc>
        <w:tc>
          <w:tcPr>
            <w:tcW w:type="dxa" w:w="4680"/>
            <w:vAlign w:val="center"/>
          </w:tcPr>
          <w:p>
            <w:pPr>
              <w:spacing w:before="0" w:after="0" w:line="252" w:lineRule="auto"/>
              <w:jc w:val="left"/>
            </w:pPr>
            <w:r>
              <w:t>接收学习计划和资源，完成练习、反思与自评，并回流学习结果和交互证据。</w:t>
            </w:r>
            <w:r>
              <w:rPr>
                <w:rFonts w:eastAsia="Noto Sans CJK SC" w:ascii="Calibri" w:hAnsi="Calibri"/>
                <w:b w:val="0"/>
                <w:color w:val="263746"/>
                <w:sz w:val="17"/>
              </w:rPr>
            </w:r>
          </w:p>
        </w:tc>
      </w:tr>
      <w:tr>
        <w:trPr>
          <w:cantSplit/>
        </w:trPr>
        <w:tc>
          <w:tcPr>
            <w:tcW w:type="dxa" w:w="4680"/>
            <w:vAlign w:val="center"/>
          </w:tcPr>
          <w:p>
            <w:pPr>
              <w:spacing w:before="0" w:after="0" w:line="252" w:lineRule="auto"/>
              <w:jc w:val="left"/>
            </w:pPr>
            <w:r>
              <w:t>运营辅助</w:t>
            </w:r>
            <w:r>
              <w:rPr>
                <w:rFonts w:eastAsia="Noto Sans CJK SC" w:ascii="Calibri" w:hAnsi="Calibri"/>
                <w:b/>
                <w:color w:val="263746"/>
                <w:sz w:val="17"/>
              </w:rPr>
            </w:r>
          </w:p>
        </w:tc>
        <w:tc>
          <w:tcPr>
            <w:tcW w:type="dxa" w:w="4680"/>
            <w:vAlign w:val="center"/>
          </w:tcPr>
          <w:p>
            <w:pPr>
              <w:spacing w:before="0" w:after="0" w:line="252" w:lineRule="auto"/>
              <w:jc w:val="left"/>
            </w:pPr>
            <w:r>
              <w:t>提供 Observability &amp; QC、Monitoring、Agent Tracing、BKT/IRT 校准、规则冲突、标注/推荐质量监控与异常告警。</w:t>
            </w:r>
            <w:r>
              <w:rPr>
                <w:rFonts w:eastAsia="Noto Sans CJK SC" w:ascii="Calibri" w:hAnsi="Calibri"/>
                <w:b w:val="0"/>
                <w:color w:val="263746"/>
                <w:sz w:val="17"/>
              </w:rPr>
            </w:r>
          </w:p>
        </w:tc>
      </w:tr>
      <w:tr>
        <w:tc>
          <w:tcPr>
            <w:tcW w:type="dxa" w:w="4680"/>
            <w:vAlign w:val="center"/>
          </w:tcPr>
          <w:p>
            <w:pPr>
              <w:spacing w:after="0" w:line="240" w:lineRule="auto"/>
              <w:jc w:val="left"/>
            </w:pPr>
            <w:r>
              <w:t>研究与证据治理</w:t>
            </w:r>
            <w:r>
              <w:rPr>
                <w:rFonts w:ascii="Arial" w:hAnsi="Arial" w:eastAsia="Noto Sans CJK SC"/>
                <w:b w:val="0"/>
                <w:i w:val="0"/>
                <w:color w:val="25313C"/>
                <w:sz w:val="16"/>
              </w:rPr>
            </w:r>
          </w:p>
        </w:tc>
        <w:tc>
          <w:tcPr>
            <w:tcW w:type="dxa" w:w="4680"/>
            <w:vAlign w:val="center"/>
          </w:tcPr>
          <w:p>
            <w:pPr>
              <w:spacing w:after="0" w:line="240" w:lineRule="auto"/>
              <w:jc w:val="left"/>
            </w:pPr>
            <w:r>
              <w:t>由 Research Agent 拆解核心研究主张，检索权威来源并形成 Claim–Evidence Matrix、审查报告和 Evidence Registry。</w:t>
            </w:r>
            <w:r>
              <w:rPr>
                <w:rFonts w:ascii="Arial" w:hAnsi="Arial" w:eastAsia="Noto Sans CJK SC"/>
                <w:b w:val="0"/>
                <w:i w:val="0"/>
                <w:color w:val="25313C"/>
                <w:sz w:val="16"/>
              </w:rPr>
            </w:r>
          </w:p>
        </w:tc>
      </w:tr>
      <w:tr>
        <w:tc>
          <w:tcPr>
            <w:tcW w:type="dxa" w:w="4680"/>
            <w:vAlign w:val="center"/>
          </w:tcPr>
          <w:p>
            <w:pPr>
              <w:spacing w:after="0" w:line="240" w:lineRule="auto"/>
              <w:jc w:val="left"/>
            </w:pPr>
            <w:r>
              <w:t>Lint 与质量门禁</w:t>
            </w:r>
            <w:r>
              <w:rPr>
                <w:rFonts w:ascii="Arial" w:hAnsi="Arial" w:eastAsia="Noto Sans CJK SC"/>
                <w:b w:val="0"/>
                <w:i w:val="0"/>
                <w:color w:val="25313C"/>
                <w:sz w:val="16"/>
              </w:rPr>
            </w:r>
          </w:p>
        </w:tc>
        <w:tc>
          <w:tcPr>
            <w:tcW w:type="dxa" w:w="4680"/>
            <w:vAlign w:val="center"/>
          </w:tcPr>
          <w:p>
            <w:pPr>
              <w:spacing w:after="0" w:line="240" w:lineRule="auto"/>
              <w:jc w:val="left"/>
            </w:pPr>
            <w:r>
              <w:t>对内容、标注、课程组装、学习路径、学生端输出、学习证据和研究引用执行可配置 Lint；支持 AUTO_FIX、WARN、REVIEW、BLOCK、人工复核和例外审批。</w:t>
            </w:r>
            <w:r>
              <w:rPr>
                <w:rFonts w:ascii="Arial" w:hAnsi="Arial" w:eastAsia="Noto Sans CJK SC"/>
                <w:b w:val="0"/>
                <w:i w:val="0"/>
                <w:color w:val="25313C"/>
                <w:sz w:val="16"/>
              </w:rPr>
            </w:r>
          </w:p>
        </w:tc>
      </w:tr>
    </w:tbl>
    <w:p/>
    <w:p>
      <w:pPr>
        <w:pStyle w:val="Heading1"/>
        <w:keepNext/>
        <w:spacing w:before="200" w:after="80"/>
      </w:pPr>
      <w:r>
        <w:t>7. 解决方案设计</w:t>
      </w:r>
    </w:p>
    <w:p>
      <w:pPr>
        <w:spacing w:after="120" w:line="264" w:lineRule="auto"/>
      </w:pPr>
      <w:r>
        <w:rPr>
          <w:rFonts w:ascii="Arial" w:hAnsi="Arial" w:eastAsia="Noto Sans CJK SC"/>
          <w:b w:val="0"/>
        </w:rPr>
        <w:t>AdaptLearn Copilot 采用“管理中台 + 学生学习端 + 智能学习后端”的三域产品架构，并增加贯穿全生命周期的研究证据治理和质量门禁。系统不让 LLM 直接“拍脑袋”决定内容标签、学生路径或项目技术结论：内容侧由 LLM 在受控标签体系下自动标注并通过多类 Lint 与专家抽检；学习侧采用“BKT 知识掌握追踪 + IRT 能力—难度测量 + 规则推荐 + 教师可审计解释”的确定性主链，Agent 负责诊断编排、独立校验和语言表达；项目方案与模型变更则由 Research Agent 建立可核验的 Claim–Evidence Matrix，经引用门禁和专家审批后进入 Evidence Registry。</w:t>
      </w:r>
    </w:p>
    <w:p>
      <w:pPr>
        <w:pStyle w:val="Heading2"/>
        <w:keepNext/>
        <w:spacing w:before="140" w:after="80"/>
      </w:pPr>
      <w:r>
        <w:t>7.1 多维英语知识图谱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1655"/>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图谱维度</w:t>
            </w:r>
          </w:p>
        </w:tc>
        <w:tc>
          <w:tcPr>
            <w:tcW w:type="dxa" w:w="3311"/>
            <w:vAlign w:val="center"/>
            <w:tcMar>
              <w:top w:w="80" w:type="dxa"/>
              <w:start w:w="120" w:type="dxa"/>
              <w:bottom w:w="80" w:type="dxa"/>
              <w:end w:w="120" w:type="dxa"/>
            </w:tcMar>
            <w:shd w:fill="F2F4F7"/>
          </w:tcPr>
          <w:p>
            <w:pPr>
              <w:spacing w:after="0"/>
            </w:pPr>
            <w:r>
              <w:rPr>
                <w:rFonts w:ascii="Calibri" w:hAnsi="Calibri" w:eastAsia="Noto Sans CJK SC"/>
                <w:b/>
                <w:color w:val="1F4D78"/>
                <w:sz w:val="21"/>
              </w:rPr>
              <w:t>一级节点</w:t>
            </w:r>
          </w:p>
        </w:tc>
        <w:tc>
          <w:tcPr>
            <w:tcW w:type="dxa" w:w="4392"/>
            <w:vAlign w:val="center"/>
            <w:tcMar>
              <w:top w:w="80" w:type="dxa"/>
              <w:start w:w="120" w:type="dxa"/>
              <w:bottom w:w="80" w:type="dxa"/>
              <w:end w:w="120" w:type="dxa"/>
            </w:tcMar>
            <w:shd w:fill="F2F4F7"/>
          </w:tcPr>
          <w:p>
            <w:pPr>
              <w:spacing w:after="0"/>
            </w:pPr>
            <w:r>
              <w:rPr>
                <w:rFonts w:ascii="Calibri" w:hAnsi="Calibri" w:eastAsia="Noto Sans CJK SC"/>
                <w:b/>
                <w:color w:val="1F4D78"/>
                <w:sz w:val="21"/>
              </w:rPr>
              <w:t>二级节点示例</w:t>
            </w:r>
          </w:p>
        </w:tc>
      </w:tr>
      <w:tr>
        <w:trPr>
          <w:cantSplit/>
        </w:trPr>
        <w:tc>
          <w:tcPr>
            <w:tcW w:type="dxa" w:w="1655"/>
          </w:tcPr>
          <w:p>
            <w:pPr>
              <w:spacing w:after="0" w:line="264" w:lineRule="auto"/>
            </w:pPr>
            <w:r>
              <w:rPr>
                <w:rFonts w:ascii="Calibri" w:hAnsi="Calibri" w:eastAsia="Noto Sans CJK SC"/>
                <w:sz w:val="20"/>
              </w:rPr>
              <w:t>知识层</w:t>
            </w:r>
          </w:p>
        </w:tc>
        <w:tc>
          <w:tcPr>
            <w:tcW w:type="dxa" w:w="3311"/>
          </w:tcPr>
          <w:p>
            <w:pPr>
              <w:spacing w:after="0" w:line="264" w:lineRule="auto"/>
            </w:pPr>
            <w:r>
              <w:rPr>
                <w:rFonts w:ascii="Calibri" w:hAnsi="Calibri" w:eastAsia="Noto Sans CJK SC"/>
                <w:sz w:val="20"/>
              </w:rPr>
              <w:t>词汇 / 语法 / 语篇知识 / 语用知识 / 文化知识</w:t>
            </w:r>
          </w:p>
        </w:tc>
        <w:tc>
          <w:tcPr>
            <w:tcW w:type="dxa" w:w="4392"/>
          </w:tcPr>
          <w:p>
            <w:pPr>
              <w:spacing w:after="0" w:line="264" w:lineRule="auto"/>
            </w:pPr>
            <w:r>
              <w:rPr>
                <w:rFonts w:ascii="Calibri" w:hAnsi="Calibri" w:eastAsia="Noto Sans CJK SC"/>
                <w:sz w:val="20"/>
              </w:rPr>
              <w:t>词义、词形、搭配、时态、从句、衔接、连贯、交际意图、文化比较</w:t>
            </w:r>
          </w:p>
        </w:tc>
      </w:tr>
      <w:tr>
        <w:trPr>
          <w:cantSplit/>
        </w:trPr>
        <w:tc>
          <w:tcPr>
            <w:tcW w:type="dxa" w:w="1655"/>
          </w:tcPr>
          <w:p>
            <w:pPr>
              <w:spacing w:after="0" w:line="264" w:lineRule="auto"/>
            </w:pPr>
            <w:r>
              <w:rPr>
                <w:rFonts w:ascii="Calibri" w:hAnsi="Calibri" w:eastAsia="Noto Sans CJK SC"/>
                <w:sz w:val="20"/>
              </w:rPr>
              <w:t>技能层</w:t>
            </w:r>
          </w:p>
        </w:tc>
        <w:tc>
          <w:tcPr>
            <w:tcW w:type="dxa" w:w="3311"/>
          </w:tcPr>
          <w:p>
            <w:pPr>
              <w:spacing w:after="0" w:line="264" w:lineRule="auto"/>
            </w:pPr>
            <w:r>
              <w:rPr>
                <w:rFonts w:ascii="Calibri" w:hAnsi="Calibri" w:eastAsia="Noto Sans CJK SC"/>
                <w:sz w:val="20"/>
              </w:rPr>
              <w:t>听 / 说 / 读 / 看 / 写</w:t>
            </w:r>
          </w:p>
        </w:tc>
        <w:tc>
          <w:tcPr>
            <w:tcW w:type="dxa" w:w="4392"/>
          </w:tcPr>
          <w:p>
            <w:pPr>
              <w:spacing w:after="0" w:line="264" w:lineRule="auto"/>
            </w:pPr>
            <w:r>
              <w:rPr>
                <w:rFonts w:ascii="Calibri" w:hAnsi="Calibri" w:eastAsia="Noto Sans CJK SC"/>
                <w:sz w:val="20"/>
              </w:rPr>
              <w:t>主旨理解、细节定位、推断态度、观点表达、段落组织、多模态文本解读</w:t>
            </w:r>
          </w:p>
        </w:tc>
      </w:tr>
      <w:tr>
        <w:trPr>
          <w:cantSplit/>
        </w:trPr>
        <w:tc>
          <w:tcPr>
            <w:tcW w:type="dxa" w:w="1655"/>
          </w:tcPr>
          <w:p>
            <w:pPr>
              <w:spacing w:after="0" w:line="264" w:lineRule="auto"/>
            </w:pPr>
            <w:r>
              <w:rPr>
                <w:rFonts w:ascii="Calibri" w:hAnsi="Calibri" w:eastAsia="Noto Sans CJK SC"/>
                <w:sz w:val="20"/>
              </w:rPr>
              <w:t>策略层</w:t>
            </w:r>
          </w:p>
        </w:tc>
        <w:tc>
          <w:tcPr>
            <w:tcW w:type="dxa" w:w="3311"/>
          </w:tcPr>
          <w:p>
            <w:pPr>
              <w:spacing w:after="0" w:line="264" w:lineRule="auto"/>
            </w:pPr>
            <w:r>
              <w:rPr>
                <w:rFonts w:ascii="Calibri" w:hAnsi="Calibri" w:eastAsia="Noto Sans CJK SC"/>
                <w:sz w:val="20"/>
              </w:rPr>
              <w:t>学习策略</w:t>
            </w:r>
          </w:p>
        </w:tc>
        <w:tc>
          <w:tcPr>
            <w:tcW w:type="dxa" w:w="4392"/>
          </w:tcPr>
          <w:p>
            <w:pPr>
              <w:spacing w:after="0" w:line="264" w:lineRule="auto"/>
            </w:pPr>
            <w:r>
              <w:rPr>
                <w:rFonts w:ascii="Calibri" w:hAnsi="Calibri" w:eastAsia="Noto Sans CJK SC"/>
                <w:sz w:val="20"/>
              </w:rPr>
              <w:t>预习、复习、归纳、查证、反思、自我监控、合作探究</w:t>
            </w:r>
          </w:p>
        </w:tc>
      </w:tr>
    </w:tbl>
    <w:p/>
    <w:p>
      <w:pPr>
        <w:spacing w:after="120" w:line="264" w:lineRule="auto"/>
      </w:pPr>
      <w:r>
        <w:rPr>
          <w:rFonts w:eastAsia="Noto Sans CJK SC" w:ascii="Calibri" w:hAnsi="Calibri"/>
        </w:rPr>
        <w:t>图谱在本项目中的主要作用不是深挖复杂关系，而是作为知识、技能与学习策略诊断的结构化坐标系，同时充当内容自动标注时的受控标签空间。每个学生在每个节点上都可以记录未掌握、初步掌握、基本掌握、熟练掌握或高阶掌握等状态。思维品质不作为知识图谱节点层，而是根据跨任务证据形成独立画像。</w:t>
      </w:r>
    </w:p>
    <w:p>
      <w:pPr>
        <w:pStyle w:val="Heading2"/>
        <w:keepNext/>
        <w:spacing w:before="140" w:after="80"/>
      </w:pPr>
      <w:r>
        <w:t>7.2 Bloom 掌握层级</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1800"/>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层级</w:t>
            </w:r>
          </w:p>
        </w:tc>
        <w:tc>
          <w:tcPr>
            <w:tcW w:type="dxa" w:w="1944"/>
            <w:vAlign w:val="center"/>
            <w:tcMar>
              <w:top w:w="80" w:type="dxa"/>
              <w:start w:w="120" w:type="dxa"/>
              <w:bottom w:w="80" w:type="dxa"/>
              <w:end w:w="120" w:type="dxa"/>
            </w:tcMar>
            <w:shd w:fill="F2F4F7"/>
          </w:tcPr>
          <w:p>
            <w:pPr>
              <w:spacing w:after="0"/>
            </w:pPr>
            <w:r>
              <w:rPr>
                <w:rFonts w:ascii="Calibri" w:hAnsi="Calibri" w:eastAsia="Noto Sans CJK SC"/>
                <w:b/>
                <w:color w:val="1F4D78"/>
                <w:sz w:val="21"/>
              </w:rPr>
              <w:t>英文</w:t>
            </w:r>
          </w:p>
        </w:tc>
        <w:tc>
          <w:tcPr>
            <w:tcW w:type="dxa" w:w="5616"/>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初中英语中的表现</w:t>
            </w:r>
          </w:p>
        </w:tc>
      </w:tr>
      <w:tr>
        <w:trPr>
          <w:cantSplit/>
        </w:trPr>
        <w:tc>
          <w:tcPr>
            <w:tcW w:type="dxa" w:w="1800"/>
          </w:tcPr>
          <w:p>
            <w:pPr>
              <w:spacing w:after="0" w:line="264" w:lineRule="auto"/>
            </w:pPr>
            <w:r>
              <w:rPr>
                <w:rFonts w:ascii="Calibri" w:hAnsi="Calibri" w:eastAsia="Noto Sans CJK SC"/>
                <w:sz w:val="20"/>
              </w:rPr>
              <w:t>L1 记忆</w:t>
            </w:r>
          </w:p>
        </w:tc>
        <w:tc>
          <w:tcPr>
            <w:tcW w:type="dxa" w:w="1944"/>
          </w:tcPr>
          <w:p>
            <w:pPr>
              <w:spacing w:after="0" w:line="264" w:lineRule="auto"/>
            </w:pPr>
            <w:r>
              <w:rPr>
                <w:rFonts w:ascii="Calibri" w:hAnsi="Calibri" w:eastAsia="Noto Sans CJK SC"/>
                <w:sz w:val="20"/>
              </w:rPr>
              <w:t>Remember</w:t>
            </w:r>
          </w:p>
        </w:tc>
        <w:tc>
          <w:tcPr>
            <w:tcW w:type="dxa" w:w="5616"/>
          </w:tcPr>
          <w:p>
            <w:pPr>
              <w:spacing w:after="0" w:line="264" w:lineRule="auto"/>
            </w:pPr>
            <w:r>
              <w:rPr>
                <w:rFonts w:ascii="Calibri" w:hAnsi="Calibri" w:eastAsia="Noto Sans CJK SC"/>
                <w:sz w:val="20"/>
              </w:rPr>
              <w:t>能记住单词、语法规则、表达句型。</w:t>
            </w:r>
          </w:p>
        </w:tc>
      </w:tr>
      <w:tr>
        <w:trPr>
          <w:cantSplit/>
        </w:trPr>
        <w:tc>
          <w:tcPr>
            <w:tcW w:type="dxa" w:w="1800"/>
          </w:tcPr>
          <w:p>
            <w:pPr>
              <w:spacing w:after="0" w:line="264" w:lineRule="auto"/>
            </w:pPr>
            <w:r>
              <w:rPr>
                <w:rFonts w:ascii="Calibri" w:hAnsi="Calibri" w:eastAsia="Noto Sans CJK SC"/>
                <w:sz w:val="20"/>
              </w:rPr>
              <w:t>L2 理解</w:t>
            </w:r>
          </w:p>
        </w:tc>
        <w:tc>
          <w:tcPr>
            <w:tcW w:type="dxa" w:w="1944"/>
          </w:tcPr>
          <w:p>
            <w:pPr>
              <w:spacing w:after="0" w:line="264" w:lineRule="auto"/>
            </w:pPr>
            <w:r>
              <w:rPr>
                <w:rFonts w:ascii="Calibri" w:hAnsi="Calibri" w:eastAsia="Noto Sans CJK SC"/>
                <w:sz w:val="20"/>
              </w:rPr>
              <w:t>Understand</w:t>
            </w:r>
          </w:p>
        </w:tc>
        <w:tc>
          <w:tcPr>
            <w:tcW w:type="dxa" w:w="5616"/>
          </w:tcPr>
          <w:p>
            <w:pPr>
              <w:spacing w:after="0" w:line="264" w:lineRule="auto"/>
            </w:pPr>
            <w:r>
              <w:rPr>
                <w:rFonts w:ascii="Calibri" w:hAnsi="Calibri" w:eastAsia="Noto Sans CJK SC"/>
                <w:sz w:val="20"/>
              </w:rPr>
              <w:t>能解释词义、理解句子结构、理解文本含义。</w:t>
            </w:r>
          </w:p>
        </w:tc>
      </w:tr>
      <w:tr>
        <w:trPr>
          <w:cantSplit/>
        </w:trPr>
        <w:tc>
          <w:tcPr>
            <w:tcW w:type="dxa" w:w="1800"/>
          </w:tcPr>
          <w:p>
            <w:pPr>
              <w:spacing w:after="0" w:line="264" w:lineRule="auto"/>
            </w:pPr>
            <w:r>
              <w:rPr>
                <w:rFonts w:ascii="Calibri" w:hAnsi="Calibri" w:eastAsia="Noto Sans CJK SC"/>
                <w:sz w:val="20"/>
              </w:rPr>
              <w:t>L3 应用</w:t>
            </w:r>
          </w:p>
        </w:tc>
        <w:tc>
          <w:tcPr>
            <w:tcW w:type="dxa" w:w="1944"/>
          </w:tcPr>
          <w:p>
            <w:pPr>
              <w:spacing w:after="0" w:line="264" w:lineRule="auto"/>
            </w:pPr>
            <w:r>
              <w:rPr>
                <w:rFonts w:ascii="Calibri" w:hAnsi="Calibri" w:eastAsia="Noto Sans CJK SC"/>
                <w:sz w:val="20"/>
              </w:rPr>
              <w:t>Apply</w:t>
            </w:r>
          </w:p>
        </w:tc>
        <w:tc>
          <w:tcPr>
            <w:tcW w:type="dxa" w:w="5616"/>
          </w:tcPr>
          <w:p>
            <w:pPr>
              <w:spacing w:after="0" w:line="264" w:lineRule="auto"/>
            </w:pPr>
            <w:r>
              <w:rPr>
                <w:rFonts w:ascii="Calibri" w:hAnsi="Calibri" w:eastAsia="Noto Sans CJK SC"/>
                <w:sz w:val="20"/>
              </w:rPr>
              <w:t>能在练习、阅读或写作中正确使用。</w:t>
            </w:r>
          </w:p>
        </w:tc>
      </w:tr>
      <w:tr>
        <w:trPr>
          <w:cantSplit/>
        </w:trPr>
        <w:tc>
          <w:tcPr>
            <w:tcW w:type="dxa" w:w="1800"/>
          </w:tcPr>
          <w:p>
            <w:pPr>
              <w:spacing w:after="0" w:line="264" w:lineRule="auto"/>
            </w:pPr>
            <w:r>
              <w:rPr>
                <w:rFonts w:ascii="Calibri" w:hAnsi="Calibri" w:eastAsia="Noto Sans CJK SC"/>
                <w:sz w:val="20"/>
              </w:rPr>
              <w:t>L4 分析</w:t>
            </w:r>
          </w:p>
        </w:tc>
        <w:tc>
          <w:tcPr>
            <w:tcW w:type="dxa" w:w="1944"/>
          </w:tcPr>
          <w:p>
            <w:pPr>
              <w:spacing w:after="0" w:line="264" w:lineRule="auto"/>
            </w:pPr>
            <w:r>
              <w:rPr>
                <w:rFonts w:ascii="Calibri" w:hAnsi="Calibri" w:eastAsia="Noto Sans CJK SC"/>
                <w:sz w:val="20"/>
              </w:rPr>
              <w:t>Analyze</w:t>
            </w:r>
          </w:p>
        </w:tc>
        <w:tc>
          <w:tcPr>
            <w:tcW w:type="dxa" w:w="5616"/>
          </w:tcPr>
          <w:p>
            <w:pPr>
              <w:spacing w:after="0" w:line="264" w:lineRule="auto"/>
            </w:pPr>
            <w:r>
              <w:rPr>
                <w:rFonts w:ascii="Calibri" w:hAnsi="Calibri" w:eastAsia="Noto Sans CJK SC"/>
                <w:sz w:val="20"/>
              </w:rPr>
              <w:t>能分析句子结构、语篇逻辑、作者意图。</w:t>
            </w:r>
          </w:p>
        </w:tc>
      </w:tr>
      <w:tr>
        <w:trPr>
          <w:cantSplit/>
        </w:trPr>
        <w:tc>
          <w:tcPr>
            <w:tcW w:type="dxa" w:w="1800"/>
          </w:tcPr>
          <w:p>
            <w:pPr>
              <w:spacing w:after="0" w:line="264" w:lineRule="auto"/>
            </w:pPr>
            <w:r>
              <w:rPr>
                <w:rFonts w:ascii="Calibri" w:hAnsi="Calibri" w:eastAsia="Noto Sans CJK SC"/>
                <w:sz w:val="20"/>
              </w:rPr>
              <w:t>L5 评价</w:t>
            </w:r>
          </w:p>
        </w:tc>
        <w:tc>
          <w:tcPr>
            <w:tcW w:type="dxa" w:w="1944"/>
          </w:tcPr>
          <w:p>
            <w:pPr>
              <w:spacing w:after="0" w:line="264" w:lineRule="auto"/>
            </w:pPr>
            <w:r>
              <w:rPr>
                <w:rFonts w:ascii="Calibri" w:hAnsi="Calibri" w:eastAsia="Noto Sans CJK SC"/>
                <w:sz w:val="20"/>
              </w:rPr>
              <w:t>Evaluate</w:t>
            </w:r>
          </w:p>
        </w:tc>
        <w:tc>
          <w:tcPr>
            <w:tcW w:type="dxa" w:w="5616"/>
          </w:tcPr>
          <w:p>
            <w:pPr>
              <w:spacing w:after="0" w:line="264" w:lineRule="auto"/>
            </w:pPr>
            <w:r>
              <w:rPr>
                <w:rFonts w:ascii="Calibri" w:hAnsi="Calibri" w:eastAsia="Noto Sans CJK SC"/>
                <w:sz w:val="20"/>
              </w:rPr>
              <w:t>能判断表达是否得体、观点是否合理、文本是否有逻辑。</w:t>
            </w:r>
          </w:p>
        </w:tc>
      </w:tr>
      <w:tr>
        <w:trPr>
          <w:cantSplit/>
        </w:trPr>
        <w:tc>
          <w:tcPr>
            <w:tcW w:type="dxa" w:w="1800"/>
          </w:tcPr>
          <w:p>
            <w:pPr>
              <w:spacing w:after="0" w:line="264" w:lineRule="auto"/>
            </w:pPr>
            <w:r>
              <w:rPr>
                <w:rFonts w:ascii="Calibri" w:hAnsi="Calibri" w:eastAsia="Noto Sans CJK SC"/>
                <w:sz w:val="20"/>
              </w:rPr>
              <w:t>L6 创造</w:t>
            </w:r>
          </w:p>
        </w:tc>
        <w:tc>
          <w:tcPr>
            <w:tcW w:type="dxa" w:w="1944"/>
          </w:tcPr>
          <w:p>
            <w:pPr>
              <w:spacing w:after="0" w:line="264" w:lineRule="auto"/>
            </w:pPr>
            <w:r>
              <w:rPr>
                <w:rFonts w:ascii="Calibri" w:hAnsi="Calibri" w:eastAsia="Noto Sans CJK SC"/>
                <w:sz w:val="20"/>
              </w:rPr>
              <w:t>Create</w:t>
            </w:r>
          </w:p>
        </w:tc>
        <w:tc>
          <w:tcPr>
            <w:tcW w:type="dxa" w:w="5616"/>
          </w:tcPr>
          <w:p>
            <w:pPr>
              <w:spacing w:after="0" w:line="264" w:lineRule="auto"/>
            </w:pPr>
            <w:r>
              <w:rPr>
                <w:rFonts w:ascii="Calibri" w:hAnsi="Calibri" w:eastAsia="Noto Sans CJK SC"/>
                <w:sz w:val="20"/>
              </w:rPr>
              <w:t>能迁移使用知识，完成表达、改写、写作和观点组织。</w:t>
            </w:r>
          </w:p>
        </w:tc>
      </w:tr>
    </w:tbl>
    <w:p/>
    <w:p>
      <w:pPr>
        <w:pStyle w:val="Heading2"/>
        <w:keepNext/>
        <w:spacing w:before="140" w:after="80"/>
      </w:pPr>
      <w:r>
        <w:t>7.3 学习者画像</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vAlign w:val="center"/>
            <w:tcMar>
              <w:top w:w="80" w:type="dxa"/>
              <w:start w:w="120" w:type="dxa"/>
              <w:bottom w:w="80" w:type="dxa"/>
              <w:end w:w="120" w:type="dxa"/>
            </w:tcMar>
            <w:shd w:fill="F2F4F7"/>
          </w:tcPr>
          <w:p>
            <w:pPr>
              <w:spacing w:after="0"/>
            </w:pPr>
            <w:r>
              <w:rPr>
                <w:rFonts w:ascii="Calibri" w:hAnsi="Calibri" w:eastAsia="Noto Sans CJK SC"/>
                <w:b/>
                <w:color w:val="1F4D78"/>
                <w:sz w:val="21"/>
              </w:rPr>
              <w:t>画像维度</w:t>
            </w:r>
          </w:p>
        </w:tc>
        <w:tc>
          <w:tcPr>
            <w:tcW w:type="dxa" w:w="2880"/>
            <w:vAlign w:val="center"/>
            <w:tcMar>
              <w:top w:w="80" w:type="dxa"/>
              <w:start w:w="120" w:type="dxa"/>
              <w:bottom w:w="80" w:type="dxa"/>
              <w:end w:w="120" w:type="dxa"/>
            </w:tcMar>
            <w:shd w:fill="F2F4F7"/>
          </w:tcPr>
          <w:p>
            <w:pPr>
              <w:spacing w:after="0"/>
            </w:pPr>
            <w:r>
              <w:rPr>
                <w:rFonts w:ascii="Calibri" w:hAnsi="Calibri" w:eastAsia="Noto Sans CJK SC"/>
                <w:b/>
                <w:color w:val="1F4D78"/>
                <w:sz w:val="21"/>
              </w:rPr>
              <w:t>数据来源</w:t>
            </w:r>
          </w:p>
        </w:tc>
        <w:tc>
          <w:tcPr>
            <w:tcW w:type="dxa" w:w="4392"/>
            <w:vAlign w:val="center"/>
            <w:tcMar>
              <w:top w:w="80" w:type="dxa"/>
              <w:start w:w="120" w:type="dxa"/>
              <w:bottom w:w="80" w:type="dxa"/>
              <w:end w:w="120" w:type="dxa"/>
            </w:tcMar>
            <w:shd w:fill="F2F4F7"/>
          </w:tcPr>
          <w:p>
            <w:pPr>
              <w:spacing w:after="0"/>
            </w:pPr>
            <w:r>
              <w:rPr>
                <w:rFonts w:ascii="Calibri" w:hAnsi="Calibri" w:eastAsia="Noto Sans CJK SC"/>
                <w:b/>
                <w:color w:val="1F4D78"/>
                <w:sz w:val="21"/>
              </w:rPr>
              <w:t>系统解释</w:t>
            </w:r>
          </w:p>
        </w:tc>
      </w:tr>
      <w:tr>
        <w:trPr>
          <w:cantSplit/>
        </w:trPr>
        <w:tc>
          <w:tcPr>
            <w:tcW w:type="dxa" w:w="2088"/>
          </w:tcPr>
          <w:p>
            <w:pPr>
              <w:spacing w:after="0" w:line="264" w:lineRule="auto"/>
            </w:pPr>
            <w:r>
              <w:rPr>
                <w:rFonts w:ascii="Calibri" w:hAnsi="Calibri" w:eastAsia="Noto Sans CJK SC"/>
                <w:sz w:val="20"/>
              </w:rPr>
              <w:t>知识掌握状态</w:t>
            </w:r>
          </w:p>
        </w:tc>
        <w:tc>
          <w:tcPr>
            <w:tcW w:type="dxa" w:w="2880"/>
          </w:tcPr>
          <w:p>
            <w:pPr>
              <w:spacing w:after="0" w:line="264" w:lineRule="auto"/>
            </w:pPr>
            <w:r>
              <w:rPr>
                <w:rFonts w:ascii="Calibri" w:hAnsi="Calibri" w:eastAsia="Noto Sans CJK SC"/>
                <w:sz w:val="20"/>
              </w:rPr>
              <w:t>作业、测验、错题、BKT 状态</w:t>
            </w:r>
          </w:p>
        </w:tc>
        <w:tc>
          <w:tcPr>
            <w:tcW w:type="dxa" w:w="4392"/>
          </w:tcPr>
          <w:p>
            <w:pPr>
              <w:spacing w:after="0" w:line="264" w:lineRule="auto"/>
            </w:pPr>
            <w:r>
              <w:rPr>
                <w:rFonts w:ascii="Calibri" w:hAnsi="Calibri" w:eastAsia="Noto Sans CJK SC"/>
                <w:sz w:val="20"/>
              </w:rPr>
              <w:t>哪些知识点未掌握、已掌握或不稳定，以及掌握概率和置信度。</w:t>
            </w:r>
          </w:p>
        </w:tc>
      </w:tr>
      <w:tr>
        <w:trPr>
          <w:cantSplit/>
        </w:trPr>
        <w:tc>
          <w:tcPr>
            <w:tcW w:type="dxa" w:w="2088"/>
          </w:tcPr>
          <w:p>
            <w:pPr>
              <w:spacing w:after="0" w:line="264" w:lineRule="auto"/>
            </w:pPr>
            <w:r>
              <w:rPr>
                <w:rFonts w:ascii="Calibri" w:hAnsi="Calibri" w:eastAsia="Noto Sans CJK SC"/>
                <w:sz w:val="20"/>
              </w:rPr>
              <w:t>能力与难度状态</w:t>
            </w:r>
          </w:p>
        </w:tc>
        <w:tc>
          <w:tcPr>
            <w:tcW w:type="dxa" w:w="2880"/>
          </w:tcPr>
          <w:p>
            <w:pPr>
              <w:spacing w:after="0" w:line="264" w:lineRule="auto"/>
            </w:pPr>
            <w:r>
              <w:rPr>
                <w:rFonts w:ascii="Calibri" w:hAnsi="Calibri" w:eastAsia="Noto Sans CJK SC"/>
                <w:sz w:val="20"/>
              </w:rPr>
              <w:t>IRT 作答矩阵、任务参数</w:t>
            </w:r>
          </w:p>
        </w:tc>
        <w:tc>
          <w:tcPr>
            <w:tcW w:type="dxa" w:w="4392"/>
          </w:tcPr>
          <w:p>
            <w:pPr>
              <w:spacing w:after="0" w:line="264" w:lineRule="auto"/>
            </w:pPr>
            <w:r>
              <w:rPr>
                <w:rFonts w:ascii="Calibri" w:hAnsi="Calibri" w:eastAsia="Noto Sans CJK SC"/>
                <w:sz w:val="20"/>
              </w:rPr>
              <w:t>学生能力 θ、标准误、任务难度 b 与适当挑战区间。</w:t>
            </w:r>
          </w:p>
        </w:tc>
      </w:tr>
      <w:tr>
        <w:trPr>
          <w:cantSplit/>
        </w:trPr>
        <w:tc>
          <w:tcPr>
            <w:tcW w:type="dxa" w:w="2088"/>
          </w:tcPr>
          <w:p>
            <w:pPr>
              <w:spacing w:after="0" w:line="264" w:lineRule="auto"/>
            </w:pPr>
            <w:r>
              <w:rPr>
                <w:rFonts w:ascii="Calibri" w:hAnsi="Calibri" w:eastAsia="Noto Sans CJK SC"/>
                <w:sz w:val="20"/>
              </w:rPr>
              <w:t>掌握层次</w:t>
            </w:r>
          </w:p>
        </w:tc>
        <w:tc>
          <w:tcPr>
            <w:tcW w:type="dxa" w:w="2880"/>
          </w:tcPr>
          <w:p>
            <w:pPr>
              <w:spacing w:after="0" w:line="264" w:lineRule="auto"/>
            </w:pPr>
            <w:r>
              <w:rPr>
                <w:rFonts w:ascii="Calibri" w:hAnsi="Calibri" w:eastAsia="Noto Sans CJK SC"/>
                <w:sz w:val="20"/>
              </w:rPr>
              <w:t>题型表现、开放表达任务</w:t>
            </w:r>
          </w:p>
        </w:tc>
        <w:tc>
          <w:tcPr>
            <w:tcW w:type="dxa" w:w="4392"/>
          </w:tcPr>
          <w:p>
            <w:pPr>
              <w:spacing w:after="0" w:line="264" w:lineRule="auto"/>
            </w:pPr>
            <w:r>
              <w:rPr>
                <w:rFonts w:ascii="Calibri" w:hAnsi="Calibri" w:eastAsia="Noto Sans CJK SC"/>
                <w:sz w:val="20"/>
              </w:rPr>
              <w:t>处于记忆、理解、应用、分析、评价、创造哪一层。</w:t>
            </w:r>
          </w:p>
        </w:tc>
      </w:tr>
      <w:tr>
        <w:trPr>
          <w:cantSplit/>
        </w:trPr>
        <w:tc>
          <w:tcPr>
            <w:tcW w:type="dxa" w:w="2088"/>
          </w:tcPr>
          <w:p>
            <w:pPr>
              <w:spacing w:after="0" w:line="264" w:lineRule="auto"/>
            </w:pPr>
            <w:r>
              <w:rPr>
                <w:rFonts w:ascii="Calibri" w:hAnsi="Calibri" w:eastAsia="Noto Sans CJK SC"/>
                <w:sz w:val="20"/>
              </w:rPr>
              <w:t>技能状态</w:t>
            </w:r>
          </w:p>
        </w:tc>
        <w:tc>
          <w:tcPr>
            <w:tcW w:type="dxa" w:w="2880"/>
          </w:tcPr>
          <w:p>
            <w:pPr>
              <w:spacing w:after="0" w:line="264" w:lineRule="auto"/>
            </w:pPr>
            <w:r>
              <w:rPr>
                <w:rFonts w:ascii="Calibri" w:hAnsi="Calibri" w:eastAsia="Noto Sans CJK SC"/>
                <w:sz w:val="20"/>
              </w:rPr>
              <w:t>听说读看写任务</w:t>
            </w:r>
          </w:p>
        </w:tc>
        <w:tc>
          <w:tcPr>
            <w:tcW w:type="dxa" w:w="4392"/>
          </w:tcPr>
          <w:p>
            <w:pPr>
              <w:spacing w:after="0" w:line="264" w:lineRule="auto"/>
            </w:pPr>
            <w:r>
              <w:rPr>
                <w:rFonts w:ascii="Calibri" w:hAnsi="Calibri" w:eastAsia="Noto Sans CJK SC"/>
                <w:sz w:val="20"/>
              </w:rPr>
              <w:t>哪些语言技能薄弱或需要提升。</w:t>
            </w:r>
          </w:p>
        </w:tc>
      </w:tr>
      <w:tr>
        <w:trPr>
          <w:cantSplit/>
        </w:trPr>
        <w:tc>
          <w:tcPr>
            <w:tcW w:type="dxa" w:w="2088"/>
          </w:tcPr>
          <w:p>
            <w:pPr>
              <w:spacing w:after="0" w:line="264" w:lineRule="auto"/>
            </w:pPr>
            <w:r>
              <w:rPr>
                <w:rFonts w:ascii="Calibri" w:hAnsi="Calibri" w:eastAsia="Noto Sans CJK SC"/>
                <w:sz w:val="20"/>
              </w:rPr>
              <w:t>学习行为</w:t>
            </w:r>
          </w:p>
        </w:tc>
        <w:tc>
          <w:tcPr>
            <w:tcW w:type="dxa" w:w="2880"/>
          </w:tcPr>
          <w:p>
            <w:pPr>
              <w:spacing w:after="0" w:line="264" w:lineRule="auto"/>
            </w:pPr>
            <w:r>
              <w:rPr>
                <w:rFonts w:ascii="Calibri" w:hAnsi="Calibri" w:eastAsia="Noto Sans CJK SC"/>
                <w:sz w:val="20"/>
              </w:rPr>
              <w:t>学习时长、练习时长、完成率、练习质量</w:t>
            </w:r>
          </w:p>
        </w:tc>
        <w:tc>
          <w:tcPr>
            <w:tcW w:type="dxa" w:w="4392"/>
          </w:tcPr>
          <w:p>
            <w:pPr>
              <w:spacing w:after="0" w:line="264" w:lineRule="auto"/>
            </w:pPr>
            <w:r>
              <w:rPr>
                <w:rFonts w:ascii="Calibri" w:hAnsi="Calibri" w:eastAsia="Noto Sans CJK SC"/>
                <w:sz w:val="20"/>
              </w:rPr>
              <w:t>是否投入、稳定、高质量完成。</w:t>
            </w:r>
          </w:p>
        </w:tc>
      </w:tr>
      <w:tr>
        <w:trPr>
          <w:cantSplit/>
        </w:trPr>
        <w:tc>
          <w:tcPr>
            <w:tcW w:type="dxa" w:w="2088"/>
          </w:tcPr>
          <w:p>
            <w:pPr>
              <w:spacing w:after="0" w:line="264" w:lineRule="auto"/>
            </w:pPr>
            <w:r>
              <w:rPr>
                <w:rFonts w:ascii="Calibri" w:hAnsi="Calibri" w:eastAsia="Noto Sans CJK SC"/>
                <w:sz w:val="20"/>
              </w:rPr>
              <w:t>学习偏好</w:t>
            </w:r>
          </w:p>
        </w:tc>
        <w:tc>
          <w:tcPr>
            <w:tcW w:type="dxa" w:w="2880"/>
          </w:tcPr>
          <w:p>
            <w:pPr>
              <w:spacing w:after="0" w:line="264" w:lineRule="auto"/>
            </w:pPr>
            <w:r>
              <w:rPr>
                <w:rFonts w:ascii="Calibri" w:hAnsi="Calibri" w:eastAsia="Noto Sans CJK SC"/>
                <w:sz w:val="20"/>
              </w:rPr>
              <w:t>任务选择、反馈问卷、历史行为</w:t>
            </w:r>
          </w:p>
        </w:tc>
        <w:tc>
          <w:tcPr>
            <w:tcW w:type="dxa" w:w="4392"/>
          </w:tcPr>
          <w:p>
            <w:pPr>
              <w:spacing w:after="0" w:line="264" w:lineRule="auto"/>
            </w:pPr>
            <w:r>
              <w:rPr>
                <w:rFonts w:ascii="Calibri" w:hAnsi="Calibri" w:eastAsia="Noto Sans CJK SC"/>
                <w:sz w:val="20"/>
              </w:rPr>
              <w:t>偏好视频、阅读、练习、互动或挑战任务。</w:t>
            </w:r>
          </w:p>
        </w:tc>
      </w:tr>
      <w:tr>
        <w:trPr>
          <w:cantSplit/>
        </w:trPr>
        <w:tc>
          <w:tcPr>
            <w:tcW w:type="dxa" w:w="2088"/>
          </w:tcPr>
          <w:p>
            <w:pPr>
              <w:spacing w:after="0" w:line="264" w:lineRule="auto"/>
            </w:pPr>
            <w:r>
              <w:rPr>
                <w:rFonts w:ascii="Calibri" w:hAnsi="Calibri" w:eastAsia="Noto Sans CJK SC"/>
                <w:sz w:val="20"/>
              </w:rPr>
              <w:t>思维品质水平</w:t>
            </w:r>
          </w:p>
        </w:tc>
        <w:tc>
          <w:tcPr>
            <w:tcW w:type="dxa" w:w="2880"/>
          </w:tcPr>
          <w:p>
            <w:pPr>
              <w:spacing w:after="0" w:line="264" w:lineRule="auto"/>
            </w:pPr>
            <w:r>
              <w:rPr>
                <w:rFonts w:ascii="Calibri" w:hAnsi="Calibri" w:eastAsia="Noto Sans CJK SC"/>
                <w:sz w:val="20"/>
              </w:rPr>
              <w:t>阅读、写作、讨论、反思任务</w:t>
            </w:r>
          </w:p>
        </w:tc>
        <w:tc>
          <w:tcPr>
            <w:tcW w:type="dxa" w:w="4392"/>
          </w:tcPr>
          <w:p>
            <w:pPr>
              <w:spacing w:after="0" w:line="264" w:lineRule="auto"/>
            </w:pPr>
            <w:r>
              <w:rPr>
                <w:rFonts w:ascii="Calibri" w:hAnsi="Calibri" w:eastAsia="Noto Sans CJK SC"/>
                <w:sz w:val="20"/>
              </w:rPr>
              <w:t>观察与辨析、归纳与推断、批判与创新的发展水平。</w:t>
            </w:r>
          </w:p>
        </w:tc>
      </w:tr>
      <w:tr>
        <w:tc>
          <w:tcPr>
            <w:tcW w:type="dxa" w:w="3120"/>
          </w:tcPr>
          <w:p>
            <w:r>
              <w:t>学习策略水平</w:t>
            </w:r>
          </w:p>
        </w:tc>
        <w:tc>
          <w:tcPr>
            <w:tcW w:type="dxa" w:w="3120"/>
          </w:tcPr>
          <w:p>
            <w:r>
              <w:t>计划、复习、反思、自我调整</w:t>
            </w:r>
          </w:p>
        </w:tc>
        <w:tc>
          <w:tcPr>
            <w:tcW w:type="dxa" w:w="3120"/>
          </w:tcPr>
          <w:p>
            <w:r>
              <w:t>是否能主动管理学习过程。</w:t>
            </w:r>
          </w:p>
        </w:tc>
      </w:tr>
    </w:tbl>
    <w:p/>
    <w:p>
      <w:pPr>
        <w:pStyle w:val="Heading2"/>
        <w:keepNext/>
        <w:spacing w:before="140" w:after="80"/>
      </w:pPr>
      <w:r>
        <w:t>7.4 认知状态模型</w:t>
      </w:r>
    </w:p>
    <w:tbl>
      <w:tblPr>
        <w:tblW w:type="dxa" w:w="9360"/>
        <w:jc w:val="left"/>
        <w:tblLayout w:type="fixed"/>
        <w:tblLook w:firstColumn="1" w:firstRow="1" w:lastColumn="0" w:lastRow="0" w:noHBand="0" w:noVBand="1" w:val="04A0"/>
        <w:tblInd w:w="120" w:type="dxa"/>
      </w:tblPr>
      <w:tblGrid>
        <w:gridCol w:w="9360"/>
      </w:tblGrid>
      <w:tr>
        <w:trPr>
          <w:cantSplit/>
          <w:tblHeader/>
        </w:trPr>
        <w:tc>
          <w:tcPr>
            <w:tcW w:type="dxa" w:w="9360"/>
            <w:vAlign w:val="center"/>
            <w:tcMar>
              <w:top w:w="80" w:type="dxa"/>
              <w:start w:w="120" w:type="dxa"/>
              <w:bottom w:w="80" w:type="dxa"/>
              <w:end w:w="120" w:type="dxa"/>
            </w:tcMar>
            <w:shd w:fill="F4F6F9"/>
          </w:tcPr>
          <w:p>
            <w:pPr>
              <w:spacing w:after="60"/>
            </w:pPr>
            <w:r>
              <w:rPr>
                <w:rFonts w:ascii="Calibri" w:hAnsi="Calibri" w:eastAsia="Noto Sans CJK SC"/>
                <w:b/>
                <w:color w:val="1F4D78"/>
                <w:sz w:val="22"/>
              </w:rPr>
              <w:t>认知状态定义</w:t>
              <w:br/>
              <w:t>Cognitive State = f(BKT Knowledge Mastery, IRT Ability &amp; Difficulty Match, Bloom Mastery Level, Language Skill Profile, Learning Behavior, Learning Strategy, Classroom Activity Performance, Thinking Quality Profile, Learning Preference, Current Ability State)</w:t>
            </w:r>
          </w:p>
        </w:tc>
      </w:tr>
    </w:tbl>
    <w:p/>
    <w:p>
      <w:pPr>
        <w:spacing w:after="120" w:line="264" w:lineRule="auto"/>
      </w:pPr>
      <w:r>
        <w:rPr>
          <w:rFonts w:ascii="Calibri" w:hAnsi="Calibri" w:eastAsia="Noto Sans CJK SC"/>
        </w:rPr>
        <w:t>系统输出不是单一分数，而是一个综合诊断。例如：学生在词汇和语法基础知识上基本掌握，但在语篇结构分析和写作迁移应用方面仍处于应用到分析的过渡阶段；其阅读任务中归纳与推断能力较弱，因此建议优先安排“语篇结构识别 + 段落逻辑重组 + 写作反思任务”。</w:t>
      </w:r>
    </w:p>
    <w:p>
      <w:pPr>
        <w:pStyle w:val="Heading2"/>
        <w:keepNext/>
      </w:pPr>
      <w:r>
        <w:rPr>
          <w:rFonts w:eastAsia="Noto Sans CJK SC" w:ascii="Calibri" w:hAnsi="Calibri"/>
        </w:rPr>
        <w:t>7.5 LLM 内容理解与自动标注</w:t>
      </w:r>
    </w:p>
    <w:p>
      <w:pPr/>
      <w:r>
        <w:rPr>
          <w:rFonts w:eastAsia="Noto Sans CJK SC" w:ascii="Calibri" w:hAnsi="Calibri"/>
        </w:rPr>
        <w:t>为降低大规模人工标注成本并提高更新效率，系统采用“LLM 自动预标注 + 受控标签体系约束 + 一致性校验 + 置信度分流 + 专家抽检与争议复核”的内容智能方案。人工角色由逐条标注转向标签体系设计、金标准构建、低置信样本复核和质量治理。</w:t>
      </w:r>
    </w:p>
    <w:p>
      <w:pPr/>
      <w:r>
        <w:rPr>
          <w:rFonts w:eastAsia="Noto Sans CJK SC" w:ascii="Calibri" w:hAnsi="Calibri"/>
        </w:rPr>
        <w:t>系统必须区分“任务的认知要求”和“学生的实际掌握状态”。LLM 在内容生产阶段标注题目或活动要求学生使用哪些知识、技能、Bloom 认知操作和思维品质；学生是否达到相应水平，则由多次任务证据、BKT 知识掌握状态、IRT 能力估计和诊断模型共同判断。</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trPr>
        <w:tc>
          <w:tcPr>
            <w:tcW w:type="dxa" w:w="1944"/>
            <w:shd w:fill="D9EAF7"/>
            <w:vAlign w:val="center"/>
          </w:tcPr>
          <w:p>
            <w:pPr>
              <w:spacing w:before="0" w:after="0" w:line="252" w:lineRule="auto"/>
              <w:jc w:val="center"/>
            </w:pPr>
            <w:r>
              <w:t>对象</w:t>
            </w:r>
            <w:r>
              <w:rPr>
                <w:rFonts w:eastAsia="Noto Sans CJK SC" w:ascii="Calibri" w:hAnsi="Calibri"/>
                <w:b/>
                <w:color w:val="2E74B5"/>
                <w:sz w:val="17"/>
              </w:rPr>
            </w:r>
          </w:p>
        </w:tc>
        <w:tc>
          <w:tcPr>
            <w:tcW w:type="dxa" w:w="2952"/>
            <w:shd w:fill="D9EAF7"/>
            <w:vAlign w:val="center"/>
          </w:tcPr>
          <w:p>
            <w:pPr>
              <w:spacing w:before="0" w:after="0" w:line="252" w:lineRule="auto"/>
              <w:jc w:val="center"/>
            </w:pPr>
            <w:r>
              <w:t>系统描述</w:t>
            </w:r>
            <w:r>
              <w:rPr>
                <w:rFonts w:eastAsia="Noto Sans CJK SC" w:ascii="Calibri" w:hAnsi="Calibri"/>
                <w:b/>
                <w:color w:val="2E74B5"/>
                <w:sz w:val="17"/>
              </w:rPr>
            </w:r>
          </w:p>
        </w:tc>
        <w:tc>
          <w:tcPr>
            <w:tcW w:type="dxa" w:w="2376"/>
            <w:shd w:fill="D9EAF7"/>
            <w:vAlign w:val="center"/>
          </w:tcPr>
          <w:p>
            <w:pPr>
              <w:spacing w:before="0" w:after="0" w:line="252" w:lineRule="auto"/>
              <w:jc w:val="center"/>
            </w:pPr>
            <w:r>
              <w:t>主要负责模块</w:t>
            </w:r>
            <w:r>
              <w:rPr>
                <w:rFonts w:eastAsia="Noto Sans CJK SC" w:ascii="Calibri" w:hAnsi="Calibri"/>
                <w:b/>
                <w:color w:val="2E74B5"/>
                <w:sz w:val="17"/>
              </w:rPr>
            </w:r>
          </w:p>
        </w:tc>
        <w:tc>
          <w:tcPr>
            <w:tcW w:type="dxa" w:w="2088"/>
            <w:shd w:fill="D9EAF7"/>
            <w:vAlign w:val="center"/>
          </w:tcPr>
          <w:p>
            <w:pPr>
              <w:spacing w:before="0" w:after="0" w:line="252" w:lineRule="auto"/>
              <w:jc w:val="center"/>
            </w:pPr>
            <w:r>
              <w:t>主要存储</w:t>
            </w:r>
            <w:r>
              <w:rPr>
                <w:rFonts w:eastAsia="Noto Sans CJK SC" w:ascii="Calibri" w:hAnsi="Calibri"/>
                <w:b/>
                <w:color w:val="2E74B5"/>
                <w:sz w:val="17"/>
              </w:rPr>
            </w:r>
          </w:p>
        </w:tc>
      </w:tr>
      <w:tr>
        <w:trPr>
          <w:cantSplit/>
        </w:trPr>
        <w:tc>
          <w:tcPr>
            <w:tcW w:type="dxa" w:w="1944"/>
            <w:vAlign w:val="center"/>
          </w:tcPr>
          <w:p>
            <w:pPr>
              <w:spacing w:before="0" w:after="0" w:line="252" w:lineRule="auto"/>
              <w:jc w:val="left"/>
            </w:pPr>
            <w:r>
              <w:t>Task Cognitive Requirement</w:t>
            </w:r>
            <w:r>
              <w:rPr>
                <w:rFonts w:eastAsia="Noto Sans CJK SC" w:ascii="Calibri" w:hAnsi="Calibri"/>
                <w:b/>
                <w:color w:val="263746"/>
                <w:sz w:val="16"/>
              </w:rPr>
            </w:r>
          </w:p>
        </w:tc>
        <w:tc>
          <w:tcPr>
            <w:tcW w:type="dxa" w:w="2952"/>
            <w:vAlign w:val="center"/>
          </w:tcPr>
          <w:p>
            <w:pPr>
              <w:spacing w:before="0" w:after="0" w:line="252" w:lineRule="auto"/>
              <w:jc w:val="left"/>
            </w:pPr>
            <w:r>
              <w:t>知识点、语言技能、Bloom 要求、思维品质维度、IRT 难度参数、年级与可观测行为。</w:t>
            </w:r>
            <w:r>
              <w:rPr>
                <w:rFonts w:eastAsia="Noto Sans CJK SC" w:ascii="Calibri" w:hAnsi="Calibri"/>
                <w:b w:val="0"/>
                <w:color w:val="263746"/>
                <w:sz w:val="16"/>
              </w:rPr>
            </w:r>
          </w:p>
        </w:tc>
        <w:tc>
          <w:tcPr>
            <w:tcW w:type="dxa" w:w="2376"/>
            <w:vAlign w:val="center"/>
          </w:tcPr>
          <w:p>
            <w:pPr>
              <w:spacing w:before="0" w:after="0" w:line="252" w:lineRule="auto"/>
              <w:jc w:val="left"/>
            </w:pPr>
            <w:r>
              <w:t>LLM Annotation、Taxonomy Retrieval、Annotation QC、IRT Calibration</w:t>
            </w:r>
            <w:r>
              <w:rPr>
                <w:rFonts w:eastAsia="Noto Sans CJK SC" w:ascii="Calibri" w:hAnsi="Calibri"/>
                <w:b w:val="0"/>
                <w:color w:val="263746"/>
                <w:sz w:val="16"/>
              </w:rPr>
            </w:r>
          </w:p>
        </w:tc>
        <w:tc>
          <w:tcPr>
            <w:tcW w:type="dxa" w:w="2088"/>
            <w:vAlign w:val="center"/>
          </w:tcPr>
          <w:p>
            <w:pPr>
              <w:spacing w:before="0" w:after="0" w:line="252" w:lineRule="auto"/>
              <w:jc w:val="left"/>
            </w:pPr>
            <w:r>
              <w:t>Task Repository、Annotation Store、IRT Item Bank</w:t>
            </w:r>
            <w:r>
              <w:rPr>
                <w:rFonts w:eastAsia="Noto Sans CJK SC" w:ascii="Calibri" w:hAnsi="Calibri"/>
                <w:b w:val="0"/>
                <w:color w:val="263746"/>
                <w:sz w:val="16"/>
              </w:rPr>
            </w:r>
          </w:p>
        </w:tc>
      </w:tr>
      <w:tr>
        <w:trPr>
          <w:cantSplit/>
        </w:trPr>
        <w:tc>
          <w:tcPr>
            <w:tcW w:type="dxa" w:w="1944"/>
            <w:vAlign w:val="center"/>
          </w:tcPr>
          <w:p>
            <w:pPr>
              <w:spacing w:before="0" w:after="0" w:line="252" w:lineRule="auto"/>
              <w:jc w:val="left"/>
            </w:pPr>
            <w:r>
              <w:t>Student Cognitive Mastery</w:t>
            </w:r>
            <w:r>
              <w:rPr>
                <w:rFonts w:eastAsia="Noto Sans CJK SC" w:ascii="Calibri" w:hAnsi="Calibri"/>
                <w:b/>
                <w:color w:val="263746"/>
                <w:sz w:val="16"/>
              </w:rPr>
            </w:r>
          </w:p>
        </w:tc>
        <w:tc>
          <w:tcPr>
            <w:tcW w:type="dxa" w:w="2952"/>
            <w:vAlign w:val="center"/>
          </w:tcPr>
          <w:p>
            <w:pPr>
              <w:spacing w:before="0" w:after="0" w:line="252" w:lineRule="auto"/>
              <w:jc w:val="left"/>
            </w:pPr>
            <w:r>
              <w:t>BKT 知识掌握概率、IRT 能力区间、已确认 Bloom 深度、思维品质画像、技能与行为状态。</w:t>
            </w:r>
            <w:r>
              <w:rPr>
                <w:rFonts w:eastAsia="Noto Sans CJK SC" w:ascii="Calibri" w:hAnsi="Calibri"/>
                <w:b w:val="0"/>
                <w:color w:val="263746"/>
                <w:sz w:val="16"/>
              </w:rPr>
            </w:r>
          </w:p>
        </w:tc>
        <w:tc>
          <w:tcPr>
            <w:tcW w:type="dxa" w:w="2376"/>
            <w:vAlign w:val="center"/>
          </w:tcPr>
          <w:p>
            <w:pPr>
              <w:spacing w:before="0" w:after="0" w:line="252" w:lineRule="auto"/>
              <w:jc w:val="left"/>
            </w:pPr>
            <w:r>
              <w:t>BKT Service、IRT Service、认知诊断 Agent、思维品质诊断 Agent</w:t>
            </w:r>
            <w:r>
              <w:rPr>
                <w:rFonts w:eastAsia="Noto Sans CJK SC" w:ascii="Calibri" w:hAnsi="Calibri"/>
                <w:b w:val="0"/>
                <w:color w:val="263746"/>
                <w:sz w:val="16"/>
              </w:rPr>
            </w:r>
          </w:p>
        </w:tc>
        <w:tc>
          <w:tcPr>
            <w:tcW w:type="dxa" w:w="2088"/>
            <w:vAlign w:val="center"/>
          </w:tcPr>
          <w:p>
            <w:pPr>
              <w:spacing w:before="0" w:after="0" w:line="252" w:lineRule="auto"/>
              <w:jc w:val="left"/>
            </w:pPr>
            <w:r>
              <w:t>Learner Profile、BKT/IRT Model State、Learning Evidence</w:t>
            </w:r>
            <w:r>
              <w:rPr>
                <w:rFonts w:eastAsia="Noto Sans CJK SC" w:ascii="Calibri" w:hAnsi="Calibri"/>
                <w:b w:val="0"/>
                <w:color w:val="263746"/>
                <w:sz w:val="16"/>
              </w:rPr>
            </w:r>
          </w:p>
        </w:tc>
      </w:tr>
    </w:tbl>
    <w:p>
      <w:pPr/>
      <w:r>
        <w:rPr>
          <w:rFonts w:eastAsia="Noto Sans CJK SC" w:ascii="Calibri" w:hAnsi="Calibri"/>
          <w:b/>
          <w:color w:val="2E74B5"/>
        </w:rPr>
        <w:t>内容自动标注流水线如下：</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blHeader w:val="true"/>
        </w:trPr>
        <w:tc>
          <w:tcPr>
            <w:tcW w:type="dxa" w:w="1728"/>
            <w:shd w:fill="D9EAF7"/>
            <w:vAlign w:val="center"/>
          </w:tcPr>
          <w:p>
            <w:pPr>
              <w:spacing w:before="0" w:after="0" w:line="252" w:lineRule="auto"/>
              <w:jc w:val="center"/>
            </w:pPr>
            <w:r/>
            <w:r>
              <w:rPr>
                <w:rFonts w:eastAsia="Noto Sans CJK SC" w:ascii="Calibri" w:hAnsi="Calibri"/>
                <w:b/>
                <w:color w:val="2E74B5"/>
                <w:sz w:val="17"/>
              </w:rPr>
              <w:t>阶段</w:t>
            </w:r>
          </w:p>
        </w:tc>
        <w:tc>
          <w:tcPr>
            <w:tcW w:type="dxa" w:w="3816"/>
            <w:shd w:fill="D9EAF7"/>
            <w:vAlign w:val="center"/>
          </w:tcPr>
          <w:p>
            <w:pPr>
              <w:spacing w:before="0" w:after="0" w:line="252" w:lineRule="auto"/>
              <w:jc w:val="center"/>
            </w:pPr>
            <w:r/>
            <w:r>
              <w:rPr>
                <w:rFonts w:eastAsia="Noto Sans CJK SC" w:ascii="Calibri" w:hAnsi="Calibri"/>
                <w:b/>
                <w:color w:val="2E74B5"/>
                <w:sz w:val="17"/>
              </w:rPr>
              <w:t>处理方法</w:t>
            </w:r>
          </w:p>
        </w:tc>
        <w:tc>
          <w:tcPr>
            <w:tcW w:type="dxa" w:w="3816"/>
            <w:shd w:fill="D9EAF7"/>
            <w:vAlign w:val="center"/>
          </w:tcPr>
          <w:p>
            <w:pPr>
              <w:spacing w:before="0" w:after="0" w:line="252" w:lineRule="auto"/>
              <w:jc w:val="center"/>
            </w:pPr>
            <w:r/>
            <w:r>
              <w:rPr>
                <w:rFonts w:eastAsia="Noto Sans CJK SC" w:ascii="Calibri" w:hAnsi="Calibri"/>
                <w:b/>
                <w:color w:val="2E74B5"/>
                <w:sz w:val="17"/>
              </w:rPr>
              <w:t>输出与质量控制</w:t>
            </w:r>
          </w:p>
        </w:tc>
      </w:tr>
      <w:tr>
        <w:trPr>
          <w:cantSplit/>
        </w:trPr>
        <w:tc>
          <w:tcPr>
            <w:tcW w:type="dxa" w:w="1728"/>
            <w:vAlign w:val="center"/>
            <w:shd w:fill="FFFFFF"/>
          </w:tcPr>
          <w:p>
            <w:pPr>
              <w:spacing w:after="0" w:line="240" w:lineRule="auto"/>
              <w:jc w:val="left"/>
            </w:pPr>
            <w:r/>
            <w:r>
              <w:rPr>
                <w:rFonts w:ascii="Arial" w:hAnsi="Arial" w:eastAsia="Noto Sans CJK SC"/>
                <w:b w:val="0"/>
                <w:i w:val="0"/>
                <w:color w:val="25313C"/>
                <w:sz w:val="16"/>
              </w:rPr>
              <w:t>1. 内容解析与标准化</w:t>
            </w:r>
          </w:p>
        </w:tc>
        <w:tc>
          <w:tcPr>
            <w:tcW w:type="dxa" w:w="3816"/>
            <w:vAlign w:val="center"/>
            <w:shd w:fill="FFFFFF"/>
          </w:tcPr>
          <w:p>
            <w:pPr>
              <w:spacing w:after="0" w:line="240" w:lineRule="auto"/>
              <w:jc w:val="left"/>
            </w:pPr>
            <w:r/>
            <w:r>
              <w:rPr>
                <w:rFonts w:ascii="Arial" w:hAnsi="Arial" w:eastAsia="Noto Sans CJK SC"/>
                <w:b w:val="0"/>
                <w:i w:val="0"/>
                <w:color w:val="25313C"/>
                <w:sz w:val="16"/>
              </w:rPr>
              <w:t>解析题干、选项、答案、解析、阅读材料、音频转写、写作要求、量规、年级、单元、来源和版权信息。</w:t>
            </w:r>
          </w:p>
        </w:tc>
        <w:tc>
          <w:tcPr>
            <w:tcW w:type="dxa" w:w="3816"/>
            <w:vAlign w:val="center"/>
            <w:shd w:fill="FFFFFF"/>
          </w:tcPr>
          <w:p>
            <w:pPr>
              <w:spacing w:after="0" w:line="240" w:lineRule="auto"/>
              <w:jc w:val="left"/>
            </w:pPr>
            <w:r/>
            <w:r>
              <w:rPr>
                <w:rFonts w:ascii="Arial" w:hAnsi="Arial" w:eastAsia="Noto Sans CJK SC"/>
                <w:b w:val="0"/>
                <w:i w:val="0"/>
                <w:color w:val="25313C"/>
                <w:sz w:val="16"/>
              </w:rPr>
              <w:t>形成统一 Content Object，保留内容版本与来源，避免只凭题干作出失真判断。</w:t>
            </w:r>
          </w:p>
        </w:tc>
      </w:tr>
      <w:tr>
        <w:trPr>
          <w:cantSplit/>
        </w:trPr>
        <w:tc>
          <w:tcPr>
            <w:tcW w:type="dxa" w:w="1728"/>
            <w:vAlign w:val="center"/>
            <w:shd w:fill="F8FAFC"/>
          </w:tcPr>
          <w:p>
            <w:pPr>
              <w:spacing w:after="0" w:line="240" w:lineRule="auto"/>
              <w:jc w:val="left"/>
            </w:pPr>
            <w:r/>
            <w:r>
              <w:rPr>
                <w:rFonts w:ascii="Arial" w:hAnsi="Arial" w:eastAsia="Noto Sans CJK SC"/>
                <w:b w:val="0"/>
                <w:i w:val="0"/>
                <w:color w:val="25313C"/>
                <w:sz w:val="16"/>
              </w:rPr>
              <w:t>2. 结构、编辑与语言 Lint</w:t>
            </w:r>
          </w:p>
        </w:tc>
        <w:tc>
          <w:tcPr>
            <w:tcW w:type="dxa" w:w="3816"/>
            <w:vAlign w:val="center"/>
            <w:shd w:fill="F8FAFC"/>
          </w:tcPr>
          <w:p>
            <w:pPr>
              <w:spacing w:after="0" w:line="240" w:lineRule="auto"/>
              <w:jc w:val="left"/>
            </w:pPr>
            <w:r/>
            <w:r>
              <w:rPr>
                <w:rFonts w:ascii="Arial" w:hAnsi="Arial" w:eastAsia="Noto Sans CJK SC"/>
                <w:b w:val="0"/>
                <w:i w:val="0"/>
                <w:color w:val="25313C"/>
                <w:sz w:val="16"/>
              </w:rPr>
              <w:t>检查必填字段、ID、标题层级、体例、标点、数字单位、中英文格式、拼写、语法、指令清晰度和答案解析一致性。</w:t>
            </w:r>
          </w:p>
        </w:tc>
        <w:tc>
          <w:tcPr>
            <w:tcW w:type="dxa" w:w="3816"/>
            <w:vAlign w:val="center"/>
            <w:shd w:fill="F8FAFC"/>
          </w:tcPr>
          <w:p>
            <w:pPr>
              <w:spacing w:after="0" w:line="240" w:lineRule="auto"/>
              <w:jc w:val="left"/>
            </w:pPr>
            <w:r/>
            <w:r>
              <w:rPr>
                <w:rFonts w:ascii="Arial" w:hAnsi="Arial" w:eastAsia="Noto Sans CJK SC"/>
                <w:b w:val="0"/>
                <w:i w:val="0"/>
                <w:color w:val="25313C"/>
                <w:sz w:val="16"/>
              </w:rPr>
              <w:t>可自动修复的问题记录前后差异；REVIEW/BLOCK 问题进入质量工作台。</w:t>
            </w:r>
          </w:p>
        </w:tc>
      </w:tr>
      <w:tr>
        <w:trPr>
          <w:cantSplit/>
        </w:trPr>
        <w:tc>
          <w:tcPr>
            <w:tcW w:type="dxa" w:w="1728"/>
            <w:vAlign w:val="center"/>
            <w:shd w:fill="FFFFFF"/>
          </w:tcPr>
          <w:p>
            <w:pPr>
              <w:spacing w:after="0" w:line="240" w:lineRule="auto"/>
              <w:jc w:val="left"/>
            </w:pPr>
            <w:r/>
            <w:r>
              <w:rPr>
                <w:rFonts w:ascii="Arial" w:hAnsi="Arial" w:eastAsia="Noto Sans CJK SC"/>
                <w:b w:val="0"/>
                <w:i w:val="0"/>
                <w:color w:val="25313C"/>
                <w:sz w:val="16"/>
              </w:rPr>
              <w:t>3. 标签候选检索</w:t>
            </w:r>
          </w:p>
        </w:tc>
        <w:tc>
          <w:tcPr>
            <w:tcW w:type="dxa" w:w="3816"/>
            <w:vAlign w:val="center"/>
            <w:shd w:fill="FFFFFF"/>
          </w:tcPr>
          <w:p>
            <w:pPr>
              <w:spacing w:after="0" w:line="240" w:lineRule="auto"/>
              <w:jc w:val="left"/>
            </w:pPr>
            <w:r/>
            <w:r>
              <w:rPr>
                <w:rFonts w:ascii="Arial" w:hAnsi="Arial" w:eastAsia="Noto Sans CJK SC"/>
                <w:b w:val="0"/>
                <w:i w:val="0"/>
                <w:color w:val="25313C"/>
                <w:sz w:val="16"/>
              </w:rPr>
              <w:t>从 Knowledge Graph / Taxonomy 中检索候选知识点、技能和受控标签。</w:t>
            </w:r>
          </w:p>
        </w:tc>
        <w:tc>
          <w:tcPr>
            <w:tcW w:type="dxa" w:w="3816"/>
            <w:vAlign w:val="center"/>
            <w:shd w:fill="FFFFFF"/>
          </w:tcPr>
          <w:p>
            <w:pPr>
              <w:spacing w:after="0" w:line="240" w:lineRule="auto"/>
              <w:jc w:val="left"/>
            </w:pPr>
            <w:r/>
            <w:r>
              <w:rPr>
                <w:rFonts w:ascii="Arial" w:hAnsi="Arial" w:eastAsia="Noto Sans CJK SC"/>
                <w:b w:val="0"/>
                <w:i w:val="0"/>
                <w:color w:val="25313C"/>
                <w:sz w:val="16"/>
              </w:rPr>
              <w:t>限制 LLM 优先选择已有标签；允许 NO_MATCH / NEED_NEW_LABEL_REVIEW。</w:t>
            </w:r>
          </w:p>
        </w:tc>
      </w:tr>
      <w:tr>
        <w:trPr>
          <w:cantSplit/>
        </w:trPr>
        <w:tc>
          <w:tcPr>
            <w:tcW w:type="dxa" w:w="1728"/>
            <w:vAlign w:val="center"/>
            <w:shd w:fill="F8FAFC"/>
          </w:tcPr>
          <w:p>
            <w:pPr>
              <w:spacing w:after="0" w:line="240" w:lineRule="auto"/>
              <w:jc w:val="left"/>
            </w:pPr>
            <w:r/>
            <w:r>
              <w:rPr>
                <w:rFonts w:ascii="Arial" w:hAnsi="Arial" w:eastAsia="Noto Sans CJK SC"/>
                <w:b w:val="0"/>
                <w:i w:val="0"/>
                <w:color w:val="25313C"/>
                <w:sz w:val="16"/>
              </w:rPr>
              <w:t>4. LLM 分阶段标注</w:t>
            </w:r>
          </w:p>
        </w:tc>
        <w:tc>
          <w:tcPr>
            <w:tcW w:type="dxa" w:w="3816"/>
            <w:vAlign w:val="center"/>
            <w:shd w:fill="F8FAFC"/>
          </w:tcPr>
          <w:p>
            <w:pPr>
              <w:spacing w:after="0" w:line="240" w:lineRule="auto"/>
              <w:jc w:val="left"/>
            </w:pPr>
            <w:r/>
            <w:r>
              <w:rPr>
                <w:rFonts w:ascii="Arial" w:hAnsi="Arial" w:eastAsia="Noto Sans CJK SC"/>
                <w:b w:val="0"/>
                <w:i w:val="0"/>
                <w:color w:val="25313C"/>
                <w:sz w:val="16"/>
              </w:rPr>
              <w:t>先标注知识点与技能，再标注 Bloom 要求、思维品质维度和可观测行为。</w:t>
            </w:r>
          </w:p>
        </w:tc>
        <w:tc>
          <w:tcPr>
            <w:tcW w:type="dxa" w:w="3816"/>
            <w:vAlign w:val="center"/>
            <w:shd w:fill="F8FAFC"/>
          </w:tcPr>
          <w:p>
            <w:pPr>
              <w:spacing w:after="0" w:line="240" w:lineRule="auto"/>
              <w:jc w:val="left"/>
            </w:pPr>
            <w:r/>
            <w:r>
              <w:rPr>
                <w:rFonts w:ascii="Arial" w:hAnsi="Arial" w:eastAsia="Noto Sans CJK SC"/>
                <w:b w:val="0"/>
                <w:i w:val="0"/>
                <w:color w:val="25313C"/>
                <w:sz w:val="16"/>
              </w:rPr>
              <w:t>每个标签输出 evidence、confidence、annotation_model 和 taxonomy_version。</w:t>
            </w:r>
          </w:p>
        </w:tc>
      </w:tr>
      <w:tr>
        <w:trPr>
          <w:cantSplit/>
        </w:trPr>
        <w:tc>
          <w:tcPr>
            <w:tcW w:type="dxa" w:w="1728"/>
            <w:vAlign w:val="center"/>
            <w:shd w:fill="FFFFFF"/>
          </w:tcPr>
          <w:p>
            <w:pPr>
              <w:spacing w:after="0" w:line="240" w:lineRule="auto"/>
              <w:jc w:val="left"/>
            </w:pPr>
            <w:r/>
            <w:r>
              <w:rPr>
                <w:rFonts w:ascii="Arial" w:hAnsi="Arial" w:eastAsia="Noto Sans CJK SC"/>
                <w:b w:val="0"/>
                <w:i w:val="0"/>
                <w:color w:val="25313C"/>
                <w:sz w:val="16"/>
              </w:rPr>
              <w:t>5. Annotation / Pedagogical / Values Lint</w:t>
            </w:r>
          </w:p>
        </w:tc>
        <w:tc>
          <w:tcPr>
            <w:tcW w:type="dxa" w:w="3816"/>
            <w:vAlign w:val="center"/>
            <w:shd w:fill="FFFFFF"/>
          </w:tcPr>
          <w:p>
            <w:pPr>
              <w:spacing w:after="0" w:line="240" w:lineRule="auto"/>
              <w:jc w:val="left"/>
            </w:pPr>
            <w:r/>
            <w:r>
              <w:rPr>
                <w:rFonts w:ascii="Arial" w:hAnsi="Arial" w:eastAsia="Noto Sans CJK SC"/>
                <w:b w:val="0"/>
                <w:i w:val="0"/>
                <w:color w:val="25313C"/>
                <w:sz w:val="16"/>
              </w:rPr>
              <w:t>检查知识点—技能—题型—Bloom—思维品质一致性、年级适切、教学有效性、答案线索、价值导向、偏见、隐私与未成年人安全。</w:t>
            </w:r>
          </w:p>
        </w:tc>
        <w:tc>
          <w:tcPr>
            <w:tcW w:type="dxa" w:w="3816"/>
            <w:vAlign w:val="center"/>
            <w:shd w:fill="FFFFFF"/>
          </w:tcPr>
          <w:p>
            <w:pPr>
              <w:spacing w:after="0" w:line="240" w:lineRule="auto"/>
              <w:jc w:val="left"/>
            </w:pPr>
            <w:r/>
            <w:r>
              <w:rPr>
                <w:rFonts w:ascii="Arial" w:hAnsi="Arial" w:eastAsia="Noto Sans CJK SC"/>
                <w:b w:val="0"/>
                <w:i w:val="0"/>
                <w:color w:val="25313C"/>
                <w:sz w:val="16"/>
              </w:rPr>
              <w:t>异常样本退回重标、进入 ReviewCase 或直接阻断；模型不得自动创建正式新节点。</w:t>
            </w:r>
          </w:p>
        </w:tc>
      </w:tr>
      <w:tr>
        <w:trPr>
          <w:cantSplit/>
        </w:trPr>
        <w:tc>
          <w:tcPr>
            <w:tcW w:type="dxa" w:w="1728"/>
            <w:vAlign w:val="center"/>
            <w:shd w:fill="F8FAFC"/>
          </w:tcPr>
          <w:p>
            <w:pPr>
              <w:spacing w:after="0" w:line="240" w:lineRule="auto"/>
              <w:jc w:val="left"/>
            </w:pPr>
            <w:r/>
            <w:r>
              <w:rPr>
                <w:rFonts w:ascii="Arial" w:hAnsi="Arial" w:eastAsia="Noto Sans CJK SC"/>
                <w:b w:val="0"/>
                <w:i w:val="0"/>
                <w:color w:val="25313C"/>
                <w:sz w:val="16"/>
              </w:rPr>
              <w:t>6. 置信度分流与专家复核</w:t>
            </w:r>
          </w:p>
        </w:tc>
        <w:tc>
          <w:tcPr>
            <w:tcW w:type="dxa" w:w="3816"/>
            <w:vAlign w:val="center"/>
            <w:shd w:fill="F8FAFC"/>
          </w:tcPr>
          <w:p>
            <w:pPr>
              <w:spacing w:after="0" w:line="240" w:lineRule="auto"/>
              <w:jc w:val="left"/>
            </w:pPr>
            <w:r/>
            <w:r>
              <w:rPr>
                <w:rFonts w:ascii="Arial" w:hAnsi="Arial" w:eastAsia="Noto Sans CJK SC"/>
                <w:b w:val="0"/>
                <w:i w:val="0"/>
                <w:color w:val="25313C"/>
                <w:sz w:val="16"/>
              </w:rPr>
              <w:t>高置信自动接受并持续抽检；中置信分层抽样；低置信、冲突、价值风险或新标签样本由专家复核。</w:t>
            </w:r>
          </w:p>
        </w:tc>
        <w:tc>
          <w:tcPr>
            <w:tcW w:type="dxa" w:w="3816"/>
            <w:vAlign w:val="center"/>
            <w:shd w:fill="F8FAFC"/>
          </w:tcPr>
          <w:p>
            <w:pPr>
              <w:spacing w:after="0" w:line="240" w:lineRule="auto"/>
              <w:jc w:val="left"/>
            </w:pPr>
            <w:r/>
            <w:r>
              <w:rPr>
                <w:rFonts w:ascii="Arial" w:hAnsi="Arial" w:eastAsia="Noto Sans CJK SC"/>
                <w:b w:val="0"/>
                <w:i w:val="0"/>
                <w:color w:val="25313C"/>
                <w:sz w:val="16"/>
              </w:rPr>
              <w:t>记录 auto_accepted、sample_review、expert_review、blocked 等审核状态。</w:t>
            </w:r>
          </w:p>
        </w:tc>
      </w:tr>
      <w:tr>
        <w:tc>
          <w:tcPr>
            <w:tcW w:type="dxa" w:w="3120"/>
            <w:vAlign w:val="center"/>
            <w:shd w:fill="FFFFFF"/>
          </w:tcPr>
          <w:p>
            <w:pPr>
              <w:spacing w:after="0" w:line="240" w:lineRule="auto"/>
              <w:jc w:val="left"/>
            </w:pPr>
            <w:r/>
            <w:r>
              <w:rPr>
                <w:rFonts w:ascii="Arial" w:hAnsi="Arial" w:eastAsia="Noto Sans CJK SC"/>
                <w:b w:val="0"/>
                <w:i w:val="0"/>
                <w:color w:val="25313C"/>
                <w:sz w:val="16"/>
              </w:rPr>
              <w:t>7. 入库、组装与发布门禁</w:t>
            </w:r>
          </w:p>
        </w:tc>
        <w:tc>
          <w:tcPr>
            <w:tcW w:type="dxa" w:w="3120"/>
            <w:vAlign w:val="center"/>
            <w:shd w:fill="FFFFFF"/>
          </w:tcPr>
          <w:p>
            <w:pPr>
              <w:spacing w:after="0" w:line="240" w:lineRule="auto"/>
              <w:jc w:val="left"/>
            </w:pPr>
            <w:r/>
            <w:r>
              <w:rPr>
                <w:rFonts w:ascii="Arial" w:hAnsi="Arial" w:eastAsia="Noto Sans CJK SC"/>
                <w:b w:val="0"/>
                <w:i w:val="0"/>
                <w:color w:val="25313C"/>
                <w:sz w:val="16"/>
              </w:rPr>
              <w:t>写入 Annotation Store / Task Repository，建立语义索引；组装课程包时执行 Assembly Lint。</w:t>
            </w:r>
          </w:p>
        </w:tc>
        <w:tc>
          <w:tcPr>
            <w:tcW w:type="dxa" w:w="3120"/>
            <w:vAlign w:val="center"/>
            <w:shd w:fill="FFFFFF"/>
          </w:tcPr>
          <w:p>
            <w:pPr>
              <w:spacing w:after="0" w:line="240" w:lineRule="auto"/>
              <w:jc w:val="left"/>
            </w:pPr>
            <w:r/>
            <w:r>
              <w:rPr>
                <w:rFonts w:ascii="Arial" w:hAnsi="Arial" w:eastAsia="Noto Sans CJK SC"/>
                <w:b w:val="0"/>
                <w:i w:val="0"/>
                <w:color w:val="25313C"/>
                <w:sz w:val="16"/>
              </w:rPr>
              <w:t>只有通过内容、标注、教学、价值观和组装门禁的版本才能发布；所有纠错进入 Audit Log。</w:t>
            </w:r>
          </w:p>
        </w:tc>
      </w:tr>
    </w:tbl>
    <w:p>
      <w:pPr/>
      <w:r>
        <w:rPr>
          <w:rFonts w:ascii="Arial" w:hAnsi="Arial" w:eastAsia="Noto Sans CJK SC"/>
          <w:b w:val="0"/>
        </w:rPr>
        <w:t>推荐与 Verifier 只使用已通过内容、标注、教学、价值观和发布质量门槛的任务。对于标注置信度不足、Lint 状态为 REVIEW/BLOCK、审核状态不明确或资源版本失效的任务，系统应降低排序权重、要求教师确认，或直接从候选集合中移除。</w:t>
      </w:r>
    </w:p>
    <w:p>
      <w:pPr>
        <w:pStyle w:val="Heading2"/>
        <w:keepNext/>
      </w:pPr>
      <w:r>
        <w:rPr>
          <w:rFonts w:ascii="Arial" w:hAnsi="Arial" w:eastAsia="Noto Sans CJK SC"/>
        </w:rPr>
        <w:t>7.6 Research &amp; Evidence Review Agent</w:t>
      </w:r>
    </w:p>
    <w:p>
      <w:pPr>
        <w:spacing w:after="80" w:line="269" w:lineRule="auto"/>
      </w:pPr>
      <w:r>
        <w:rPr>
          <w:rFonts w:ascii="Arial" w:hAnsi="Arial" w:eastAsia="Noto Sans CJK SC"/>
          <w:b w:val="0"/>
          <w:i w:val="0"/>
          <w:color w:val="25313C"/>
          <w:sz w:val="20"/>
        </w:rPr>
        <w:t>Research &amp; Evidence Review Agent 是面向教研和技术治理的离线审查 Agent，不进入学生实时学习主链。它负责把项目方案、算法选择、量规设计和评估指标拆解成可验证研究主张，检索并分级权威来源，判断证据强度、适用条件、冲突、空白与过度外推风险，形成可审计的证据矩阵。</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20"/>
            <w:shd w:fill="2F6B9A"/>
            <w:vAlign w:val="center"/>
          </w:tcPr>
          <w:p>
            <w:pPr>
              <w:spacing w:after="0" w:line="240" w:lineRule="auto"/>
              <w:jc w:val="center"/>
            </w:pPr>
            <w:r/>
            <w:r>
              <w:rPr>
                <w:rFonts w:ascii="Arial" w:hAnsi="Arial" w:eastAsia="Noto Sans CJK SC"/>
                <w:b/>
                <w:i w:val="0"/>
                <w:color w:val="FFFFFF"/>
                <w:sz w:val="17"/>
              </w:rPr>
              <w:t>能力</w:t>
            </w:r>
          </w:p>
        </w:tc>
        <w:tc>
          <w:tcPr>
            <w:tcW w:type="dxa" w:w="3120"/>
            <w:shd w:fill="2F6B9A"/>
            <w:vAlign w:val="center"/>
          </w:tcPr>
          <w:p>
            <w:pPr>
              <w:spacing w:after="0" w:line="240" w:lineRule="auto"/>
              <w:jc w:val="center"/>
            </w:pPr>
            <w:r/>
            <w:r>
              <w:rPr>
                <w:rFonts w:ascii="Arial" w:hAnsi="Arial" w:eastAsia="Noto Sans CJK SC"/>
                <w:b/>
                <w:i w:val="0"/>
                <w:color w:val="FFFFFF"/>
                <w:sz w:val="17"/>
              </w:rPr>
              <w:t>处理内容</w:t>
            </w:r>
          </w:p>
        </w:tc>
        <w:tc>
          <w:tcPr>
            <w:tcW w:type="dxa" w:w="3120"/>
            <w:shd w:fill="2F6B9A"/>
            <w:vAlign w:val="center"/>
          </w:tcPr>
          <w:p>
            <w:pPr>
              <w:spacing w:after="0" w:line="240" w:lineRule="auto"/>
              <w:jc w:val="center"/>
            </w:pPr>
            <w:r/>
            <w:r>
              <w:rPr>
                <w:rFonts w:ascii="Arial" w:hAnsi="Arial" w:eastAsia="Noto Sans CJK SC"/>
                <w:b/>
                <w:i w:val="0"/>
                <w:color w:val="FFFFFF"/>
                <w:sz w:val="17"/>
              </w:rPr>
              <w:t>输出</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主张提取</w:t>
            </w:r>
          </w:p>
        </w:tc>
        <w:tc>
          <w:tcPr>
            <w:tcW w:type="dxa" w:w="3120"/>
            <w:vAlign w:val="center"/>
          </w:tcPr>
          <w:p>
            <w:pPr>
              <w:spacing w:after="0" w:line="240" w:lineRule="auto"/>
              <w:jc w:val="left"/>
            </w:pPr>
            <w:r/>
            <w:r>
              <w:rPr>
                <w:rFonts w:ascii="Arial" w:hAnsi="Arial" w:eastAsia="Noto Sans CJK SC"/>
                <w:b w:val="0"/>
                <w:i w:val="0"/>
                <w:color w:val="25313C"/>
                <w:sz w:val="16"/>
              </w:rPr>
              <w:t>从架构、算法、量规或评估方案中提取可验证 Claim，并明确学段、学科、数据规模、使用条件和预期效果。</w:t>
            </w:r>
          </w:p>
        </w:tc>
        <w:tc>
          <w:tcPr>
            <w:tcW w:type="dxa" w:w="3120"/>
            <w:vAlign w:val="center"/>
          </w:tcPr>
          <w:p>
            <w:pPr>
              <w:spacing w:after="0" w:line="240" w:lineRule="auto"/>
              <w:jc w:val="left"/>
            </w:pPr>
            <w:r/>
            <w:r>
              <w:rPr>
                <w:rFonts w:ascii="Arial" w:hAnsi="Arial" w:eastAsia="Noto Sans CJK SC"/>
                <w:b w:val="0"/>
                <w:i w:val="0"/>
                <w:color w:val="25313C"/>
                <w:sz w:val="16"/>
              </w:rPr>
              <w:t>ResearchClaim、检索问题和适用边界。</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权威来源检索</w:t>
            </w:r>
          </w:p>
        </w:tc>
        <w:tc>
          <w:tcPr>
            <w:tcW w:type="dxa" w:w="3120"/>
            <w:vAlign w:val="center"/>
            <w:shd w:fill="F8FAFC"/>
          </w:tcPr>
          <w:p>
            <w:pPr>
              <w:spacing w:after="0" w:line="240" w:lineRule="auto"/>
              <w:jc w:val="left"/>
            </w:pPr>
            <w:r/>
            <w:r>
              <w:rPr>
                <w:rFonts w:ascii="Arial" w:hAnsi="Arial" w:eastAsia="Noto Sans CJK SC"/>
                <w:b w:val="0"/>
                <w:i w:val="0"/>
                <w:color w:val="25313C"/>
                <w:sz w:val="16"/>
              </w:rPr>
              <w:t>优先课程标准与主管部门文件，其次系统综述/Meta-analysis、同行评审原始论文、经典专著和官方技术文档。</w:t>
            </w:r>
          </w:p>
        </w:tc>
        <w:tc>
          <w:tcPr>
            <w:tcW w:type="dxa" w:w="3120"/>
            <w:vAlign w:val="center"/>
            <w:shd w:fill="F8FAFC"/>
          </w:tcPr>
          <w:p>
            <w:pPr>
              <w:spacing w:after="0" w:line="240" w:lineRule="auto"/>
              <w:jc w:val="left"/>
            </w:pPr>
            <w:r/>
            <w:r>
              <w:rPr>
                <w:rFonts w:ascii="Arial" w:hAnsi="Arial" w:eastAsia="Noto Sans CJK SC"/>
                <w:b w:val="0"/>
                <w:i w:val="0"/>
                <w:color w:val="25313C"/>
                <w:sz w:val="16"/>
              </w:rPr>
              <w:t>去重后的 EvidenceSource 集合与引用元数据。</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质量与适用性评估</w:t>
            </w:r>
          </w:p>
        </w:tc>
        <w:tc>
          <w:tcPr>
            <w:tcW w:type="dxa" w:w="3120"/>
            <w:vAlign w:val="center"/>
          </w:tcPr>
          <w:p>
            <w:pPr>
              <w:spacing w:after="0" w:line="240" w:lineRule="auto"/>
              <w:jc w:val="left"/>
            </w:pPr>
            <w:r/>
            <w:r>
              <w:rPr>
                <w:rFonts w:ascii="Arial" w:hAnsi="Arial" w:eastAsia="Noto Sans CJK SC"/>
                <w:b w:val="0"/>
                <w:i w:val="0"/>
                <w:color w:val="25313C"/>
                <w:sz w:val="16"/>
              </w:rPr>
              <w:t>检查研究设计、样本量、学段学科、复现、偏差、研究局限和对中国初中英语场景的可迁移性。</w:t>
            </w:r>
          </w:p>
        </w:tc>
        <w:tc>
          <w:tcPr>
            <w:tcW w:type="dxa" w:w="3120"/>
            <w:vAlign w:val="center"/>
          </w:tcPr>
          <w:p>
            <w:pPr>
              <w:spacing w:after="0" w:line="240" w:lineRule="auto"/>
              <w:jc w:val="left"/>
            </w:pPr>
            <w:r/>
            <w:r>
              <w:rPr>
                <w:rFonts w:ascii="Arial" w:hAnsi="Arial" w:eastAsia="Noto Sans CJK SC"/>
                <w:b w:val="0"/>
                <w:i w:val="0"/>
                <w:color w:val="25313C"/>
                <w:sz w:val="16"/>
              </w:rPr>
              <w:t>来源质量等级、适用条件和局限。</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Claim–Evidence Matrix</w:t>
            </w:r>
          </w:p>
        </w:tc>
        <w:tc>
          <w:tcPr>
            <w:tcW w:type="dxa" w:w="3120"/>
            <w:vAlign w:val="center"/>
            <w:shd w:fill="F8FAFC"/>
          </w:tcPr>
          <w:p>
            <w:pPr>
              <w:spacing w:after="0" w:line="240" w:lineRule="auto"/>
              <w:jc w:val="left"/>
            </w:pPr>
            <w:r/>
            <w:r>
              <w:rPr>
                <w:rFonts w:ascii="Arial" w:hAnsi="Arial" w:eastAsia="Noto Sans CJK SC"/>
                <w:b w:val="0"/>
                <w:i w:val="0"/>
                <w:color w:val="25313C"/>
                <w:sz w:val="16"/>
              </w:rPr>
              <w:t>把主张与来源逐项映射，标识支持、冲突、证据空白和过度外推。</w:t>
            </w:r>
          </w:p>
        </w:tc>
        <w:tc>
          <w:tcPr>
            <w:tcW w:type="dxa" w:w="3120"/>
            <w:vAlign w:val="center"/>
            <w:shd w:fill="F8FAFC"/>
          </w:tcPr>
          <w:p>
            <w:pPr>
              <w:spacing w:after="0" w:line="240" w:lineRule="auto"/>
              <w:jc w:val="left"/>
            </w:pPr>
            <w:r/>
            <w:r>
              <w:rPr>
                <w:rFonts w:ascii="Arial" w:hAnsi="Arial" w:eastAsia="Noto Sans CJK SC"/>
                <w:b w:val="0"/>
                <w:i w:val="0"/>
                <w:color w:val="25313C"/>
                <w:sz w:val="16"/>
              </w:rPr>
              <w:t>Supported、Conditionally Supported、Experimental、Insufficient Evidence、Contradicted。</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治理输出</w:t>
            </w:r>
          </w:p>
        </w:tc>
        <w:tc>
          <w:tcPr>
            <w:tcW w:type="dxa" w:w="3120"/>
            <w:vAlign w:val="center"/>
          </w:tcPr>
          <w:p>
            <w:pPr>
              <w:spacing w:after="0" w:line="240" w:lineRule="auto"/>
              <w:jc w:val="left"/>
            </w:pPr>
            <w:r/>
            <w:r>
              <w:rPr>
                <w:rFonts w:ascii="Arial" w:hAnsi="Arial" w:eastAsia="Noto Sans CJK SC"/>
                <w:b w:val="0"/>
                <w:i w:val="0"/>
                <w:color w:val="25313C"/>
                <w:sz w:val="16"/>
              </w:rPr>
              <w:t>通过 Citation &amp; Evidence Lint 后提交教研专家/技术负责人审查。</w:t>
            </w:r>
          </w:p>
        </w:tc>
        <w:tc>
          <w:tcPr>
            <w:tcW w:type="dxa" w:w="3120"/>
            <w:vAlign w:val="center"/>
          </w:tcPr>
          <w:p>
            <w:pPr>
              <w:spacing w:after="0" w:line="240" w:lineRule="auto"/>
              <w:jc w:val="left"/>
            </w:pPr>
            <w:r/>
            <w:r>
              <w:rPr>
                <w:rFonts w:ascii="Arial" w:hAnsi="Arial" w:eastAsia="Noto Sans CJK SC"/>
                <w:b w:val="0"/>
                <w:i w:val="0"/>
                <w:color w:val="25313C"/>
                <w:sz w:val="16"/>
              </w:rPr>
              <w:t>批准、条件批准、要求本地实验或拒绝；写入 Evidence Registry 和 Decision Trace。</w:t>
            </w:r>
          </w:p>
        </w:tc>
      </w:tr>
    </w:tbl>
    <w:p>
      <w:pPr>
        <w:spacing w:after="80" w:line="269" w:lineRule="auto"/>
      </w:pPr>
      <w:r>
        <w:rPr>
          <w:rFonts w:ascii="Arial" w:hAnsi="Arial" w:eastAsia="Noto Sans CJK SC"/>
          <w:b w:val="0"/>
          <w:i w:val="0"/>
          <w:color w:val="25313C"/>
          <w:sz w:val="20"/>
        </w:rPr>
        <w:t>边界说明：Research Agent 不能直接宣布“某架构科学有效”，也不能把相关性研究写成因果结论。公立学校场景中的核心设计需要形成“研究证据审查 + 项目内实证评估 + 教研专家审核”的三重保证。</w:t>
      </w:r>
    </w:p>
    <w:p>
      <w:pPr>
        <w:pStyle w:val="Heading2"/>
        <w:keepNext/>
      </w:pPr>
      <w:r>
        <w:rPr>
          <w:rFonts w:ascii="Arial" w:hAnsi="Arial" w:eastAsia="Noto Sans CJK SC"/>
        </w:rPr>
        <w:t>7.7 Lint &amp; Quality Gate 体系</w:t>
      </w:r>
    </w:p>
    <w:p>
      <w:pPr>
        <w:spacing w:after="80" w:line="269" w:lineRule="auto"/>
      </w:pPr>
      <w:r>
        <w:rPr>
          <w:rFonts w:ascii="Arial" w:hAnsi="Arial" w:eastAsia="Noto Sans CJK SC"/>
          <w:b w:val="0"/>
          <w:i w:val="0"/>
          <w:color w:val="25313C"/>
          <w:sz w:val="20"/>
        </w:rPr>
        <w:t>Lint &amp; Quality Gate 是跨模块的确定性规则、语义模型和审核工作流，不是另一个自由决策 Agent。它负责拦截可规则化、可重复检查的问题，并把高风险或低置信问题分流给教师、教研人员或专家。Lint 与 QC、Verifier、Research Agent 的职责互补：Lint 处理规范与硬门禁，QC 判断内容一致性，Verifier 判断路径对具体学生是否合适，Research Agent 判断方案主张是否有研究依据。</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20"/>
            <w:shd w:fill="2F6B9A"/>
            <w:vAlign w:val="center"/>
          </w:tcPr>
          <w:p>
            <w:pPr>
              <w:spacing w:after="0" w:line="240" w:lineRule="auto"/>
              <w:jc w:val="center"/>
            </w:pPr>
            <w:r/>
            <w:r>
              <w:rPr>
                <w:rFonts w:ascii="Arial" w:hAnsi="Arial" w:eastAsia="Noto Sans CJK SC"/>
                <w:b/>
                <w:i w:val="0"/>
                <w:color w:val="FFFFFF"/>
                <w:sz w:val="17"/>
              </w:rPr>
              <w:t>Lint 类型</w:t>
            </w:r>
          </w:p>
        </w:tc>
        <w:tc>
          <w:tcPr>
            <w:tcW w:type="dxa" w:w="3120"/>
            <w:shd w:fill="2F6B9A"/>
            <w:vAlign w:val="center"/>
          </w:tcPr>
          <w:p>
            <w:pPr>
              <w:spacing w:after="0" w:line="240" w:lineRule="auto"/>
              <w:jc w:val="center"/>
            </w:pPr>
            <w:r/>
            <w:r>
              <w:rPr>
                <w:rFonts w:ascii="Arial" w:hAnsi="Arial" w:eastAsia="Noto Sans CJK SC"/>
                <w:b/>
                <w:i w:val="0"/>
                <w:color w:val="FFFFFF"/>
                <w:sz w:val="17"/>
              </w:rPr>
              <w:t>主要检查</w:t>
            </w:r>
          </w:p>
        </w:tc>
        <w:tc>
          <w:tcPr>
            <w:tcW w:type="dxa" w:w="3120"/>
            <w:shd w:fill="2F6B9A"/>
            <w:vAlign w:val="center"/>
          </w:tcPr>
          <w:p>
            <w:pPr>
              <w:spacing w:after="0" w:line="240" w:lineRule="auto"/>
              <w:jc w:val="center"/>
            </w:pPr>
            <w:r/>
            <w:r>
              <w:rPr>
                <w:rFonts w:ascii="Arial" w:hAnsi="Arial" w:eastAsia="Noto Sans CJK SC"/>
                <w:b/>
                <w:i w:val="0"/>
                <w:color w:val="FFFFFF"/>
                <w:sz w:val="17"/>
              </w:rPr>
              <w:t>典型使用位置</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Schema / Editorial / Language Lint</w:t>
            </w:r>
          </w:p>
        </w:tc>
        <w:tc>
          <w:tcPr>
            <w:tcW w:type="dxa" w:w="3120"/>
            <w:vAlign w:val="center"/>
          </w:tcPr>
          <w:p>
            <w:pPr>
              <w:spacing w:after="0" w:line="240" w:lineRule="auto"/>
              <w:jc w:val="left"/>
            </w:pPr>
            <w:r/>
            <w:r>
              <w:rPr>
                <w:rFonts w:ascii="Arial" w:hAnsi="Arial" w:eastAsia="Noto Sans CJK SC"/>
                <w:b w:val="0"/>
                <w:i w:val="0"/>
                <w:color w:val="25313C"/>
                <w:sz w:val="16"/>
              </w:rPr>
              <w:t>字段完整性、体例、标题层级、标点、数字单位、术语、英语拼写语法、题干和解析一致性。</w:t>
            </w:r>
          </w:p>
        </w:tc>
        <w:tc>
          <w:tcPr>
            <w:tcW w:type="dxa" w:w="3120"/>
            <w:vAlign w:val="center"/>
          </w:tcPr>
          <w:p>
            <w:pPr>
              <w:spacing w:after="0" w:line="240" w:lineRule="auto"/>
              <w:jc w:val="left"/>
            </w:pPr>
            <w:r/>
            <w:r>
              <w:rPr>
                <w:rFonts w:ascii="Arial" w:hAnsi="Arial" w:eastAsia="Noto Sans CJK SC"/>
                <w:b w:val="0"/>
                <w:i w:val="0"/>
                <w:color w:val="25313C"/>
                <w:sz w:val="16"/>
              </w:rPr>
              <w:t>内容导入、LLM 生成和编辑保存前。</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Annotation / Pedagogical Lint</w:t>
            </w:r>
          </w:p>
        </w:tc>
        <w:tc>
          <w:tcPr>
            <w:tcW w:type="dxa" w:w="3120"/>
            <w:vAlign w:val="center"/>
            <w:shd w:fill="F8FAFC"/>
          </w:tcPr>
          <w:p>
            <w:pPr>
              <w:spacing w:after="0" w:line="240" w:lineRule="auto"/>
              <w:jc w:val="left"/>
            </w:pPr>
            <w:r/>
            <w:r>
              <w:rPr>
                <w:rFonts w:ascii="Arial" w:hAnsi="Arial" w:eastAsia="Noto Sans CJK SC"/>
                <w:b w:val="0"/>
                <w:i w:val="0"/>
                <w:color w:val="25313C"/>
                <w:sz w:val="16"/>
              </w:rPr>
              <w:t>标签合法性、题型—技能—Bloom—思维一致性、年级和难度、答案唯一性、量规完整、目标—任务一致。</w:t>
            </w:r>
          </w:p>
        </w:tc>
        <w:tc>
          <w:tcPr>
            <w:tcW w:type="dxa" w:w="3120"/>
            <w:vAlign w:val="center"/>
            <w:shd w:fill="F8FAFC"/>
          </w:tcPr>
          <w:p>
            <w:pPr>
              <w:spacing w:after="0" w:line="240" w:lineRule="auto"/>
              <w:jc w:val="left"/>
            </w:pPr>
            <w:r/>
            <w:r>
              <w:rPr>
                <w:rFonts w:ascii="Arial" w:hAnsi="Arial" w:eastAsia="Noto Sans CJK SC"/>
                <w:b w:val="0"/>
                <w:i w:val="0"/>
                <w:color w:val="25313C"/>
                <w:sz w:val="16"/>
              </w:rPr>
              <w:t>LLM 自动标注后、Task Repository 入库前。</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Values, Safety &amp; Compliance Lint</w:t>
            </w:r>
          </w:p>
        </w:tc>
        <w:tc>
          <w:tcPr>
            <w:tcW w:type="dxa" w:w="3120"/>
            <w:vAlign w:val="center"/>
          </w:tcPr>
          <w:p>
            <w:pPr>
              <w:spacing w:after="0" w:line="240" w:lineRule="auto"/>
              <w:jc w:val="left"/>
            </w:pPr>
            <w:r/>
            <w:r>
              <w:rPr>
                <w:rFonts w:ascii="Arial" w:hAnsi="Arial" w:eastAsia="Noto Sans CJK SC"/>
                <w:b w:val="0"/>
                <w:i w:val="0"/>
                <w:color w:val="25313C"/>
                <w:sz w:val="16"/>
              </w:rPr>
              <w:t>价值导向、文化表达、偏见、广告、危险行为、未成年人适切、隐私、版权和来源。</w:t>
            </w:r>
          </w:p>
        </w:tc>
        <w:tc>
          <w:tcPr>
            <w:tcW w:type="dxa" w:w="3120"/>
            <w:vAlign w:val="center"/>
          </w:tcPr>
          <w:p>
            <w:pPr>
              <w:spacing w:after="0" w:line="240" w:lineRule="auto"/>
              <w:jc w:val="left"/>
            </w:pPr>
            <w:r/>
            <w:r>
              <w:rPr>
                <w:rFonts w:ascii="Arial" w:hAnsi="Arial" w:eastAsia="Noto Sans CJK SC"/>
                <w:b w:val="0"/>
                <w:i w:val="0"/>
                <w:color w:val="25313C"/>
                <w:sz w:val="16"/>
              </w:rPr>
              <w:t>内容发布前及学生端输出前。</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Assembly Lint</w:t>
            </w:r>
          </w:p>
        </w:tc>
        <w:tc>
          <w:tcPr>
            <w:tcW w:type="dxa" w:w="3120"/>
            <w:vAlign w:val="center"/>
            <w:shd w:fill="F8FAFC"/>
          </w:tcPr>
          <w:p>
            <w:pPr>
              <w:spacing w:after="0" w:line="240" w:lineRule="auto"/>
              <w:jc w:val="left"/>
            </w:pPr>
            <w:r/>
            <w:r>
              <w:rPr>
                <w:rFonts w:ascii="Arial" w:hAnsi="Arial" w:eastAsia="Noto Sans CJK SC"/>
                <w:b w:val="0"/>
                <w:i w:val="0"/>
                <w:color w:val="25313C"/>
                <w:sz w:val="16"/>
              </w:rPr>
              <w:t>课程包/教案/练习计划的目标、顺序、题量、时长、版本、资源有效性和能力结构平衡。</w:t>
            </w:r>
          </w:p>
        </w:tc>
        <w:tc>
          <w:tcPr>
            <w:tcW w:type="dxa" w:w="3120"/>
            <w:vAlign w:val="center"/>
            <w:shd w:fill="F8FAFC"/>
          </w:tcPr>
          <w:p>
            <w:pPr>
              <w:spacing w:after="0" w:line="240" w:lineRule="auto"/>
              <w:jc w:val="left"/>
            </w:pPr>
            <w:r/>
            <w:r>
              <w:rPr>
                <w:rFonts w:ascii="Arial" w:hAnsi="Arial" w:eastAsia="Noto Sans CJK SC"/>
                <w:b w:val="0"/>
                <w:i w:val="0"/>
                <w:color w:val="25313C"/>
                <w:sz w:val="16"/>
              </w:rPr>
              <w:t>课程与任务组装、发布前。</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Learning Path Lint</w:t>
            </w:r>
          </w:p>
        </w:tc>
        <w:tc>
          <w:tcPr>
            <w:tcW w:type="dxa" w:w="3120"/>
            <w:vAlign w:val="center"/>
          </w:tcPr>
          <w:p>
            <w:pPr>
              <w:spacing w:after="0" w:line="240" w:lineRule="auto"/>
              <w:jc w:val="left"/>
            </w:pPr>
            <w:r/>
            <w:r>
              <w:rPr>
                <w:rFonts w:ascii="Arial" w:hAnsi="Arial" w:eastAsia="Noto Sans CJK SC"/>
                <w:b w:val="0"/>
                <w:i w:val="0"/>
                <w:color w:val="25313C"/>
                <w:sz w:val="16"/>
              </w:rPr>
              <w:t>资源存在、任务版本、重复、预计时长、教师禁用规则、已完成任务、答案泄露等硬约束。</w:t>
            </w:r>
          </w:p>
        </w:tc>
        <w:tc>
          <w:tcPr>
            <w:tcW w:type="dxa" w:w="3120"/>
            <w:vAlign w:val="center"/>
          </w:tcPr>
          <w:p>
            <w:pPr>
              <w:spacing w:after="0" w:line="240" w:lineRule="auto"/>
              <w:jc w:val="left"/>
            </w:pPr>
            <w:r/>
            <w:r>
              <w:rPr>
                <w:rFonts w:ascii="Arial" w:hAnsi="Arial" w:eastAsia="Noto Sans CJK SC"/>
                <w:b w:val="0"/>
                <w:i w:val="0"/>
                <w:color w:val="25313C"/>
                <w:sz w:val="16"/>
              </w:rPr>
              <w:t>Recommendation Agent 之后、Verifier 之前。</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Student-facing Output Lint</w:t>
            </w:r>
          </w:p>
        </w:tc>
        <w:tc>
          <w:tcPr>
            <w:tcW w:type="dxa" w:w="3120"/>
            <w:vAlign w:val="center"/>
            <w:shd w:fill="F8FAFC"/>
          </w:tcPr>
          <w:p>
            <w:pPr>
              <w:spacing w:after="0" w:line="240" w:lineRule="auto"/>
              <w:jc w:val="left"/>
            </w:pPr>
            <w:r/>
            <w:r>
              <w:rPr>
                <w:rFonts w:ascii="Arial" w:hAnsi="Arial" w:eastAsia="Noto Sans CJK SC"/>
                <w:b w:val="0"/>
                <w:i w:val="0"/>
                <w:color w:val="25313C"/>
                <w:sz w:val="16"/>
              </w:rPr>
              <w:t>解释是否证据一致、语言适龄、非标签化、无心理医学诊断、无答案泄露和敏感信息。</w:t>
            </w:r>
          </w:p>
        </w:tc>
        <w:tc>
          <w:tcPr>
            <w:tcW w:type="dxa" w:w="3120"/>
            <w:vAlign w:val="center"/>
            <w:shd w:fill="F8FAFC"/>
          </w:tcPr>
          <w:p>
            <w:pPr>
              <w:spacing w:after="0" w:line="240" w:lineRule="auto"/>
              <w:jc w:val="left"/>
            </w:pPr>
            <w:r/>
            <w:r>
              <w:rPr>
                <w:rFonts w:ascii="Arial" w:hAnsi="Arial" w:eastAsia="Noto Sans CJK SC"/>
                <w:b w:val="0"/>
                <w:i w:val="0"/>
                <w:color w:val="25313C"/>
                <w:sz w:val="16"/>
              </w:rPr>
              <w:t>Explainer Agent 之后、交付前。</w:t>
            </w:r>
          </w:p>
        </w:tc>
      </w:tr>
      <w:tr>
        <w:trPr>
          <w:cantSplit/>
        </w:trPr>
        <w:tc>
          <w:tcPr>
            <w:tcW w:type="dxa" w:w="3120"/>
            <w:vAlign w:val="center"/>
          </w:tcPr>
          <w:p>
            <w:pPr>
              <w:spacing w:after="0" w:line="240" w:lineRule="auto"/>
              <w:jc w:val="left"/>
            </w:pPr>
            <w:r/>
            <w:r>
              <w:rPr>
                <w:rFonts w:ascii="Arial" w:hAnsi="Arial" w:eastAsia="Noto Sans CJK SC"/>
                <w:b w:val="0"/>
                <w:i w:val="0"/>
                <w:color w:val="25313C"/>
                <w:sz w:val="16"/>
              </w:rPr>
              <w:t>Evidence &amp; Data Lint</w:t>
            </w:r>
          </w:p>
        </w:tc>
        <w:tc>
          <w:tcPr>
            <w:tcW w:type="dxa" w:w="3120"/>
            <w:vAlign w:val="center"/>
          </w:tcPr>
          <w:p>
            <w:pPr>
              <w:spacing w:after="0" w:line="240" w:lineRule="auto"/>
              <w:jc w:val="left"/>
            </w:pPr>
            <w:r/>
            <w:r>
              <w:rPr>
                <w:rFonts w:ascii="Arial" w:hAnsi="Arial" w:eastAsia="Noto Sans CJK SC"/>
                <w:b w:val="0"/>
                <w:i w:val="0"/>
                <w:color w:val="25313C"/>
                <w:sz w:val="16"/>
              </w:rPr>
              <w:t>learner_id/task_id、时间戳、得分范围、版本、重复提交、异常时长、敏感信息和证据质量。</w:t>
            </w:r>
          </w:p>
        </w:tc>
        <w:tc>
          <w:tcPr>
            <w:tcW w:type="dxa" w:w="3120"/>
            <w:vAlign w:val="center"/>
          </w:tcPr>
          <w:p>
            <w:pPr>
              <w:spacing w:after="0" w:line="240" w:lineRule="auto"/>
              <w:jc w:val="left"/>
            </w:pPr>
            <w:r/>
            <w:r>
              <w:rPr>
                <w:rFonts w:ascii="Arial" w:hAnsi="Arial" w:eastAsia="Noto Sans CJK SC"/>
                <w:b w:val="0"/>
                <w:i w:val="0"/>
                <w:color w:val="25313C"/>
                <w:sz w:val="16"/>
              </w:rPr>
              <w:t>学习证据入库与 Model State 更新前。</w:t>
            </w:r>
          </w:p>
        </w:tc>
      </w:tr>
      <w:tr>
        <w:trPr>
          <w:cantSplit/>
        </w:trPr>
        <w:tc>
          <w:tcPr>
            <w:tcW w:type="dxa" w:w="3120"/>
            <w:vAlign w:val="center"/>
            <w:shd w:fill="F8FAFC"/>
          </w:tcPr>
          <w:p>
            <w:pPr>
              <w:spacing w:after="0" w:line="240" w:lineRule="auto"/>
              <w:jc w:val="left"/>
            </w:pPr>
            <w:r/>
            <w:r>
              <w:rPr>
                <w:rFonts w:ascii="Arial" w:hAnsi="Arial" w:eastAsia="Noto Sans CJK SC"/>
                <w:b w:val="0"/>
                <w:i w:val="0"/>
                <w:color w:val="25313C"/>
                <w:sz w:val="16"/>
              </w:rPr>
              <w:t>Citation &amp; Evidence Lint</w:t>
            </w:r>
          </w:p>
        </w:tc>
        <w:tc>
          <w:tcPr>
            <w:tcW w:type="dxa" w:w="3120"/>
            <w:vAlign w:val="center"/>
            <w:shd w:fill="F8FAFC"/>
          </w:tcPr>
          <w:p>
            <w:pPr>
              <w:spacing w:after="0" w:line="240" w:lineRule="auto"/>
              <w:jc w:val="left"/>
            </w:pPr>
            <w:r/>
            <w:r>
              <w:rPr>
                <w:rFonts w:ascii="Arial" w:hAnsi="Arial" w:eastAsia="Noto Sans CJK SC"/>
                <w:b w:val="0"/>
                <w:i w:val="0"/>
                <w:color w:val="25313C"/>
                <w:sz w:val="16"/>
              </w:rPr>
              <w:t>引用真实性、作者/年份/DOI、来源状态、主张支持关系、撤稿更正、因果和场景过度外推。</w:t>
            </w:r>
          </w:p>
        </w:tc>
        <w:tc>
          <w:tcPr>
            <w:tcW w:type="dxa" w:w="3120"/>
            <w:vAlign w:val="center"/>
            <w:shd w:fill="F8FAFC"/>
          </w:tcPr>
          <w:p>
            <w:pPr>
              <w:spacing w:after="0" w:line="240" w:lineRule="auto"/>
              <w:jc w:val="left"/>
            </w:pPr>
            <w:r/>
            <w:r>
              <w:rPr>
                <w:rFonts w:ascii="Arial" w:hAnsi="Arial" w:eastAsia="Noto Sans CJK SC"/>
                <w:b w:val="0"/>
                <w:i w:val="0"/>
                <w:color w:val="25313C"/>
                <w:sz w:val="16"/>
              </w:rPr>
              <w:t>Research Agent 报告进入专家审核前。</w:t>
            </w:r>
          </w:p>
        </w:tc>
      </w:tr>
    </w:tbl>
    <w:p>
      <w:pPr>
        <w:spacing w:after="80" w:line="269" w:lineRule="auto"/>
      </w:pPr>
      <w:r>
        <w:rPr>
          <w:rFonts w:ascii="Arial" w:hAnsi="Arial" w:eastAsia="Noto Sans CJK SC"/>
          <w:b w:val="0"/>
          <w:i w:val="0"/>
          <w:color w:val="25313C"/>
          <w:sz w:val="20"/>
        </w:rPr>
        <w:t>统一门禁等级：INFO 仅记录；AUTO_FIX 自动修复并保留差异；WARN 允许继续但必须监控；REVIEW 必须人工确认；BLOCK 禁止入库、发布、推荐或状态更新。MVP 优先实现内容 Schema/Editorial、Annotation/Pedagogical/Values、Learning Path、Student-facing Output 和 Evidence/Data 五类门禁。</w:t>
      </w:r>
    </w:p>
    <w:p>
      <w:pPr>
        <w:pStyle w:val="Heading1"/>
        <w:keepNext/>
        <w:spacing w:before="200" w:after="80"/>
      </w:pPr>
      <w:r>
        <w:t>8. 思维品质与 Bloom 的双轴诊断模型</w:t>
      </w:r>
    </w:p>
    <w:p>
      <w:pPr>
        <w:spacing w:after="120" w:line="264" w:lineRule="auto"/>
      </w:pPr>
      <w:r>
        <w:t>Bloom 掌握层级与英语课程标准中的思维品质不是同一个维度。Bloom 描述学生对某个知识或技能节点能够完成多深的认知操作；思维品质描述学生在处理语言信息、形成推断、作出评价和创新表达时表现出的思维方式与质量。系统采用“双轴模型”，不做一一对应。</w:t>
      </w:r>
    </w:p>
    <w:p/>
    <w:p>
      <w:pPr>
        <w:pStyle w:val="Heading2"/>
        <w:keepNext/>
        <w:spacing w:before="140" w:after="80"/>
      </w:pPr>
      <w:r>
        <w:t>8.1 课标思维品质维度</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rPr>
        <w:tc>
          <w:tcPr>
            <w:tcW w:type="dxa" w:w="1800"/>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8"/>
              </w:rPr>
              <w:t>思维品质维度</w:t>
            </w:r>
          </w:p>
        </w:tc>
        <w:tc>
          <w:tcPr>
            <w:tcW w:type="dxa" w:w="2880"/>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8"/>
              </w:rPr>
              <w:t>核心含义</w:t>
            </w:r>
          </w:p>
        </w:tc>
        <w:tc>
          <w:tcPr>
            <w:tcW w:type="dxa" w:w="4464"/>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8"/>
              </w:rPr>
              <w:t>初中英语可观测表现</w:t>
            </w:r>
          </w:p>
        </w:tc>
      </w:tr>
      <w:tr>
        <w:trPr>
          <w:cantSplit/>
        </w:trPr>
        <w:tc>
          <w:tcPr>
            <w:tcW w:type="dxa" w:w="180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8"/>
              </w:rPr>
              <w:t>观察与辨析</w:t>
            </w:r>
          </w:p>
        </w:tc>
        <w:tc>
          <w:tcPr>
            <w:tcW w:type="dxa" w:w="28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获取、识别、比较和分析信息。</w:t>
            </w:r>
          </w:p>
        </w:tc>
        <w:tc>
          <w:tcPr>
            <w:tcW w:type="dxa" w:w="446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发现文本关键信息与变化；区分事实与观点；比较语言表达或文化现象。</w:t>
            </w:r>
          </w:p>
        </w:tc>
      </w:tr>
      <w:tr>
        <w:trPr>
          <w:cantSplit/>
        </w:trPr>
        <w:tc>
          <w:tcPr>
            <w:tcW w:type="dxa" w:w="180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8"/>
              </w:rPr>
              <w:t>归纳与推断</w:t>
            </w:r>
          </w:p>
        </w:tc>
        <w:tc>
          <w:tcPr>
            <w:tcW w:type="dxa" w:w="28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整理、概括、关联并依据证据推导信息。</w:t>
            </w:r>
          </w:p>
        </w:tc>
        <w:tc>
          <w:tcPr>
            <w:tcW w:type="dxa" w:w="446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概括主旨；判断信息关系；根据语篇线索推断人物动机、作者态度或深层含义。</w:t>
            </w:r>
          </w:p>
        </w:tc>
      </w:tr>
      <w:tr>
        <w:trPr>
          <w:cantSplit/>
        </w:trPr>
        <w:tc>
          <w:tcPr>
            <w:tcW w:type="dxa" w:w="180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8"/>
              </w:rPr>
              <w:t>批判与创新</w:t>
            </w:r>
          </w:p>
        </w:tc>
        <w:tc>
          <w:tcPr>
            <w:tcW w:type="dxa" w:w="288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评价观点与证据，重组信息并形成新表达。</w:t>
            </w:r>
          </w:p>
        </w:tc>
        <w:tc>
          <w:tcPr>
            <w:tcW w:type="dxa" w:w="446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8"/>
              </w:rPr>
              <w:t>评价论点合理性；说明判断依据；改写或续写文本；提出新观点和解决方案。</w:t>
            </w:r>
          </w:p>
        </w:tc>
      </w:tr>
    </w:tbl>
    <w:p>
      <w:pPr>
        <w:pStyle w:val="Heading2"/>
        <w:keepNext/>
        <w:spacing w:before="140" w:after="80"/>
      </w:pPr>
      <w:r>
        <w:t>8.2 维度内发展水平</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cantSplit/>
        </w:trPr>
        <w:tc>
          <w:tcPr>
            <w:tcW w:type="dxa" w:w="1656"/>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水平</w:t>
            </w:r>
          </w:p>
        </w:tc>
        <w:tc>
          <w:tcPr>
            <w:tcW w:type="dxa" w:w="3528"/>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定义</w:t>
            </w:r>
          </w:p>
        </w:tc>
        <w:tc>
          <w:tcPr>
            <w:tcW w:type="dxa" w:w="3960"/>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证据要求</w:t>
            </w:r>
          </w:p>
        </w:tc>
      </w:tr>
      <w:tr>
        <w:trPr>
          <w:cantSplit/>
        </w:trPr>
        <w:tc>
          <w:tcPr>
            <w:tcW w:type="dxa" w:w="165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T0 未形成</w:t>
            </w:r>
          </w:p>
        </w:tc>
        <w:tc>
          <w:tcPr>
            <w:tcW w:type="dxa" w:w="35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尚无稳定表现，或缺少有效证据。</w:t>
            </w:r>
          </w:p>
        </w:tc>
        <w:tc>
          <w:tcPr>
            <w:tcW w:type="dxa" w:w="396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需要补充具有相应认知要求的任务证据。</w:t>
            </w:r>
          </w:p>
        </w:tc>
      </w:tr>
      <w:tr>
        <w:trPr>
          <w:cantSplit/>
        </w:trPr>
        <w:tc>
          <w:tcPr>
            <w:tcW w:type="dxa" w:w="165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T1 起步</w:t>
            </w:r>
          </w:p>
        </w:tc>
        <w:tc>
          <w:tcPr>
            <w:tcW w:type="dxa" w:w="35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在明确提示或范例支持下能完成部分操作。</w:t>
            </w:r>
          </w:p>
        </w:tc>
        <w:tc>
          <w:tcPr>
            <w:tcW w:type="dxa" w:w="396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至少两次有提示任务表现。</w:t>
            </w:r>
          </w:p>
        </w:tc>
      </w:tr>
      <w:tr>
        <w:trPr>
          <w:cantSplit/>
        </w:trPr>
        <w:tc>
          <w:tcPr>
            <w:tcW w:type="dxa" w:w="165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T2 发展中</w:t>
            </w:r>
          </w:p>
        </w:tc>
        <w:tc>
          <w:tcPr>
            <w:tcW w:type="dxa" w:w="35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能在熟悉任务中独立完成，但稳定性或依据不足。</w:t>
            </w:r>
          </w:p>
        </w:tc>
        <w:tc>
          <w:tcPr>
            <w:tcW w:type="dxa" w:w="396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跨两类任务出现基本一致表现。</w:t>
            </w:r>
          </w:p>
        </w:tc>
      </w:tr>
      <w:tr>
        <w:trPr>
          <w:cantSplit/>
        </w:trPr>
        <w:tc>
          <w:tcPr>
            <w:tcW w:type="dxa" w:w="165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T3 熟练</w:t>
            </w:r>
          </w:p>
        </w:tc>
        <w:tc>
          <w:tcPr>
            <w:tcW w:type="dxa" w:w="35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能在不同任务中稳定运用，并能说明依据。</w:t>
            </w:r>
          </w:p>
        </w:tc>
        <w:tc>
          <w:tcPr>
            <w:tcW w:type="dxa" w:w="396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跨情境、跨任务的稳定证据。</w:t>
            </w:r>
          </w:p>
        </w:tc>
      </w:tr>
      <w:tr>
        <w:trPr>
          <w:cantSplit/>
        </w:trPr>
        <w:tc>
          <w:tcPr>
            <w:tcW w:type="dxa" w:w="165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T4 迁移创新</w:t>
            </w:r>
          </w:p>
        </w:tc>
        <w:tc>
          <w:tcPr>
            <w:tcW w:type="dxa" w:w="35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能迁移到新情境，综合运用并形成新观点或方案。</w:t>
            </w:r>
          </w:p>
        </w:tc>
        <w:tc>
          <w:tcPr>
            <w:tcW w:type="dxa" w:w="3960"/>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开放任务、项目任务或真实情境中的高质量表现。</w:t>
            </w:r>
          </w:p>
        </w:tc>
      </w:tr>
    </w:tbl>
    <w:p>
      <w:pPr>
        <w:spacing w:after="140" w:line="269" w:lineRule="auto"/>
        <w:jc w:val="right"/>
      </w:pPr>
      <w:r>
        <w:rPr>
          <w:rFonts w:ascii="Calibri" w:hAnsi="Calibri" w:eastAsia="Noto Sans CJK SC"/>
          <w:b w:val="0"/>
          <w:i/>
          <w:color w:val="607080"/>
          <w:sz w:val="16"/>
        </w:rPr>
        <w:t>依据：《义务教育英语课程标准（2022年版）》；发展水平 T0–T4 为 AdaptLearn 的系统化测量框架。</w:t>
      </w:r>
    </w:p>
    <w:p>
      <w:pPr>
        <w:pStyle w:val="Heading1"/>
        <w:keepNext/>
        <w:pageBreakBefore/>
        <w:spacing w:before="200" w:after="80"/>
      </w:pPr>
      <w:r>
        <w:t>9. 项目总体框架与 Agent 架构</w:t>
      </w:r>
    </w:p>
    <w:p>
      <w:pPr>
        <w:spacing w:after="80" w:line="269" w:lineRule="auto"/>
      </w:pPr>
      <w:r>
        <w:rPr>
          <w:rFonts w:ascii="Arial" w:hAnsi="Arial" w:eastAsia="Noto Sans CJK SC"/>
          <w:b w:val="0"/>
          <w:i w:val="0"/>
          <w:color w:val="25313C"/>
          <w:sz w:val="20"/>
        </w:rPr>
        <w:t>在原三域架构基础上，系统新增两条治理能力：其一，Research &amp; Evidence Review Agent 负责方案与技术路线的学术证据审查；其二，Lint &amp; Quality Gate Services 作为横向质量基础设施，贯穿内容生产、自动标注、课程组装、学习路径、学生端输出、数据回流和研究引用。</w:t>
      </w:r>
    </w:p>
    <w:p>
      <w:pPr>
        <w:spacing w:after="120" w:line="264" w:lineRule="auto"/>
      </w:pPr>
      <w:r>
        <w:rPr>
          <w:rFonts w:eastAsia="Noto Sans CJK SC" w:ascii="Calibri" w:hAnsi="Calibri"/>
        </w:rPr>
        <w:t>系统采用“管理中台—学生学习端—智能学习后端”三域架构。管理中台负责内容生产、AI 标注治理、课程与任务组装、教师决策和运营监控；学生端负责学习计划接收、资源学习、练习、解释反思和结果回流；智能学习后端承载路由编排、Agent 决策、Adaptive Core、模型工具服务以及数据与知识底座。确定性 CRUD/组装/发布流程与 Agentic 诊断/推荐流程相互分离。</w:t>
      </w:r>
    </w:p>
    <w:p/>
    <w:p>
      <w:pPr>
        <w:jc w:val="center"/>
      </w:pPr>
      <w:r>
        <w:drawing>
          <wp:inline xmlns:a="http://schemas.openxmlformats.org/drawingml/2006/main" xmlns:pic="http://schemas.openxmlformats.org/drawingml/2006/picture">
            <wp:extent cx="5943600" cy="3896497"/>
            <wp:docPr id="6" name="Picture 6" descr="AdaptLearn Copilot 总体架构，包含 Research Agent 与 Lint Quality Gates" title="AdaptLearn Copilot 总体架构，包含 Research Agent 与 Lint Quality Gates"/>
            <wp:cNvGraphicFramePr>
              <a:graphicFrameLocks noChangeAspect="1"/>
            </wp:cNvGraphicFramePr>
            <a:graphic>
              <a:graphicData uri="http://schemas.openxmlformats.org/drawingml/2006/picture">
                <pic:pic>
                  <pic:nvPicPr>
                    <pic:cNvPr id="0" name="00_总体架构_ResearchAgent_Lint.png"/>
                    <pic:cNvPicPr/>
                  </pic:nvPicPr>
                  <pic:blipFill>
                    <a:blip r:embed="rId16"/>
                    <a:stretch>
                      <a:fillRect/>
                    </a:stretch>
                  </pic:blipFill>
                  <pic:spPr>
                    <a:xfrm>
                      <a:off x="0" y="0"/>
                      <a:ext cx="5943600" cy="3896497"/>
                    </a:xfrm>
                    <a:prstGeom prst="rect"/>
                  </pic:spPr>
                </pic:pic>
              </a:graphicData>
            </a:graphic>
          </wp:inline>
        </w:drawing>
      </w:r>
    </w:p>
    <w:p>
      <w:pPr>
        <w:spacing w:after="120" w:line="269" w:lineRule="auto"/>
        <w:jc w:val="center"/>
      </w:pPr>
      <w:r>
        <w:rPr>
          <w:rFonts w:ascii="Arial" w:hAnsi="Arial" w:eastAsia="Noto Sans CJK SC"/>
          <w:b w:val="0"/>
        </w:rPr>
        <w:t>图 1  AdaptLearn Copilot 总体架构（Research Agent + Lint Quality Gates）</w:t>
      </w:r>
    </w:p>
    <w:p>
      <w:pPr>
        <w:pStyle w:val="Heading2"/>
        <w:keepNext/>
      </w:pPr>
      <w:r>
        <w:rPr>
          <w:rFonts w:eastAsia="Noto Sans CJK SC" w:ascii="Calibri" w:hAnsi="Calibri"/>
        </w:rPr>
        <w:t>9.1 三域架构与职责边界</w:t>
      </w:r>
    </w:p>
    <w:p>
      <w:pPr/>
      <w:r>
        <w:rPr>
          <w:rFonts w:eastAsia="Noto Sans CJK SC" w:ascii="Calibri" w:hAnsi="Calibri"/>
        </w:rPr>
        <w:t>三域之间通过授权 API 和事件流交互。学生学习结果统一写入后端 Learning Evidence，再由管理中台读取诊断、看板与告警；管理中台不作为学生原始行为数据的直接写入目标。</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1728"/>
            <w:shd w:fill="D9EAF7"/>
            <w:vAlign w:val="center"/>
          </w:tcPr>
          <w:p>
            <w:pPr>
              <w:spacing w:before="0" w:after="0" w:line="252" w:lineRule="auto"/>
              <w:jc w:val="center"/>
            </w:pPr>
            <w:r/>
            <w:r>
              <w:rPr>
                <w:rFonts w:eastAsia="Noto Sans CJK SC" w:ascii="Calibri" w:hAnsi="Calibri"/>
                <w:b/>
                <w:color w:val="2E74B5"/>
                <w:sz w:val="17"/>
              </w:rPr>
              <w:t>架构域</w:t>
            </w:r>
          </w:p>
        </w:tc>
        <w:tc>
          <w:tcPr>
            <w:tcW w:type="dxa" w:w="4536"/>
            <w:shd w:fill="D9EAF7"/>
            <w:vAlign w:val="center"/>
          </w:tcPr>
          <w:p>
            <w:pPr>
              <w:spacing w:before="0" w:after="0" w:line="252" w:lineRule="auto"/>
              <w:jc w:val="center"/>
            </w:pPr>
            <w:r/>
            <w:r>
              <w:rPr>
                <w:rFonts w:eastAsia="Noto Sans CJK SC" w:ascii="Calibri" w:hAnsi="Calibri"/>
                <w:b/>
                <w:color w:val="2E74B5"/>
                <w:sz w:val="17"/>
              </w:rPr>
              <w:t>核心职责</w:t>
            </w:r>
          </w:p>
        </w:tc>
        <w:tc>
          <w:tcPr>
            <w:tcW w:type="dxa" w:w="3096"/>
            <w:shd w:fill="D9EAF7"/>
            <w:vAlign w:val="center"/>
          </w:tcPr>
          <w:p>
            <w:pPr>
              <w:spacing w:before="0" w:after="0" w:line="252" w:lineRule="auto"/>
              <w:jc w:val="center"/>
            </w:pPr>
            <w:r/>
            <w:r>
              <w:rPr>
                <w:rFonts w:eastAsia="Noto Sans CJK SC" w:ascii="Calibri" w:hAnsi="Calibri"/>
                <w:b/>
                <w:color w:val="2E74B5"/>
                <w:sz w:val="17"/>
              </w:rPr>
              <w:t>关键输出</w:t>
            </w:r>
          </w:p>
        </w:tc>
      </w:tr>
      <w:tr>
        <w:trPr>
          <w:cantSplit/>
        </w:trPr>
        <w:tc>
          <w:tcPr>
            <w:tcW w:type="dxa" w:w="1728"/>
            <w:vAlign w:val="center"/>
          </w:tcPr>
          <w:p>
            <w:pPr>
              <w:spacing w:before="0" w:after="0" w:line="252" w:lineRule="auto"/>
              <w:jc w:val="left"/>
            </w:pPr>
            <w:r/>
            <w:r>
              <w:rPr>
                <w:rFonts w:eastAsia="Noto Sans CJK SC" w:ascii="Calibri" w:hAnsi="Calibri"/>
                <w:b/>
                <w:color w:val="263746"/>
                <w:sz w:val="16"/>
              </w:rPr>
              <w:t>管理中台</w:t>
            </w:r>
          </w:p>
        </w:tc>
        <w:tc>
          <w:tcPr>
            <w:tcW w:type="dxa" w:w="4536"/>
            <w:vAlign w:val="center"/>
          </w:tcPr>
          <w:p>
            <w:pPr>
              <w:spacing w:after="0" w:line="240" w:lineRule="auto"/>
              <w:jc w:val="left"/>
            </w:pPr>
            <w:r/>
            <w:r>
              <w:rPr>
                <w:rFonts w:ascii="Arial" w:hAnsi="Arial" w:eastAsia="Noto Sans CJK SC"/>
                <w:b w:val="0"/>
                <w:i w:val="0"/>
                <w:color w:val="25313C"/>
                <w:sz w:val="16"/>
              </w:rPr>
              <w:t>知识图谱与标签管理、内容资源与 LLM 标注治理、课程/练习/教案组装、教师确认覆盖、Research Evidence Review、Lint 规则与 ReviewCase 管理、质量和运营监控。</w:t>
            </w:r>
          </w:p>
        </w:tc>
        <w:tc>
          <w:tcPr>
            <w:tcW w:type="dxa" w:w="3096"/>
            <w:vAlign w:val="center"/>
          </w:tcPr>
          <w:p>
            <w:pPr>
              <w:spacing w:after="0" w:line="240" w:lineRule="auto"/>
              <w:jc w:val="left"/>
            </w:pPr>
            <w:r/>
            <w:r>
              <w:rPr>
                <w:rFonts w:ascii="Arial" w:hAnsi="Arial" w:eastAsia="Noto Sans CJK SC"/>
                <w:b w:val="0"/>
                <w:i w:val="0"/>
                <w:color w:val="25313C"/>
                <w:sz w:val="16"/>
              </w:rPr>
              <w:t>受控标签体系、审核内容、课程任务包、教师策略、Claim–Evidence Matrix、Evidence Registry、Lint Profiles、运营看板。</w:t>
            </w:r>
          </w:p>
        </w:tc>
      </w:tr>
      <w:tr>
        <w:trPr>
          <w:cantSplit/>
        </w:trPr>
        <w:tc>
          <w:tcPr>
            <w:tcW w:type="dxa" w:w="1728"/>
            <w:vAlign w:val="center"/>
          </w:tcPr>
          <w:p>
            <w:pPr>
              <w:spacing w:before="0" w:after="0" w:line="252" w:lineRule="auto"/>
              <w:jc w:val="left"/>
            </w:pPr>
            <w:r/>
            <w:r>
              <w:rPr>
                <w:rFonts w:eastAsia="Noto Sans CJK SC" w:ascii="Calibri" w:hAnsi="Calibri"/>
                <w:b/>
                <w:color w:val="263746"/>
                <w:sz w:val="16"/>
              </w:rPr>
              <w:t>学生学习端</w:t>
            </w:r>
          </w:p>
        </w:tc>
        <w:tc>
          <w:tcPr>
            <w:tcW w:type="dxa" w:w="4536"/>
            <w:vAlign w:val="center"/>
          </w:tcPr>
          <w:p>
            <w:pPr>
              <w:spacing w:before="0" w:after="0" w:line="252" w:lineRule="auto"/>
              <w:jc w:val="left"/>
            </w:pPr>
            <w:r/>
            <w:r>
              <w:rPr>
                <w:rFonts w:eastAsia="Noto Sans CJK SC" w:ascii="Calibri" w:hAnsi="Calibri"/>
                <w:b w:val="0"/>
                <w:color w:val="263746"/>
                <w:sz w:val="16"/>
              </w:rPr>
              <w:t>接收路径与资源，完成学习、练习、开放任务、反思与自评，提交学习行为和结果证据。</w:t>
            </w:r>
          </w:p>
        </w:tc>
        <w:tc>
          <w:tcPr>
            <w:tcW w:type="dxa" w:w="3096"/>
            <w:vAlign w:val="center"/>
          </w:tcPr>
          <w:p>
            <w:pPr>
              <w:spacing w:before="0" w:after="0" w:line="252" w:lineRule="auto"/>
              <w:jc w:val="left"/>
            </w:pPr>
            <w:r/>
            <w:r>
              <w:rPr>
                <w:rFonts w:eastAsia="Noto Sans CJK SC" w:ascii="Calibri" w:hAnsi="Calibri"/>
                <w:b w:val="0"/>
                <w:color w:val="263746"/>
                <w:sz w:val="16"/>
              </w:rPr>
              <w:t>作答结果、错误、时长、尝试、提示、草稿、反思和主观难度。</w:t>
            </w:r>
          </w:p>
        </w:tc>
      </w:tr>
      <w:tr>
        <w:trPr>
          <w:cantSplit/>
        </w:trPr>
        <w:tc>
          <w:tcPr>
            <w:tcW w:type="dxa" w:w="1728"/>
            <w:vAlign w:val="center"/>
          </w:tcPr>
          <w:p>
            <w:pPr>
              <w:spacing w:before="0" w:after="0" w:line="252" w:lineRule="auto"/>
              <w:jc w:val="left"/>
            </w:pPr>
            <w:r/>
            <w:r>
              <w:rPr>
                <w:rFonts w:eastAsia="Noto Sans CJK SC" w:ascii="Calibri" w:hAnsi="Calibri"/>
                <w:b/>
                <w:color w:val="263746"/>
                <w:sz w:val="16"/>
              </w:rPr>
              <w:t>智能学习后端</w:t>
            </w:r>
          </w:p>
        </w:tc>
        <w:tc>
          <w:tcPr>
            <w:tcW w:type="dxa" w:w="4536"/>
            <w:vAlign w:val="center"/>
          </w:tcPr>
          <w:p>
            <w:pPr>
              <w:spacing w:after="0" w:line="240" w:lineRule="auto"/>
              <w:jc w:val="left"/>
            </w:pPr>
            <w:r/>
            <w:r>
              <w:rPr>
                <w:rFonts w:ascii="Arial" w:hAnsi="Arial" w:eastAsia="Noto Sans CJK SC"/>
                <w:b w:val="0"/>
                <w:i w:val="0"/>
                <w:color w:val="25313C"/>
                <w:sz w:val="16"/>
              </w:rPr>
              <w:t>执行业务路由、学习 Agents、Research Agent 工作流、内容智能、状态建模、路径规划、Verifier、Lint Quality Gates、解释、数据治理与反馈更新。</w:t>
            </w:r>
          </w:p>
        </w:tc>
        <w:tc>
          <w:tcPr>
            <w:tcW w:type="dxa" w:w="3096"/>
            <w:vAlign w:val="center"/>
          </w:tcPr>
          <w:p>
            <w:pPr>
              <w:spacing w:before="0" w:after="0" w:line="252" w:lineRule="auto"/>
              <w:jc w:val="left"/>
            </w:pPr>
            <w:r/>
            <w:r>
              <w:rPr>
                <w:rFonts w:eastAsia="Noto Sans CJK SC" w:ascii="Calibri" w:hAnsi="Calibri"/>
                <w:b w:val="0"/>
                <w:color w:val="263746"/>
                <w:sz w:val="16"/>
              </w:rPr>
              <w:t>认知诊断、思维画像、学习路径、解释、结构化决策轨迹和状态更新。</w:t>
            </w:r>
          </w:p>
        </w:tc>
      </w:tr>
    </w:tbl>
    <w:p>
      <w:pPr>
        <w:pStyle w:val="Heading2"/>
        <w:keepNext/>
      </w:pPr>
      <w:r>
        <w:rPr>
          <w:rFonts w:eastAsia="Noto Sans CJK SC" w:ascii="Calibri" w:hAnsi="Calibri"/>
        </w:rPr>
        <w:t>9.2 管理中台（教研 / 教师 / 管理员）</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2088"/>
            <w:shd w:fill="D9EAF7"/>
            <w:vAlign w:val="center"/>
          </w:tcPr>
          <w:p>
            <w:pPr>
              <w:spacing w:before="0" w:after="0" w:line="252" w:lineRule="auto"/>
              <w:jc w:val="center"/>
            </w:pPr>
            <w:r/>
            <w:r>
              <w:rPr>
                <w:rFonts w:eastAsia="Noto Sans CJK SC" w:ascii="Calibri" w:hAnsi="Calibri"/>
                <w:b/>
                <w:color w:val="2E74B5"/>
                <w:sz w:val="17"/>
              </w:rPr>
              <w:t>模块</w:t>
            </w:r>
          </w:p>
        </w:tc>
        <w:tc>
          <w:tcPr>
            <w:tcW w:type="dxa" w:w="4392"/>
            <w:shd w:fill="D9EAF7"/>
            <w:vAlign w:val="center"/>
          </w:tcPr>
          <w:p>
            <w:pPr>
              <w:spacing w:before="0" w:after="0" w:line="252" w:lineRule="auto"/>
              <w:jc w:val="center"/>
            </w:pPr>
            <w:r/>
            <w:r>
              <w:rPr>
                <w:rFonts w:eastAsia="Noto Sans CJK SC" w:ascii="Calibri" w:hAnsi="Calibri"/>
                <w:b/>
                <w:color w:val="2E74B5"/>
                <w:sz w:val="17"/>
              </w:rPr>
              <w:t>主要能力</w:t>
            </w:r>
          </w:p>
        </w:tc>
        <w:tc>
          <w:tcPr>
            <w:tcW w:type="dxa" w:w="2880"/>
            <w:shd w:fill="D9EAF7"/>
            <w:vAlign w:val="center"/>
          </w:tcPr>
          <w:p>
            <w:pPr>
              <w:spacing w:before="0" w:after="0" w:line="252" w:lineRule="auto"/>
              <w:jc w:val="center"/>
            </w:pPr>
            <w:r/>
            <w:r>
              <w:rPr>
                <w:rFonts w:eastAsia="Noto Sans CJK SC" w:ascii="Calibri" w:hAnsi="Calibri"/>
                <w:b/>
                <w:color w:val="2E74B5"/>
                <w:sz w:val="17"/>
              </w:rPr>
              <w:t>实现边界</w:t>
            </w:r>
          </w:p>
        </w:tc>
      </w:tr>
      <w:tr>
        <w:trPr>
          <w:cantSplit/>
        </w:trPr>
        <w:tc>
          <w:tcPr>
            <w:tcW w:type="dxa" w:w="2088"/>
            <w:vAlign w:val="center"/>
          </w:tcPr>
          <w:p>
            <w:pPr>
              <w:spacing w:before="0" w:after="0" w:line="252" w:lineRule="auto"/>
              <w:jc w:val="left"/>
            </w:pPr>
            <w:r/>
            <w:r>
              <w:rPr>
                <w:rFonts w:eastAsia="Noto Sans CJK SC" w:ascii="Calibri" w:hAnsi="Calibri"/>
                <w:b/>
                <w:color w:val="263746"/>
                <w:sz w:val="15"/>
              </w:rPr>
              <w:t>内容与知识管理</w:t>
            </w:r>
          </w:p>
        </w:tc>
        <w:tc>
          <w:tcPr>
            <w:tcW w:type="dxa" w:w="4392"/>
            <w:vAlign w:val="center"/>
          </w:tcPr>
          <w:p>
            <w:pPr>
              <w:spacing w:before="0" w:after="0" w:line="252" w:lineRule="auto"/>
              <w:jc w:val="left"/>
            </w:pPr>
            <w:r/>
            <w:r>
              <w:rPr>
                <w:rFonts w:eastAsia="Noto Sans CJK SC" w:ascii="Calibri" w:hAnsi="Calibri"/>
                <w:b w:val="0"/>
                <w:color w:val="263746"/>
                <w:sz w:val="15"/>
              </w:rPr>
              <w:t>知识图谱和标签体系；术语库、试题库、素材库；LLM 自动标注工作台；标注证据、置信度、审核和版本管理。</w:t>
            </w:r>
          </w:p>
        </w:tc>
        <w:tc>
          <w:tcPr>
            <w:tcW w:type="dxa" w:w="2880"/>
            <w:vAlign w:val="center"/>
          </w:tcPr>
          <w:p>
            <w:pPr>
              <w:spacing w:before="0" w:after="0" w:line="252" w:lineRule="auto"/>
              <w:jc w:val="left"/>
            </w:pPr>
            <w:r/>
            <w:r>
              <w:rPr>
                <w:rFonts w:eastAsia="Noto Sans CJK SC" w:ascii="Calibri" w:hAnsi="Calibri"/>
                <w:b w:val="0"/>
                <w:color w:val="263746"/>
                <w:sz w:val="15"/>
              </w:rPr>
              <w:t>日常 CRUD、检索、审核与发布采用确定性 API；Agent 可通过工具接口辅助分析，但不绕过审核。</w:t>
            </w:r>
          </w:p>
        </w:tc>
      </w:tr>
      <w:tr>
        <w:trPr>
          <w:cantSplit/>
        </w:trPr>
        <w:tc>
          <w:tcPr>
            <w:tcW w:type="dxa" w:w="2088"/>
            <w:vAlign w:val="center"/>
          </w:tcPr>
          <w:p>
            <w:pPr>
              <w:spacing w:before="0" w:after="0" w:line="252" w:lineRule="auto"/>
              <w:jc w:val="left"/>
            </w:pPr>
            <w:r/>
            <w:r>
              <w:rPr>
                <w:rFonts w:eastAsia="Noto Sans CJK SC" w:ascii="Calibri" w:hAnsi="Calibri"/>
                <w:b/>
                <w:color w:val="263746"/>
                <w:sz w:val="15"/>
              </w:rPr>
              <w:t>课程与任务组装</w:t>
            </w:r>
          </w:p>
        </w:tc>
        <w:tc>
          <w:tcPr>
            <w:tcW w:type="dxa" w:w="4392"/>
            <w:vAlign w:val="center"/>
          </w:tcPr>
          <w:p>
            <w:pPr>
              <w:spacing w:before="0" w:after="0" w:line="252" w:lineRule="auto"/>
              <w:jc w:val="left"/>
            </w:pPr>
            <w:r/>
            <w:r>
              <w:rPr>
                <w:rFonts w:eastAsia="Noto Sans CJK SC" w:ascii="Calibri" w:hAnsi="Calibri"/>
                <w:b w:val="0"/>
                <w:color w:val="263746"/>
                <w:sz w:val="15"/>
              </w:rPr>
              <w:t>课程包、单元内容、教材教案、练习计划、分层作业、任务序列的组装、版本和发布。</w:t>
            </w:r>
          </w:p>
        </w:tc>
        <w:tc>
          <w:tcPr>
            <w:tcW w:type="dxa" w:w="2880"/>
            <w:vAlign w:val="center"/>
          </w:tcPr>
          <w:p>
            <w:pPr>
              <w:spacing w:before="0" w:after="0" w:line="252" w:lineRule="auto"/>
              <w:jc w:val="left"/>
            </w:pPr>
            <w:r/>
            <w:r>
              <w:rPr>
                <w:rFonts w:eastAsia="Noto Sans CJK SC" w:ascii="Calibri" w:hAnsi="Calibri"/>
                <w:b w:val="0"/>
                <w:color w:val="263746"/>
                <w:sz w:val="15"/>
              </w:rPr>
              <w:t>Agent 可生成草案，最终保存、版本化、审批和发布由业务服务完成。</w:t>
            </w:r>
          </w:p>
        </w:tc>
      </w:tr>
      <w:tr>
        <w:trPr>
          <w:cantSplit/>
        </w:trPr>
        <w:tc>
          <w:tcPr>
            <w:tcW w:type="dxa" w:w="2088"/>
            <w:vAlign w:val="center"/>
          </w:tcPr>
          <w:p>
            <w:pPr>
              <w:spacing w:before="0" w:after="0" w:line="252" w:lineRule="auto"/>
              <w:jc w:val="left"/>
            </w:pPr>
            <w:r/>
            <w:r>
              <w:rPr>
                <w:rFonts w:eastAsia="Noto Sans CJK SC" w:ascii="Calibri" w:hAnsi="Calibri"/>
                <w:b/>
                <w:color w:val="263746"/>
                <w:sz w:val="15"/>
              </w:rPr>
              <w:t>教师决策工作台</w:t>
            </w:r>
          </w:p>
        </w:tc>
        <w:tc>
          <w:tcPr>
            <w:tcW w:type="dxa" w:w="4392"/>
            <w:vAlign w:val="center"/>
          </w:tcPr>
          <w:p>
            <w:pPr>
              <w:spacing w:before="0" w:after="0" w:line="252" w:lineRule="auto"/>
              <w:jc w:val="left"/>
            </w:pPr>
            <w:r/>
            <w:r>
              <w:rPr>
                <w:rFonts w:eastAsia="Noto Sans CJK SC" w:ascii="Calibri" w:hAnsi="Calibri"/>
                <w:b w:val="0"/>
                <w:color w:val="263746"/>
                <w:sz w:val="15"/>
              </w:rPr>
              <w:t>学生/班级认知诊断、知识缺口、思维品质、学习路径与推荐依据；支持确认、修改、覆盖和重规划。</w:t>
            </w:r>
          </w:p>
        </w:tc>
        <w:tc>
          <w:tcPr>
            <w:tcW w:type="dxa" w:w="2880"/>
            <w:vAlign w:val="center"/>
          </w:tcPr>
          <w:p>
            <w:pPr>
              <w:spacing w:before="0" w:after="0" w:line="252" w:lineRule="auto"/>
              <w:jc w:val="left"/>
            </w:pPr>
            <w:r/>
            <w:r>
              <w:rPr>
                <w:rFonts w:eastAsia="Noto Sans CJK SC" w:ascii="Calibri" w:hAnsi="Calibri"/>
                <w:b w:val="0"/>
                <w:color w:val="263746"/>
                <w:sz w:val="15"/>
              </w:rPr>
              <w:t>教师拥有最终决策权，修改结果进入 Decision Trace。</w:t>
            </w:r>
          </w:p>
        </w:tc>
      </w:tr>
      <w:tr>
        <w:trPr>
          <w:cantSplit/>
        </w:trPr>
        <w:tc>
          <w:tcPr>
            <w:tcW w:type="dxa" w:w="2088"/>
            <w:vAlign w:val="center"/>
          </w:tcPr>
          <w:p>
            <w:pPr>
              <w:spacing w:before="0" w:after="0" w:line="252" w:lineRule="auto"/>
              <w:jc w:val="left"/>
            </w:pPr>
            <w:r/>
            <w:r>
              <w:rPr>
                <w:rFonts w:eastAsia="Noto Sans CJK SC" w:ascii="Calibri" w:hAnsi="Calibri"/>
                <w:b/>
                <w:color w:val="263746"/>
                <w:sz w:val="15"/>
              </w:rPr>
              <w:t>运营辅助 Operations</w:t>
            </w:r>
          </w:p>
        </w:tc>
        <w:tc>
          <w:tcPr>
            <w:tcW w:type="dxa" w:w="4392"/>
            <w:vAlign w:val="center"/>
          </w:tcPr>
          <w:p>
            <w:pPr>
              <w:spacing w:before="0" w:after="0" w:line="252" w:lineRule="auto"/>
              <w:jc w:val="left"/>
            </w:pPr>
            <w:r/>
            <w:r>
              <w:rPr>
                <w:rFonts w:eastAsia="Noto Sans CJK SC" w:ascii="Calibri" w:hAnsi="Calibri"/>
                <w:b w:val="0"/>
                <w:color w:val="263746"/>
                <w:sz w:val="15"/>
              </w:rPr>
              <w:t>Observability &amp; QC、Monitoring、Agent Tracing、标注质量、推荐质量、异常告警、报错工单与模型版本表现。</w:t>
            </w:r>
          </w:p>
        </w:tc>
        <w:tc>
          <w:tcPr>
            <w:tcW w:type="dxa" w:w="2880"/>
            <w:vAlign w:val="center"/>
          </w:tcPr>
          <w:p>
            <w:pPr>
              <w:spacing w:before="0" w:after="0" w:line="252" w:lineRule="auto"/>
              <w:jc w:val="left"/>
            </w:pPr>
            <w:r/>
            <w:r>
              <w:rPr>
                <w:rFonts w:eastAsia="Noto Sans CJK SC" w:ascii="Calibri" w:hAnsi="Calibri"/>
                <w:b w:val="0"/>
                <w:color w:val="263746"/>
                <w:sz w:val="15"/>
              </w:rPr>
              <w:t>服务教研治理和系统运维，不向学生暴露内部运营指标。</w:t>
            </w:r>
          </w:p>
        </w:tc>
      </w:tr>
      <w:tr>
        <w:tc>
          <w:tcPr>
            <w:tcW w:type="dxa" w:w="3120"/>
            <w:vAlign w:val="center"/>
          </w:tcPr>
          <w:p>
            <w:pPr>
              <w:spacing w:after="0" w:line="240" w:lineRule="auto"/>
              <w:jc w:val="left"/>
            </w:pPr>
            <w:r/>
            <w:r>
              <w:rPr>
                <w:rFonts w:ascii="Arial" w:hAnsi="Arial" w:eastAsia="Noto Sans CJK SC"/>
                <w:b w:val="0"/>
                <w:i w:val="0"/>
                <w:color w:val="25313C"/>
                <w:sz w:val="16"/>
              </w:rPr>
              <w:t>研究与证据治理</w:t>
            </w:r>
          </w:p>
        </w:tc>
        <w:tc>
          <w:tcPr>
            <w:tcW w:type="dxa" w:w="3120"/>
            <w:vAlign w:val="center"/>
          </w:tcPr>
          <w:p>
            <w:pPr>
              <w:spacing w:after="0" w:line="240" w:lineRule="auto"/>
              <w:jc w:val="left"/>
            </w:pPr>
            <w:r/>
            <w:r>
              <w:rPr>
                <w:rFonts w:ascii="Arial" w:hAnsi="Arial" w:eastAsia="Noto Sans CJK SC"/>
                <w:b w:val="0"/>
                <w:i w:val="0"/>
                <w:color w:val="25313C"/>
                <w:sz w:val="16"/>
              </w:rPr>
              <w:t>Research Agent、Academic Source Registry、Claim–Evidence Matrix、Evidence Review Report、专家审核和版本管理。</w:t>
            </w:r>
          </w:p>
        </w:tc>
        <w:tc>
          <w:tcPr>
            <w:tcW w:type="dxa" w:w="3120"/>
            <w:vAlign w:val="center"/>
          </w:tcPr>
          <w:p>
            <w:pPr>
              <w:spacing w:after="0" w:line="240" w:lineRule="auto"/>
              <w:jc w:val="left"/>
            </w:pPr>
            <w:r/>
            <w:r>
              <w:rPr>
                <w:rFonts w:ascii="Arial" w:hAnsi="Arial" w:eastAsia="Noto Sans CJK SC"/>
                <w:b w:val="0"/>
                <w:i w:val="0"/>
                <w:color w:val="25313C"/>
                <w:sz w:val="16"/>
              </w:rPr>
              <w:t>Agent 负责检索、归纳和证据映射；最终治理决定由教研专家或技术负责人作出。</w:t>
            </w:r>
          </w:p>
        </w:tc>
      </w:tr>
      <w:tr>
        <w:tc>
          <w:tcPr>
            <w:tcW w:type="dxa" w:w="3120"/>
            <w:vAlign w:val="center"/>
          </w:tcPr>
          <w:p>
            <w:pPr>
              <w:spacing w:after="0" w:line="240" w:lineRule="auto"/>
              <w:jc w:val="left"/>
            </w:pPr>
            <w:r/>
            <w:r>
              <w:rPr>
                <w:rFonts w:ascii="Arial" w:hAnsi="Arial" w:eastAsia="Noto Sans CJK SC"/>
                <w:b w:val="0"/>
                <w:i w:val="0"/>
                <w:color w:val="25313C"/>
                <w:sz w:val="16"/>
              </w:rPr>
              <w:t>质量门禁工作台</w:t>
            </w:r>
          </w:p>
        </w:tc>
        <w:tc>
          <w:tcPr>
            <w:tcW w:type="dxa" w:w="3120"/>
            <w:vAlign w:val="center"/>
          </w:tcPr>
          <w:p>
            <w:pPr>
              <w:spacing w:after="0" w:line="240" w:lineRule="auto"/>
              <w:jc w:val="left"/>
            </w:pPr>
            <w:r/>
            <w:r>
              <w:rPr>
                <w:rFonts w:ascii="Arial" w:hAnsi="Arial" w:eastAsia="Noto Sans CJK SC"/>
                <w:b w:val="0"/>
                <w:i w:val="0"/>
                <w:color w:val="25313C"/>
                <w:sz w:val="16"/>
              </w:rPr>
              <w:t>Lint 规则库、Lint Profile、体例与术语规范、价值观/安全规则、ReviewCase、自动修复对比、例外审批、误报反馈和版本管理。</w:t>
            </w:r>
          </w:p>
        </w:tc>
        <w:tc>
          <w:tcPr>
            <w:tcW w:type="dxa" w:w="3120"/>
            <w:vAlign w:val="center"/>
          </w:tcPr>
          <w:p>
            <w:pPr>
              <w:spacing w:after="0" w:line="240" w:lineRule="auto"/>
              <w:jc w:val="left"/>
            </w:pPr>
            <w:r/>
            <w:r>
              <w:rPr>
                <w:rFonts w:ascii="Arial" w:hAnsi="Arial" w:eastAsia="Noto Sans CJK SC"/>
                <w:b w:val="0"/>
                <w:i w:val="0"/>
                <w:color w:val="25313C"/>
                <w:sz w:val="16"/>
              </w:rPr>
              <w:t>确定性规则优先；语义模型辅助识别；REVIEW/BLOCK 必须人工处理并留痕。</w:t>
            </w:r>
          </w:p>
        </w:tc>
      </w:tr>
    </w:tbl>
    <w:p>
      <w:pPr>
        <w:pStyle w:val="Heading2"/>
        <w:keepNext/>
      </w:pPr>
      <w:r>
        <w:rPr>
          <w:rFonts w:eastAsia="Noto Sans CJK SC" w:ascii="Calibri" w:hAnsi="Calibri"/>
        </w:rPr>
        <w:t>9.3 学生学习端</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val="true"/>
        </w:trPr>
        <w:tc>
          <w:tcPr>
            <w:tcW w:type="dxa" w:w="2304"/>
            <w:shd w:fill="D9EAF7"/>
            <w:vAlign w:val="center"/>
          </w:tcPr>
          <w:p>
            <w:pPr>
              <w:spacing w:before="0" w:after="0" w:line="252" w:lineRule="auto"/>
              <w:jc w:val="center"/>
            </w:pPr>
            <w:r/>
            <w:r>
              <w:rPr>
                <w:rFonts w:eastAsia="Noto Sans CJK SC" w:ascii="Calibri" w:hAnsi="Calibri"/>
                <w:b/>
                <w:color w:val="2E74B5"/>
                <w:sz w:val="17"/>
              </w:rPr>
              <w:t>模块</w:t>
            </w:r>
          </w:p>
        </w:tc>
        <w:tc>
          <w:tcPr>
            <w:tcW w:type="dxa" w:w="7056"/>
            <w:shd w:fill="D9EAF7"/>
            <w:vAlign w:val="center"/>
          </w:tcPr>
          <w:p>
            <w:pPr>
              <w:spacing w:before="0" w:after="0" w:line="252" w:lineRule="auto"/>
              <w:jc w:val="center"/>
            </w:pPr>
            <w:r/>
            <w:r>
              <w:rPr>
                <w:rFonts w:eastAsia="Noto Sans CJK SC" w:ascii="Calibri" w:hAnsi="Calibri"/>
                <w:b/>
                <w:color w:val="2E74B5"/>
                <w:sz w:val="17"/>
              </w:rPr>
              <w:t>主要能力</w:t>
            </w:r>
          </w:p>
        </w:tc>
      </w:tr>
      <w:tr>
        <w:trPr>
          <w:cantSplit/>
        </w:trPr>
        <w:tc>
          <w:tcPr>
            <w:tcW w:type="dxa" w:w="2304"/>
            <w:vAlign w:val="center"/>
          </w:tcPr>
          <w:p>
            <w:pPr>
              <w:spacing w:before="0" w:after="0" w:line="252" w:lineRule="auto"/>
              <w:jc w:val="left"/>
            </w:pPr>
            <w:r/>
            <w:r>
              <w:rPr>
                <w:rFonts w:eastAsia="Noto Sans CJK SC" w:ascii="Calibri" w:hAnsi="Calibri"/>
                <w:b/>
                <w:color w:val="263746"/>
                <w:sz w:val="16"/>
              </w:rPr>
              <w:t>学习计划与资源接收</w:t>
            </w:r>
          </w:p>
        </w:tc>
        <w:tc>
          <w:tcPr>
            <w:tcW w:type="dxa" w:w="7056"/>
            <w:vAlign w:val="center"/>
          </w:tcPr>
          <w:p>
            <w:pPr>
              <w:spacing w:before="0" w:after="0" w:line="252" w:lineRule="auto"/>
              <w:jc w:val="left"/>
            </w:pPr>
            <w:r/>
            <w:r>
              <w:rPr>
                <w:rFonts w:eastAsia="Noto Sans CJK SC" w:ascii="Calibri" w:hAnsi="Calibri"/>
                <w:b w:val="0"/>
                <w:color w:val="263746"/>
                <w:sz w:val="16"/>
              </w:rPr>
              <w:t>查看本轮目标、推荐任务序列、推荐原因、预计时长、难度和完成标准。</w:t>
            </w:r>
          </w:p>
        </w:tc>
      </w:tr>
      <w:tr>
        <w:trPr>
          <w:cantSplit/>
        </w:trPr>
        <w:tc>
          <w:tcPr>
            <w:tcW w:type="dxa" w:w="2304"/>
            <w:vAlign w:val="center"/>
          </w:tcPr>
          <w:p>
            <w:pPr>
              <w:spacing w:before="0" w:after="0" w:line="252" w:lineRule="auto"/>
              <w:jc w:val="left"/>
            </w:pPr>
            <w:r/>
            <w:r>
              <w:rPr>
                <w:rFonts w:eastAsia="Noto Sans CJK SC" w:ascii="Calibri" w:hAnsi="Calibri"/>
                <w:b/>
                <w:color w:val="263746"/>
                <w:sz w:val="16"/>
              </w:rPr>
              <w:t>学习与练习</w:t>
            </w:r>
          </w:p>
        </w:tc>
        <w:tc>
          <w:tcPr>
            <w:tcW w:type="dxa" w:w="7056"/>
            <w:vAlign w:val="center"/>
          </w:tcPr>
          <w:p>
            <w:pPr>
              <w:spacing w:before="0" w:after="0" w:line="252" w:lineRule="auto"/>
              <w:jc w:val="left"/>
            </w:pPr>
            <w:r/>
            <w:r>
              <w:rPr>
                <w:rFonts w:eastAsia="Noto Sans CJK SC" w:ascii="Calibri" w:hAnsi="Calibri"/>
                <w:b w:val="0"/>
                <w:color w:val="263746"/>
                <w:sz w:val="16"/>
              </w:rPr>
              <w:t>完成听说读看写资源、客观题、开放题、写作、项目和反思任务；支持提示、草稿、修改和重做。</w:t>
            </w:r>
          </w:p>
        </w:tc>
      </w:tr>
      <w:tr>
        <w:trPr>
          <w:cantSplit/>
        </w:trPr>
        <w:tc>
          <w:tcPr>
            <w:tcW w:type="dxa" w:w="2304"/>
            <w:vAlign w:val="center"/>
          </w:tcPr>
          <w:p>
            <w:pPr>
              <w:spacing w:before="0" w:after="0" w:line="252" w:lineRule="auto"/>
              <w:jc w:val="left"/>
            </w:pPr>
            <w:r/>
            <w:r>
              <w:rPr>
                <w:rFonts w:eastAsia="Noto Sans CJK SC" w:ascii="Calibri" w:hAnsi="Calibri"/>
                <w:b/>
                <w:color w:val="263746"/>
                <w:sz w:val="16"/>
              </w:rPr>
              <w:t>解释与反思</w:t>
            </w:r>
          </w:p>
        </w:tc>
        <w:tc>
          <w:tcPr>
            <w:tcW w:type="dxa" w:w="7056"/>
            <w:vAlign w:val="center"/>
          </w:tcPr>
          <w:p>
            <w:pPr>
              <w:spacing w:before="0" w:after="0" w:line="252" w:lineRule="auto"/>
              <w:jc w:val="left"/>
            </w:pPr>
            <w:r/>
            <w:r>
              <w:rPr>
                <w:rFonts w:eastAsia="Noto Sans CJK SC" w:ascii="Calibri" w:hAnsi="Calibri"/>
                <w:b w:val="0"/>
                <w:color w:val="263746"/>
                <w:sz w:val="16"/>
              </w:rPr>
              <w:t>查询“为什么推荐”“哪里需要提高”，完成错因、策略、自评和任务难度反馈。</w:t>
            </w:r>
          </w:p>
        </w:tc>
      </w:tr>
      <w:tr>
        <w:trPr>
          <w:cantSplit/>
        </w:trPr>
        <w:tc>
          <w:tcPr>
            <w:tcW w:type="dxa" w:w="2304"/>
            <w:vAlign w:val="center"/>
          </w:tcPr>
          <w:p>
            <w:pPr>
              <w:spacing w:before="0" w:after="0" w:line="252" w:lineRule="auto"/>
              <w:jc w:val="left"/>
            </w:pPr>
            <w:r/>
            <w:r>
              <w:rPr>
                <w:rFonts w:eastAsia="Noto Sans CJK SC" w:ascii="Calibri" w:hAnsi="Calibri"/>
                <w:b/>
                <w:color w:val="263746"/>
                <w:sz w:val="16"/>
              </w:rPr>
              <w:t>结果数据回流</w:t>
            </w:r>
          </w:p>
        </w:tc>
        <w:tc>
          <w:tcPr>
            <w:tcW w:type="dxa" w:w="7056"/>
            <w:vAlign w:val="center"/>
          </w:tcPr>
          <w:p>
            <w:pPr>
              <w:spacing w:before="0" w:after="0" w:line="252" w:lineRule="auto"/>
              <w:jc w:val="left"/>
            </w:pPr>
            <w:r/>
            <w:r>
              <w:rPr>
                <w:rFonts w:eastAsia="Noto Sans CJK SC" w:ascii="Calibri" w:hAnsi="Calibri"/>
                <w:b w:val="0"/>
                <w:color w:val="263746"/>
                <w:sz w:val="16"/>
              </w:rPr>
              <w:t>回流得分、错误、时长、尝试、提示使用、交互序列、草稿修改、完成情况、反思文本和教师评价。</w:t>
            </w:r>
          </w:p>
        </w:tc>
      </w:tr>
    </w:tbl>
    <w:p>
      <w:pPr>
        <w:pStyle w:val="Heading2"/>
        <w:keepNext/>
      </w:pPr>
      <w:r>
        <w:rPr>
          <w:rFonts w:eastAsia="Noto Sans CJK SC" w:ascii="Calibri" w:hAnsi="Calibri"/>
        </w:rPr>
        <w:t>9.4 智能学习后端与 Adaptive Core</w:t>
      </w:r>
    </w:p>
    <w:p>
      <w:pPr/>
      <w:r>
        <w:rPr>
          <w:rFonts w:eastAsia="Noto Sans CJK SC" w:ascii="Calibri" w:hAnsi="Calibri"/>
        </w:rPr>
        <w:t>智能学习后端同时支持两类工作流：Content CRUD / Assembly / Publish / Delivery 等确定性业务工作流，以及 Diagnosis / Recommendation / Verification / Explanation / Reflection 等 Agentic 自适应工作流。Adaptive Core 不是另一个 Agent 层，而是“证据采集—状态建模—策略与路径规划”的算法核心。</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2520"/>
            <w:shd w:fill="D9EAF7"/>
            <w:vAlign w:val="center"/>
          </w:tcPr>
          <w:p>
            <w:pPr>
              <w:spacing w:before="0" w:after="0" w:line="252" w:lineRule="auto"/>
              <w:jc w:val="center"/>
            </w:pPr>
            <w:r>
              <w:t>Adaptive Core 层级</w:t>
            </w:r>
            <w:r>
              <w:rPr>
                <w:rFonts w:eastAsia="Noto Sans CJK SC" w:ascii="Calibri" w:hAnsi="Calibri"/>
                <w:b/>
                <w:color w:val="2E74B5"/>
                <w:sz w:val="17"/>
              </w:rPr>
            </w:r>
          </w:p>
        </w:tc>
        <w:tc>
          <w:tcPr>
            <w:tcW w:type="dxa" w:w="4680"/>
            <w:shd w:fill="D9EAF7"/>
            <w:vAlign w:val="center"/>
          </w:tcPr>
          <w:p>
            <w:pPr>
              <w:spacing w:before="0" w:after="0" w:line="252" w:lineRule="auto"/>
              <w:jc w:val="center"/>
            </w:pPr>
            <w:r>
              <w:t>输入与处理</w:t>
            </w:r>
            <w:r>
              <w:rPr>
                <w:rFonts w:eastAsia="Noto Sans CJK SC" w:ascii="Calibri" w:hAnsi="Calibri"/>
                <w:b/>
                <w:color w:val="2E74B5"/>
                <w:sz w:val="17"/>
              </w:rPr>
            </w:r>
          </w:p>
        </w:tc>
        <w:tc>
          <w:tcPr>
            <w:tcW w:type="dxa" w:w="2160"/>
            <w:shd w:fill="D9EAF7"/>
            <w:vAlign w:val="center"/>
          </w:tcPr>
          <w:p>
            <w:pPr>
              <w:spacing w:before="0" w:after="0" w:line="252" w:lineRule="auto"/>
              <w:jc w:val="center"/>
            </w:pPr>
            <w:r>
              <w:t>输出</w:t>
            </w:r>
            <w:r>
              <w:rPr>
                <w:rFonts w:eastAsia="Noto Sans CJK SC" w:ascii="Calibri" w:hAnsi="Calibri"/>
                <w:b/>
                <w:color w:val="2E74B5"/>
                <w:sz w:val="17"/>
              </w:rPr>
            </w:r>
          </w:p>
        </w:tc>
      </w:tr>
      <w:tr>
        <w:trPr>
          <w:cantSplit/>
        </w:trPr>
        <w:tc>
          <w:tcPr>
            <w:tcW w:type="dxa" w:w="2520"/>
            <w:vAlign w:val="center"/>
          </w:tcPr>
          <w:p>
            <w:pPr>
              <w:spacing w:before="0" w:after="0" w:line="252" w:lineRule="auto"/>
              <w:jc w:val="left"/>
            </w:pPr>
            <w:r>
              <w:t>Tier 1：Learning Evidence Collection</w:t>
            </w:r>
            <w:r>
              <w:rPr>
                <w:rFonts w:eastAsia="Noto Sans CJK SC" w:ascii="Calibri" w:hAnsi="Calibri"/>
                <w:b/>
                <w:color w:val="263746"/>
                <w:sz w:val="15"/>
              </w:rPr>
            </w:r>
          </w:p>
        </w:tc>
        <w:tc>
          <w:tcPr>
            <w:tcW w:type="dxa" w:w="4680"/>
            <w:vAlign w:val="center"/>
          </w:tcPr>
          <w:p>
            <w:pPr>
              <w:spacing w:before="0" w:after="0" w:line="252" w:lineRule="auto"/>
              <w:jc w:val="left"/>
            </w:pPr>
            <w:r>
              <w:t>采集 Score、Error、Time、Attempt、Hint、Click、Draft、Completion、Reflection、Teacher Annotation 等原始信号。</w:t>
            </w:r>
            <w:r>
              <w:rPr>
                <w:rFonts w:eastAsia="Noto Sans CJK SC" w:ascii="Calibri" w:hAnsi="Calibri"/>
                <w:b w:val="0"/>
                <w:color w:val="263746"/>
                <w:sz w:val="15"/>
              </w:rPr>
            </w:r>
          </w:p>
        </w:tc>
        <w:tc>
          <w:tcPr>
            <w:tcW w:type="dxa" w:w="2160"/>
            <w:vAlign w:val="center"/>
          </w:tcPr>
          <w:p>
            <w:pPr>
              <w:spacing w:before="0" w:after="0" w:line="252" w:lineRule="auto"/>
              <w:jc w:val="left"/>
            </w:pPr>
            <w:r>
              <w:t>标准化 Learning Evidence 与质量标记。</w:t>
            </w:r>
            <w:r>
              <w:rPr>
                <w:rFonts w:eastAsia="Noto Sans CJK SC" w:ascii="Calibri" w:hAnsi="Calibri"/>
                <w:b w:val="0"/>
                <w:color w:val="263746"/>
                <w:sz w:val="15"/>
              </w:rPr>
            </w:r>
          </w:p>
        </w:tc>
      </w:tr>
      <w:tr>
        <w:trPr>
          <w:cantSplit/>
        </w:trPr>
        <w:tc>
          <w:tcPr>
            <w:tcW w:type="dxa" w:w="2520"/>
            <w:vAlign w:val="center"/>
          </w:tcPr>
          <w:p>
            <w:pPr>
              <w:spacing w:before="0" w:after="0" w:line="252" w:lineRule="auto"/>
              <w:jc w:val="left"/>
            </w:pPr>
            <w:r>
              <w:t>Tier 2：Learner State Modeling</w:t>
            </w:r>
            <w:r>
              <w:rPr>
                <w:rFonts w:eastAsia="Noto Sans CJK SC" w:ascii="Calibri" w:hAnsi="Calibri"/>
                <w:b/>
                <w:color w:val="263746"/>
                <w:sz w:val="15"/>
              </w:rPr>
            </w:r>
          </w:p>
        </w:tc>
        <w:tc>
          <w:tcPr>
            <w:tcW w:type="dxa" w:w="4680"/>
            <w:vAlign w:val="center"/>
          </w:tcPr>
          <w:p>
            <w:pPr>
              <w:spacing w:before="0" w:after="0" w:line="252" w:lineRule="auto"/>
              <w:jc w:val="left"/>
            </w:pPr>
            <w:r>
              <w:t>由 BKT Knowledge Tracker、IRT Ability/Difficulty Model、Bloom Estimator、Skill/Thinking Models、Behavior/Strategy Analyzer 和 State Aggregator 建模。</w:t>
            </w:r>
            <w:r>
              <w:rPr>
                <w:rFonts w:eastAsia="Noto Sans CJK SC" w:ascii="Calibri" w:hAnsi="Calibri"/>
                <w:b w:val="0"/>
                <w:color w:val="263746"/>
                <w:sz w:val="15"/>
              </w:rPr>
            </w:r>
          </w:p>
        </w:tc>
        <w:tc>
          <w:tcPr>
            <w:tcW w:type="dxa" w:w="2160"/>
            <w:vAlign w:val="center"/>
          </w:tcPr>
          <w:p>
            <w:pPr>
              <w:spacing w:before="0" w:after="0" w:line="252" w:lineRule="auto"/>
              <w:jc w:val="left"/>
            </w:pPr>
            <w:r>
              <w:t>结构化 Learner State：P(L)、θ 与标准误、任务难度 b、Bloom、技能、思维、行为、策略、偏好、负荷与置信度。</w:t>
            </w:r>
            <w:r>
              <w:rPr>
                <w:rFonts w:eastAsia="Noto Sans CJK SC" w:ascii="Calibri" w:hAnsi="Calibri"/>
                <w:b w:val="0"/>
                <w:color w:val="263746"/>
                <w:sz w:val="15"/>
              </w:rPr>
            </w:r>
          </w:p>
        </w:tc>
      </w:tr>
      <w:tr>
        <w:trPr>
          <w:cantSplit/>
        </w:trPr>
        <w:tc>
          <w:tcPr>
            <w:tcW w:type="dxa" w:w="2520"/>
            <w:vAlign w:val="center"/>
          </w:tcPr>
          <w:p>
            <w:pPr>
              <w:spacing w:before="0" w:after="0" w:line="252" w:lineRule="auto"/>
              <w:jc w:val="left"/>
            </w:pPr>
            <w:r>
              <w:t>Tier 3：Rule-based Path Planning</w:t>
            </w:r>
            <w:r>
              <w:rPr>
                <w:rFonts w:eastAsia="Noto Sans CJK SC" w:ascii="Calibri" w:hAnsi="Calibri"/>
                <w:b/>
                <w:color w:val="263746"/>
                <w:sz w:val="15"/>
              </w:rPr>
            </w:r>
          </w:p>
        </w:tc>
        <w:tc>
          <w:tcPr>
            <w:tcW w:type="dxa" w:w="4680"/>
            <w:vAlign w:val="center"/>
          </w:tcPr>
          <w:p>
            <w:pPr>
              <w:spacing w:before="0" w:after="0" w:line="252" w:lineRule="auto"/>
              <w:jc w:val="left"/>
            </w:pPr>
            <w:r>
              <w:t>执行候选召回、硬过滤、规则评分、路径序列组装、IRT 难度区间控制、复习/负荷/多样性策略、规则冲突与回退。</w:t>
            </w:r>
            <w:r>
              <w:rPr>
                <w:rFonts w:eastAsia="Noto Sans CJK SC" w:ascii="Calibri" w:hAnsi="Calibri"/>
                <w:b w:val="0"/>
                <w:color w:val="263746"/>
                <w:sz w:val="15"/>
              </w:rPr>
            </w:r>
          </w:p>
        </w:tc>
        <w:tc>
          <w:tcPr>
            <w:tcW w:type="dxa" w:w="2160"/>
            <w:vAlign w:val="center"/>
          </w:tcPr>
          <w:p>
            <w:pPr>
              <w:spacing w:before="0" w:after="0" w:line="252" w:lineRule="auto"/>
              <w:jc w:val="left"/>
            </w:pPr>
            <w:r>
              <w:t>Candidate Learning Path、规则命中与排除清单、预计难度/时长和可审计决策依据。</w:t>
            </w:r>
            <w:r>
              <w:rPr>
                <w:rFonts w:eastAsia="Noto Sans CJK SC" w:ascii="Calibri" w:hAnsi="Calibri"/>
                <w:b w:val="0"/>
                <w:color w:val="263746"/>
                <w:sz w:val="15"/>
              </w:rPr>
            </w:r>
          </w:p>
        </w:tc>
      </w:tr>
    </w:tbl>
    <w:p>
      <w:pPr>
        <w:pStyle w:val="Heading2"/>
        <w:keepNext/>
        <w:spacing w:before="140" w:after="80"/>
      </w:pPr>
      <w:r>
        <w:t>9.5 Agent 决策层</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2088"/>
            <w:shd w:fill="D9EAF7"/>
            <w:vAlign w:val="center"/>
          </w:tcPr>
          <w:p>
            <w:pPr>
              <w:spacing w:before="0" w:after="0" w:line="252" w:lineRule="auto"/>
              <w:jc w:val="center"/>
            </w:pPr>
            <w:r>
              <w:t>Agent</w:t>
            </w:r>
            <w:r>
              <w:rPr>
                <w:rFonts w:eastAsia="Noto Sans CJK SC" w:ascii="Calibri" w:hAnsi="Calibri"/>
                <w:b/>
                <w:color w:val="2E74B5"/>
                <w:sz w:val="17"/>
              </w:rPr>
            </w:r>
          </w:p>
        </w:tc>
        <w:tc>
          <w:tcPr>
            <w:tcW w:type="dxa" w:w="4680"/>
            <w:shd w:fill="D9EAF7"/>
            <w:vAlign w:val="center"/>
          </w:tcPr>
          <w:p>
            <w:pPr>
              <w:spacing w:before="0" w:after="0" w:line="252" w:lineRule="auto"/>
              <w:jc w:val="center"/>
            </w:pPr>
            <w:r>
              <w:t>核心职责</w:t>
            </w:r>
            <w:r>
              <w:rPr>
                <w:rFonts w:eastAsia="Noto Sans CJK SC" w:ascii="Calibri" w:hAnsi="Calibri"/>
                <w:b/>
                <w:color w:val="2E74B5"/>
                <w:sz w:val="17"/>
              </w:rPr>
            </w:r>
          </w:p>
        </w:tc>
        <w:tc>
          <w:tcPr>
            <w:tcW w:type="dxa" w:w="2592"/>
            <w:shd w:fill="D9EAF7"/>
            <w:vAlign w:val="center"/>
          </w:tcPr>
          <w:p>
            <w:pPr>
              <w:spacing w:before="0" w:after="0" w:line="252" w:lineRule="auto"/>
              <w:jc w:val="center"/>
            </w:pPr>
            <w:r>
              <w:t>主要调用与输出</w:t>
            </w:r>
            <w:r>
              <w:rPr>
                <w:rFonts w:eastAsia="Noto Sans CJK SC" w:ascii="Calibri" w:hAnsi="Calibri"/>
                <w:b/>
                <w:color w:val="2E74B5"/>
                <w:sz w:val="17"/>
              </w:rPr>
            </w:r>
          </w:p>
        </w:tc>
      </w:tr>
      <w:tr>
        <w:trPr>
          <w:cantSplit/>
        </w:trPr>
        <w:tc>
          <w:tcPr>
            <w:tcW w:type="dxa" w:w="2088"/>
            <w:vAlign w:val="center"/>
          </w:tcPr>
          <w:p>
            <w:pPr>
              <w:spacing w:before="0" w:after="0" w:line="252" w:lineRule="auto"/>
              <w:jc w:val="left"/>
            </w:pPr>
            <w:r>
              <w:t>Cognitive Diagnosis Agent</w:t>
            </w:r>
            <w:r>
              <w:rPr>
                <w:rFonts w:eastAsia="Noto Sans CJK SC" w:ascii="Calibri" w:hAnsi="Calibri"/>
                <w:b/>
                <w:color w:val="263746"/>
                <w:sz w:val="15"/>
              </w:rPr>
            </w:r>
          </w:p>
        </w:tc>
        <w:tc>
          <w:tcPr>
            <w:tcW w:type="dxa" w:w="4680"/>
            <w:vAlign w:val="center"/>
          </w:tcPr>
          <w:p>
            <w:pPr>
              <w:spacing w:before="0" w:after="0" w:line="252" w:lineRule="auto"/>
              <w:jc w:val="left"/>
            </w:pPr>
            <w:r>
              <w:t>综合 BKT 知识状态、IRT 能力区间、Bloom 深度、语言技能、学习行为和学习策略形成认知诊断。</w:t>
            </w:r>
            <w:r>
              <w:rPr>
                <w:rFonts w:eastAsia="Noto Sans CJK SC" w:ascii="Calibri" w:hAnsi="Calibri"/>
                <w:b w:val="0"/>
                <w:color w:val="263746"/>
                <w:sz w:val="15"/>
              </w:rPr>
            </w:r>
          </w:p>
        </w:tc>
        <w:tc>
          <w:tcPr>
            <w:tcW w:type="dxa" w:w="2592"/>
            <w:vAlign w:val="center"/>
          </w:tcPr>
          <w:p>
            <w:pPr>
              <w:spacing w:before="0" w:after="0" w:line="252" w:lineRule="auto"/>
              <w:jc w:val="left"/>
            </w:pPr>
            <w:r>
              <w:t>调用 Profile、BKT、IRT、Behavior/Strategy Services；输出诊断摘要、证据、置信度和不确定性。</w:t>
            </w:r>
            <w:r>
              <w:rPr>
                <w:rFonts w:eastAsia="Noto Sans CJK SC" w:ascii="Calibri" w:hAnsi="Calibri"/>
                <w:b w:val="0"/>
                <w:color w:val="263746"/>
                <w:sz w:val="15"/>
              </w:rPr>
            </w:r>
          </w:p>
        </w:tc>
      </w:tr>
      <w:tr>
        <w:trPr>
          <w:cantSplit/>
        </w:trPr>
        <w:tc>
          <w:tcPr>
            <w:tcW w:type="dxa" w:w="2088"/>
            <w:vAlign w:val="center"/>
          </w:tcPr>
          <w:p>
            <w:pPr>
              <w:spacing w:before="0" w:after="0" w:line="252" w:lineRule="auto"/>
              <w:jc w:val="left"/>
            </w:pPr>
            <w:r>
              <w:t>Thinking Quality Diagnosis Agent</w:t>
            </w:r>
            <w:r>
              <w:rPr>
                <w:rFonts w:eastAsia="Noto Sans CJK SC" w:ascii="Calibri" w:hAnsi="Calibri"/>
                <w:b/>
                <w:color w:val="263746"/>
                <w:sz w:val="15"/>
              </w:rPr>
            </w:r>
          </w:p>
        </w:tc>
        <w:tc>
          <w:tcPr>
            <w:tcW w:type="dxa" w:w="4680"/>
            <w:vAlign w:val="center"/>
          </w:tcPr>
          <w:p>
            <w:pPr>
              <w:spacing w:before="0" w:after="0" w:line="252" w:lineRule="auto"/>
              <w:jc w:val="left"/>
            </w:pPr>
            <w:r>
              <w:t>依据课标量规分析观察与辨析、归纳与推断、批判与创新。</w:t>
            </w:r>
            <w:r>
              <w:rPr>
                <w:rFonts w:eastAsia="Noto Sans CJK SC" w:ascii="Calibri" w:hAnsi="Calibri"/>
                <w:b w:val="0"/>
                <w:color w:val="263746"/>
                <w:sz w:val="15"/>
              </w:rPr>
            </w:r>
          </w:p>
        </w:tc>
        <w:tc>
          <w:tcPr>
            <w:tcW w:type="dxa" w:w="2592"/>
            <w:vAlign w:val="center"/>
          </w:tcPr>
          <w:p>
            <w:pPr>
              <w:spacing w:before="0" w:after="0" w:line="252" w:lineRule="auto"/>
              <w:jc w:val="left"/>
            </w:pPr>
            <w:r>
              <w:t>调用 Rubric Scoring 与 Evidence Store；输出三维思维品质画像和证据覆盖。</w:t>
            </w:r>
            <w:r>
              <w:rPr>
                <w:rFonts w:eastAsia="Noto Sans CJK SC" w:ascii="Calibri" w:hAnsi="Calibri"/>
                <w:b w:val="0"/>
                <w:color w:val="263746"/>
                <w:sz w:val="15"/>
              </w:rPr>
            </w:r>
          </w:p>
        </w:tc>
      </w:tr>
      <w:tr>
        <w:trPr>
          <w:cantSplit/>
        </w:trPr>
        <w:tc>
          <w:tcPr>
            <w:tcW w:type="dxa" w:w="2088"/>
            <w:vAlign w:val="center"/>
          </w:tcPr>
          <w:p>
            <w:pPr>
              <w:spacing w:before="0" w:after="0" w:line="252" w:lineRule="auto"/>
              <w:jc w:val="left"/>
            </w:pPr>
            <w:r>
              <w:t>Recommendation Agent</w:t>
            </w:r>
            <w:r>
              <w:rPr>
                <w:rFonts w:eastAsia="Noto Sans CJK SC" w:ascii="Calibri" w:hAnsi="Calibri"/>
                <w:b/>
                <w:color w:val="263746"/>
                <w:sz w:val="15"/>
              </w:rPr>
            </w:r>
          </w:p>
        </w:tc>
        <w:tc>
          <w:tcPr>
            <w:tcW w:type="dxa" w:w="4680"/>
            <w:vAlign w:val="center"/>
          </w:tcPr>
          <w:p>
            <w:pPr>
              <w:spacing w:before="0" w:after="0" w:line="252" w:lineRule="auto"/>
              <w:jc w:val="left"/>
            </w:pPr>
            <w:r>
              <w:t>根据教学目标和结构化 Learner State 调用任务检索和规则推荐引擎；不得绕过规则、Lint 或教师约束。</w:t>
            </w:r>
            <w:r>
              <w:rPr>
                <w:rFonts w:eastAsia="Noto Sans CJK SC" w:ascii="Calibri" w:hAnsi="Calibri"/>
                <w:b w:val="0"/>
                <w:color w:val="263746"/>
                <w:sz w:val="15"/>
              </w:rPr>
            </w:r>
          </w:p>
        </w:tc>
        <w:tc>
          <w:tcPr>
            <w:tcW w:type="dxa" w:w="2592"/>
            <w:vAlign w:val="center"/>
          </w:tcPr>
          <w:p>
            <w:pPr>
              <w:spacing w:before="0" w:after="0" w:line="252" w:lineRule="auto"/>
              <w:jc w:val="left"/>
            </w:pPr>
            <w:r>
              <w:t>输出候选路径、规则命中、候选排除、预计难度/时长和审计解释草案。</w:t>
            </w:r>
            <w:r>
              <w:rPr>
                <w:rFonts w:eastAsia="Noto Sans CJK SC" w:ascii="Calibri" w:hAnsi="Calibri"/>
                <w:b w:val="0"/>
                <w:color w:val="263746"/>
                <w:sz w:val="15"/>
              </w:rPr>
            </w:r>
          </w:p>
        </w:tc>
      </w:tr>
      <w:tr>
        <w:trPr>
          <w:cantSplit/>
        </w:trPr>
        <w:tc>
          <w:tcPr>
            <w:tcW w:type="dxa" w:w="2088"/>
            <w:vAlign w:val="center"/>
          </w:tcPr>
          <w:p>
            <w:pPr>
              <w:spacing w:before="0" w:after="0" w:line="252" w:lineRule="auto"/>
              <w:jc w:val="left"/>
            </w:pPr>
            <w:r>
              <w:t>Verifier Agent</w:t>
            </w:r>
            <w:r>
              <w:rPr>
                <w:rFonts w:eastAsia="Noto Sans CJK SC" w:ascii="Calibri" w:hAnsi="Calibri"/>
                <w:b/>
                <w:color w:val="263746"/>
                <w:sz w:val="15"/>
              </w:rPr>
            </w:r>
          </w:p>
        </w:tc>
        <w:tc>
          <w:tcPr>
            <w:tcW w:type="dxa" w:w="4680"/>
            <w:vAlign w:val="center"/>
          </w:tcPr>
          <w:p>
            <w:pPr>
              <w:spacing w:before="0" w:after="0" w:line="252" w:lineRule="auto"/>
              <w:jc w:val="left"/>
            </w:pPr>
            <w:r>
              <w:t>独立校验认知状态、IRT 难度区间、课标、Bloom 推进、思维目标、负荷、资源有效性与标注可信度。</w:t>
            </w:r>
            <w:r>
              <w:rPr>
                <w:rFonts w:eastAsia="Noto Sans CJK SC" w:ascii="Calibri" w:hAnsi="Calibri"/>
                <w:b w:val="0"/>
                <w:color w:val="263746"/>
                <w:sz w:val="15"/>
              </w:rPr>
            </w:r>
          </w:p>
        </w:tc>
        <w:tc>
          <w:tcPr>
            <w:tcW w:type="dxa" w:w="2592"/>
            <w:vAlign w:val="center"/>
          </w:tcPr>
          <w:p>
            <w:pPr>
              <w:spacing w:before="0" w:after="0" w:line="252" w:lineRule="auto"/>
              <w:jc w:val="left"/>
            </w:pPr>
            <w:r>
              <w:t>输出通过、拒绝、降级、替换、重排或人工复核指令。</w:t>
            </w:r>
            <w:r>
              <w:rPr>
                <w:rFonts w:eastAsia="Noto Sans CJK SC" w:ascii="Calibri" w:hAnsi="Calibri"/>
                <w:b w:val="0"/>
                <w:color w:val="263746"/>
                <w:sz w:val="15"/>
              </w:rPr>
            </w:r>
          </w:p>
        </w:tc>
      </w:tr>
      <w:tr>
        <w:trPr>
          <w:cantSplit/>
        </w:trPr>
        <w:tc>
          <w:tcPr>
            <w:tcW w:type="dxa" w:w="2088"/>
            <w:vAlign w:val="center"/>
          </w:tcPr>
          <w:p>
            <w:pPr>
              <w:spacing w:before="0" w:after="0" w:line="252" w:lineRule="auto"/>
              <w:jc w:val="left"/>
            </w:pPr>
            <w:r>
              <w:t>Explainer &amp; Reflection Agent</w:t>
            </w:r>
            <w:r>
              <w:rPr>
                <w:rFonts w:eastAsia="Noto Sans CJK SC" w:ascii="Calibri" w:hAnsi="Calibri"/>
                <w:b/>
                <w:color w:val="263746"/>
                <w:sz w:val="15"/>
              </w:rPr>
            </w:r>
          </w:p>
        </w:tc>
        <w:tc>
          <w:tcPr>
            <w:tcW w:type="dxa" w:w="4680"/>
            <w:vAlign w:val="center"/>
          </w:tcPr>
          <w:p>
            <w:pPr>
              <w:spacing w:before="0" w:after="0" w:line="252" w:lineRule="auto"/>
              <w:jc w:val="left"/>
            </w:pPr>
            <w:r>
              <w:t>从结构化 Decision Trace 生成教师审计说明和学生版解释，并生成错因、策略和自我监控反思提示。</w:t>
            </w:r>
            <w:r>
              <w:rPr>
                <w:rFonts w:eastAsia="Noto Sans CJK SC" w:ascii="Calibri" w:hAnsi="Calibri"/>
                <w:b w:val="0"/>
                <w:color w:val="263746"/>
                <w:sz w:val="15"/>
              </w:rPr>
            </w:r>
          </w:p>
        </w:tc>
        <w:tc>
          <w:tcPr>
            <w:tcW w:type="dxa" w:w="2592"/>
            <w:vAlign w:val="center"/>
          </w:tcPr>
          <w:p>
            <w:pPr>
              <w:spacing w:before="0" w:after="0" w:line="252" w:lineRule="auto"/>
              <w:jc w:val="left"/>
            </w:pPr>
            <w:r>
              <w:t>输出 TeacherAuditExplanation、StudentExplanation、反思任务与反馈数据。</w:t>
            </w:r>
            <w:r>
              <w:rPr>
                <w:rFonts w:eastAsia="Noto Sans CJK SC" w:ascii="Calibri" w:hAnsi="Calibri"/>
                <w:b w:val="0"/>
                <w:color w:val="263746"/>
                <w:sz w:val="15"/>
              </w:rPr>
            </w:r>
          </w:p>
        </w:tc>
      </w:tr>
      <w:tr>
        <w:tc>
          <w:tcPr>
            <w:tcW w:type="dxa" w:w="3120"/>
            <w:vAlign w:val="center"/>
          </w:tcPr>
          <w:p>
            <w:pPr>
              <w:spacing w:after="0" w:line="240" w:lineRule="auto"/>
              <w:jc w:val="left"/>
            </w:pPr>
            <w:r>
              <w:t>Research &amp; Evidence Review Agent</w:t>
            </w:r>
            <w:r>
              <w:rPr>
                <w:rFonts w:ascii="Arial" w:hAnsi="Arial" w:eastAsia="Noto Sans CJK SC"/>
                <w:b w:val="0"/>
                <w:i w:val="0"/>
                <w:color w:val="25313C"/>
                <w:sz w:val="16"/>
              </w:rPr>
            </w:r>
          </w:p>
        </w:tc>
        <w:tc>
          <w:tcPr>
            <w:tcW w:type="dxa" w:w="3120"/>
            <w:vAlign w:val="center"/>
          </w:tcPr>
          <w:p>
            <w:pPr>
              <w:spacing w:after="0" w:line="240" w:lineRule="auto"/>
              <w:jc w:val="left"/>
            </w:pPr>
            <w:r>
              <w:t>拆解方案、算法、量规与评估主张，检索和评价权威来源，生成 Claim–Evidence Matrix，并识别冲突、证据空白和过度外推。</w:t>
            </w:r>
            <w:r>
              <w:rPr>
                <w:rFonts w:ascii="Arial" w:hAnsi="Arial" w:eastAsia="Noto Sans CJK SC"/>
                <w:b w:val="0"/>
                <w:i w:val="0"/>
                <w:color w:val="25313C"/>
                <w:sz w:val="16"/>
              </w:rPr>
            </w:r>
          </w:p>
        </w:tc>
        <w:tc>
          <w:tcPr>
            <w:tcW w:type="dxa" w:w="3120"/>
            <w:vAlign w:val="center"/>
          </w:tcPr>
          <w:p>
            <w:pPr>
              <w:spacing w:after="0" w:line="240" w:lineRule="auto"/>
              <w:jc w:val="left"/>
            </w:pPr>
            <w:r>
              <w:t>调用 Academic Retrieval、Source Quality、Citation Verification 和 Evidence Registry；输出证据状态、适用条件、审查报告与后续实验要求。</w:t>
            </w:r>
            <w:r>
              <w:rPr>
                <w:rFonts w:ascii="Arial" w:hAnsi="Arial" w:eastAsia="Noto Sans CJK SC"/>
                <w:b w:val="0"/>
                <w:i w:val="0"/>
                <w:color w:val="25313C"/>
                <w:sz w:val="16"/>
              </w:rPr>
            </w:r>
          </w:p>
        </w:tc>
      </w:tr>
    </w:tbl>
    <w:p>
      <w:pPr>
        <w:pStyle w:val="Heading2"/>
        <w:keepNext/>
        <w:spacing w:before="140" w:after="80"/>
      </w:pPr>
      <w:r>
        <w:t>9.6 模型与工具服务层</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val="true"/>
        </w:trPr>
        <w:tc>
          <w:tcPr>
            <w:tcW w:type="dxa" w:w="2880"/>
            <w:shd w:fill="D9EAF7"/>
            <w:vAlign w:val="center"/>
          </w:tcPr>
          <w:p>
            <w:pPr>
              <w:spacing w:before="0" w:after="0" w:line="252" w:lineRule="auto"/>
              <w:jc w:val="center"/>
            </w:pPr>
            <w:r>
              <w:t>服务组件</w:t>
            </w:r>
            <w:r>
              <w:rPr>
                <w:rFonts w:eastAsia="Noto Sans CJK SC" w:ascii="Calibri" w:hAnsi="Calibri"/>
                <w:b/>
                <w:color w:val="2E74B5"/>
                <w:sz w:val="17"/>
              </w:rPr>
            </w:r>
          </w:p>
        </w:tc>
        <w:tc>
          <w:tcPr>
            <w:tcW w:type="dxa" w:w="6480"/>
            <w:shd w:fill="D9EAF7"/>
            <w:vAlign w:val="center"/>
          </w:tcPr>
          <w:p>
            <w:pPr>
              <w:spacing w:before="0" w:after="0" w:line="252" w:lineRule="auto"/>
              <w:jc w:val="center"/>
            </w:pPr>
            <w:r>
              <w:t>作用</w:t>
            </w:r>
            <w:r>
              <w:rPr>
                <w:rFonts w:eastAsia="Noto Sans CJK SC" w:ascii="Calibri" w:hAnsi="Calibri"/>
                <w:b/>
                <w:color w:val="2E74B5"/>
                <w:sz w:val="17"/>
              </w:rPr>
            </w:r>
          </w:p>
        </w:tc>
      </w:tr>
      <w:tr>
        <w:trPr>
          <w:cantSplit/>
        </w:trPr>
        <w:tc>
          <w:tcPr>
            <w:tcW w:type="dxa" w:w="2880"/>
            <w:vAlign w:val="center"/>
          </w:tcPr>
          <w:p>
            <w:pPr>
              <w:spacing w:before="0" w:after="0" w:line="252" w:lineRule="auto"/>
              <w:jc w:val="left"/>
            </w:pPr>
            <w:r>
              <w:t>LLM Service</w:t>
            </w:r>
            <w:r>
              <w:rPr>
                <w:rFonts w:eastAsia="Noto Sans CJK SC" w:ascii="Calibri" w:hAnsi="Calibri"/>
                <w:b/>
                <w:color w:val="263746"/>
                <w:sz w:val="15"/>
              </w:rPr>
            </w:r>
          </w:p>
        </w:tc>
        <w:tc>
          <w:tcPr>
            <w:tcW w:type="dxa" w:w="6480"/>
            <w:vAlign w:val="center"/>
          </w:tcPr>
          <w:p>
            <w:pPr>
              <w:spacing w:before="0" w:after="0" w:line="252" w:lineRule="auto"/>
              <w:jc w:val="left"/>
            </w:pPr>
            <w:r>
              <w:t>用于内容理解、诊断归纳、开放题辅助评分、教师审计说明和学生版反思引导；不直接决定任务排序。</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Content Parser</w:t>
            </w:r>
            <w:r>
              <w:rPr>
                <w:rFonts w:eastAsia="Noto Sans CJK SC" w:ascii="Calibri" w:hAnsi="Calibri"/>
                <w:b/>
                <w:color w:val="263746"/>
                <w:sz w:val="15"/>
              </w:rPr>
            </w:r>
          </w:p>
        </w:tc>
        <w:tc>
          <w:tcPr>
            <w:tcW w:type="dxa" w:w="6480"/>
            <w:vAlign w:val="center"/>
          </w:tcPr>
          <w:p>
            <w:pPr>
              <w:spacing w:before="0" w:after="0" w:line="252" w:lineRule="auto"/>
              <w:jc w:val="left"/>
            </w:pPr>
            <w:r>
              <w:t>解析题干、选项、答案、材料、音频转写、写作要求、量规、年级和单元信息。</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LLM Annotation Service</w:t>
            </w:r>
            <w:r>
              <w:rPr>
                <w:rFonts w:eastAsia="Noto Sans CJK SC" w:ascii="Calibri" w:hAnsi="Calibri"/>
                <w:b/>
                <w:color w:val="263746"/>
                <w:sz w:val="15"/>
              </w:rPr>
            </w:r>
          </w:p>
        </w:tc>
        <w:tc>
          <w:tcPr>
            <w:tcW w:type="dxa" w:w="6480"/>
            <w:vAlign w:val="center"/>
          </w:tcPr>
          <w:p>
            <w:pPr>
              <w:spacing w:before="0" w:after="0" w:line="252" w:lineRule="auto"/>
              <w:jc w:val="left"/>
            </w:pPr>
            <w:r>
              <w:t>对内容执行知识点、技能、Bloom、思维品质和可观测行为的分阶段自动标注。</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Taxonomy Retrieval Service</w:t>
            </w:r>
            <w:r>
              <w:rPr>
                <w:rFonts w:eastAsia="Noto Sans CJK SC" w:ascii="Calibri" w:hAnsi="Calibri"/>
                <w:b/>
                <w:color w:val="263746"/>
                <w:sz w:val="15"/>
              </w:rPr>
            </w:r>
          </w:p>
        </w:tc>
        <w:tc>
          <w:tcPr>
            <w:tcW w:type="dxa" w:w="6480"/>
            <w:vAlign w:val="center"/>
          </w:tcPr>
          <w:p>
            <w:pPr>
              <w:spacing w:before="0" w:after="0" w:line="252" w:lineRule="auto"/>
              <w:jc w:val="left"/>
            </w:pPr>
            <w:r>
              <w:t>从 Knowledge Graph / Taxonomy 检索候选标签，限制自由生成并处理 NO_MATCH / 新标签申请。</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Annotation QC &amp; Confidence Calibration</w:t>
            </w:r>
            <w:r>
              <w:rPr>
                <w:rFonts w:eastAsia="Noto Sans CJK SC" w:ascii="Calibri" w:hAnsi="Calibri"/>
                <w:b/>
                <w:color w:val="263746"/>
                <w:sz w:val="15"/>
              </w:rPr>
            </w:r>
          </w:p>
        </w:tc>
        <w:tc>
          <w:tcPr>
            <w:tcW w:type="dxa" w:w="6480"/>
            <w:vAlign w:val="center"/>
          </w:tcPr>
          <w:p>
            <w:pPr>
              <w:spacing w:before="0" w:after="0" w:line="252" w:lineRule="auto"/>
              <w:jc w:val="left"/>
            </w:pPr>
            <w:r>
              <w:t>执行规则一致性、证据定位、冲突检测、置信度校准和高/中/低置信分流。</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BKT Service</w:t>
            </w:r>
            <w:r>
              <w:rPr>
                <w:rFonts w:eastAsia="Noto Sans CJK SC" w:ascii="Calibri" w:hAnsi="Calibri"/>
                <w:b/>
                <w:color w:val="263746"/>
                <w:sz w:val="15"/>
              </w:rPr>
            </w:r>
          </w:p>
        </w:tc>
        <w:tc>
          <w:tcPr>
            <w:tcW w:type="dxa" w:w="6480"/>
            <w:vAlign w:val="center"/>
          </w:tcPr>
          <w:p>
            <w:pPr>
              <w:spacing w:before="0" w:after="0" w:line="252" w:lineRule="auto"/>
              <w:jc w:val="left"/>
            </w:pPr>
            <w:r>
              <w:t>按知识点根据连续学习证据更新掌握概率 P(L)，保存先验、学习率、猜测/失误参数、状态置信度和版本。</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IRT Service</w:t>
            </w:r>
            <w:r>
              <w:rPr>
                <w:rFonts w:eastAsia="Noto Sans CJK SC" w:ascii="Calibri" w:hAnsi="Calibri"/>
                <w:b/>
                <w:color w:val="263746"/>
                <w:sz w:val="15"/>
              </w:rPr>
            </w:r>
          </w:p>
        </w:tc>
        <w:tc>
          <w:tcPr>
            <w:tcW w:type="dxa" w:w="6480"/>
            <w:vAlign w:val="center"/>
          </w:tcPr>
          <w:p>
            <w:pPr>
              <w:spacing w:before="0" w:after="0" w:line="252" w:lineRule="auto"/>
              <w:jc w:val="left"/>
            </w:pPr>
            <w:r>
              <w:t>估计学生能力 θ、标准误和任务难度 b；数据充足时可扩展区分度 a，用于难度匹配、信息量分析和参数校准。</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Rule Recommendation Engine &amp; Path Planner</w:t>
            </w:r>
            <w:r>
              <w:rPr>
                <w:rFonts w:eastAsia="Noto Sans CJK SC" w:ascii="Calibri" w:hAnsi="Calibri"/>
                <w:b/>
                <w:color w:val="263746"/>
                <w:sz w:val="15"/>
              </w:rPr>
            </w:r>
          </w:p>
        </w:tc>
        <w:tc>
          <w:tcPr>
            <w:tcW w:type="dxa" w:w="6480"/>
            <w:vAlign w:val="center"/>
          </w:tcPr>
          <w:p>
            <w:pPr>
              <w:spacing w:before="0" w:after="0" w:line="252" w:lineRule="auto"/>
              <w:jc w:val="left"/>
            </w:pPr>
            <w:r>
              <w:t>依据掌握缺口、θ-b 匹配、课程目标、Bloom/思维目标、时长、重复、多样性和教师约束完成候选过滤、规则评分、排序、序列组装、冲突检测与回退。</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Behavior &amp; Strategy Feature Service</w:t>
            </w:r>
            <w:r>
              <w:rPr>
                <w:rFonts w:eastAsia="Noto Sans CJK SC" w:ascii="Calibri" w:hAnsi="Calibri"/>
                <w:b/>
                <w:color w:val="263746"/>
                <w:sz w:val="15"/>
              </w:rPr>
            </w:r>
          </w:p>
        </w:tc>
        <w:tc>
          <w:tcPr>
            <w:tcW w:type="dxa" w:w="6480"/>
            <w:vAlign w:val="center"/>
          </w:tcPr>
          <w:p>
            <w:pPr>
              <w:spacing w:before="0" w:after="0" w:line="252" w:lineRule="auto"/>
              <w:jc w:val="left"/>
            </w:pPr>
            <w:r>
              <w:t>计算学习时长、完成率、提示依赖、稳定性、练习质量、自我监控与策略特征。</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Knowledge Graph Service</w:t>
            </w:r>
            <w:r>
              <w:rPr>
                <w:rFonts w:eastAsia="Noto Sans CJK SC" w:ascii="Calibri" w:hAnsi="Calibri"/>
                <w:b/>
                <w:color w:val="263746"/>
                <w:sz w:val="15"/>
              </w:rPr>
            </w:r>
          </w:p>
        </w:tc>
        <w:tc>
          <w:tcPr>
            <w:tcW w:type="dxa" w:w="6480"/>
            <w:vAlign w:val="center"/>
          </w:tcPr>
          <w:p>
            <w:pPr>
              <w:spacing w:before="0" w:after="0" w:line="252" w:lineRule="auto"/>
              <w:jc w:val="left"/>
            </w:pPr>
            <w:r>
              <w:t>提供初中英语知识、技能、学习策略节点、受控标签体系和学生节点状态查询。</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Task Repository &amp; Retrieval</w:t>
            </w:r>
            <w:r>
              <w:rPr>
                <w:rFonts w:eastAsia="Noto Sans CJK SC" w:ascii="Calibri" w:hAnsi="Calibri"/>
                <w:b/>
                <w:color w:val="263746"/>
                <w:sz w:val="15"/>
              </w:rPr>
            </w:r>
          </w:p>
        </w:tc>
        <w:tc>
          <w:tcPr>
            <w:tcW w:type="dxa" w:w="6480"/>
            <w:vAlign w:val="center"/>
          </w:tcPr>
          <w:p>
            <w:pPr>
              <w:spacing w:before="0" w:after="0" w:line="252" w:lineRule="auto"/>
              <w:jc w:val="left"/>
            </w:pPr>
            <w:r>
              <w:t>保存带知识、技能、Bloom、思维、IRT 难度、时长、审核状态和置信度的任务，并完成候选检索。</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Rubric Scoring Service</w:t>
            </w:r>
            <w:r>
              <w:rPr>
                <w:rFonts w:eastAsia="Noto Sans CJK SC" w:ascii="Calibri" w:hAnsi="Calibri"/>
                <w:b/>
                <w:color w:val="263746"/>
                <w:sz w:val="15"/>
              </w:rPr>
            </w:r>
          </w:p>
        </w:tc>
        <w:tc>
          <w:tcPr>
            <w:tcW w:type="dxa" w:w="6480"/>
            <w:vAlign w:val="center"/>
          </w:tcPr>
          <w:p>
            <w:pPr>
              <w:spacing w:before="0" w:after="0" w:line="252" w:lineRule="auto"/>
              <w:jc w:val="left"/>
            </w:pPr>
            <w:r>
              <w:t>对阅读开放题、写作、讨论与反思任务进行结构化量规评分。</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Embedding / Reranker</w:t>
            </w:r>
            <w:r>
              <w:rPr>
                <w:rFonts w:eastAsia="Noto Sans CJK SC" w:ascii="Calibri" w:hAnsi="Calibri"/>
                <w:b/>
                <w:color w:val="263746"/>
                <w:sz w:val="15"/>
              </w:rPr>
            </w:r>
          </w:p>
        </w:tc>
        <w:tc>
          <w:tcPr>
            <w:tcW w:type="dxa" w:w="6480"/>
            <w:vAlign w:val="center"/>
          </w:tcPr>
          <w:p>
            <w:pPr>
              <w:spacing w:before="0" w:after="0" w:line="252" w:lineRule="auto"/>
              <w:jc w:val="left"/>
            </w:pPr>
            <w:r>
              <w:t>支持内容与任务语义检索和相关性重排，仅用于候选召回与内容匹配，不替代规则推荐。</w:t>
            </w:r>
            <w:r>
              <w:rPr>
                <w:rFonts w:eastAsia="Noto Sans CJK SC" w:ascii="Calibri" w:hAnsi="Calibri"/>
                <w:b w:val="0"/>
                <w:color w:val="263746"/>
                <w:sz w:val="15"/>
              </w:rPr>
            </w:r>
          </w:p>
        </w:tc>
      </w:tr>
      <w:tr>
        <w:tc>
          <w:tcPr>
            <w:tcW w:type="dxa" w:w="4680"/>
            <w:vAlign w:val="center"/>
          </w:tcPr>
          <w:p>
            <w:pPr>
              <w:spacing w:after="0" w:line="240" w:lineRule="auto"/>
              <w:jc w:val="left"/>
            </w:pPr>
            <w:r>
              <w:t>Teacher Audit Explanation &amp; Decision Trace</w:t>
            </w:r>
            <w:r>
              <w:rPr>
                <w:rFonts w:ascii="Arial" w:hAnsi="Arial" w:eastAsia="Noto Sans CJK SC"/>
                <w:b w:val="0"/>
                <w:i w:val="0"/>
                <w:color w:val="25313C"/>
                <w:sz w:val="16"/>
              </w:rPr>
            </w:r>
          </w:p>
        </w:tc>
        <w:tc>
          <w:tcPr>
            <w:tcW w:type="dxa" w:w="4680"/>
            <w:vAlign w:val="center"/>
          </w:tcPr>
          <w:p>
            <w:pPr>
              <w:spacing w:after="0" w:line="240" w:lineRule="auto"/>
              <w:jc w:val="left"/>
            </w:pPr>
            <w:r>
              <w:t>记录证据快照、BKT/IRT 状态、规则命中、候选排除、Lint/Verifier、教师操作和版本；生成可重放教师审计说明，不保存不受控的隐性推理链。</w:t>
            </w:r>
            <w:r>
              <w:rPr>
                <w:rFonts w:ascii="Arial" w:hAnsi="Arial" w:eastAsia="Noto Sans CJK SC"/>
                <w:b w:val="0"/>
                <w:i w:val="0"/>
                <w:color w:val="25313C"/>
                <w:sz w:val="16"/>
              </w:rPr>
            </w:r>
          </w:p>
        </w:tc>
      </w:tr>
      <w:tr>
        <w:tc>
          <w:tcPr>
            <w:tcW w:type="dxa" w:w="4680"/>
            <w:vAlign w:val="center"/>
          </w:tcPr>
          <w:p>
            <w:pPr>
              <w:spacing w:after="0" w:line="240" w:lineRule="auto"/>
              <w:jc w:val="left"/>
            </w:pPr>
            <w:r>
              <w:t>Academic Retrieval &amp; Policy Repository</w:t>
            </w:r>
            <w:r>
              <w:rPr>
                <w:rFonts w:ascii="Arial" w:hAnsi="Arial" w:eastAsia="Noto Sans CJK SC"/>
                <w:b w:val="0"/>
                <w:i w:val="0"/>
                <w:color w:val="25313C"/>
                <w:sz w:val="16"/>
              </w:rPr>
            </w:r>
          </w:p>
        </w:tc>
        <w:tc>
          <w:tcPr>
            <w:tcW w:type="dxa" w:w="4680"/>
            <w:vAlign w:val="center"/>
          </w:tcPr>
          <w:p>
            <w:pPr>
              <w:spacing w:after="0" w:line="240" w:lineRule="auto"/>
              <w:jc w:val="left"/>
            </w:pPr>
            <w:r>
              <w:t>检索课程标准、政策、系统综述、同行评审论文、经典专著和官方技术文档，并保留来源类型、版本和全文位置。</w:t>
            </w:r>
            <w:r>
              <w:rPr>
                <w:rFonts w:ascii="Arial" w:hAnsi="Arial" w:eastAsia="Noto Sans CJK SC"/>
                <w:b w:val="0"/>
                <w:i w:val="0"/>
                <w:color w:val="25313C"/>
                <w:sz w:val="16"/>
              </w:rPr>
            </w:r>
          </w:p>
        </w:tc>
      </w:tr>
      <w:tr>
        <w:tc>
          <w:tcPr>
            <w:tcW w:type="dxa" w:w="4680"/>
            <w:vAlign w:val="center"/>
          </w:tcPr>
          <w:p>
            <w:pPr>
              <w:spacing w:after="0" w:line="240" w:lineRule="auto"/>
              <w:jc w:val="left"/>
            </w:pPr>
            <w:r>
              <w:t>Source Quality &amp; Applicability Service</w:t>
            </w:r>
            <w:r>
              <w:rPr>
                <w:rFonts w:ascii="Arial" w:hAnsi="Arial" w:eastAsia="Noto Sans CJK SC"/>
                <w:b w:val="0"/>
                <w:i w:val="0"/>
                <w:color w:val="25313C"/>
                <w:sz w:val="16"/>
              </w:rPr>
            </w:r>
          </w:p>
        </w:tc>
        <w:tc>
          <w:tcPr>
            <w:tcW w:type="dxa" w:w="4680"/>
            <w:vAlign w:val="center"/>
          </w:tcPr>
          <w:p>
            <w:pPr>
              <w:spacing w:after="0" w:line="240" w:lineRule="auto"/>
              <w:jc w:val="left"/>
            </w:pPr>
            <w:r>
              <w:t>评价研究设计、样本、学段学科、复现、偏差和项目场景适用性，支持 Research Agent 生成证据等级。</w:t>
            </w:r>
            <w:r>
              <w:rPr>
                <w:rFonts w:ascii="Arial" w:hAnsi="Arial" w:eastAsia="Noto Sans CJK SC"/>
                <w:b w:val="0"/>
                <w:i w:val="0"/>
                <w:color w:val="25313C"/>
                <w:sz w:val="16"/>
              </w:rPr>
            </w:r>
          </w:p>
        </w:tc>
      </w:tr>
      <w:tr>
        <w:tc>
          <w:tcPr>
            <w:tcW w:type="dxa" w:w="4680"/>
          </w:tcPr>
          <w:p>
            <w:r>
              <w:t>Lint &amp; Quality Gate Services</w:t>
            </w:r>
          </w:p>
        </w:tc>
        <w:tc>
          <w:tcPr>
            <w:tcW w:type="dxa" w:w="4680"/>
          </w:tcPr>
          <w:p>
            <w:r>
              <w:t>统一执行 Schema、Editorial、Language、Annotation、Pedagogical、Values/Compliance、Assembly、Path、Output、Evidence/Data 与 Citation Lint，并产生 LintResult / ReviewCase。</w:t>
            </w:r>
          </w:p>
        </w:tc>
      </w:tr>
    </w:tbl>
    <w:p>
      <w:pPr>
        <w:pStyle w:val="Heading2"/>
        <w:keepNext/>
        <w:spacing w:before="140" w:after="80"/>
      </w:pPr>
      <w:r>
        <w:t>9.7 Intent Routing 与集成工作流</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2232"/>
            <w:shd w:fill="D9EAF7"/>
            <w:vAlign w:val="center"/>
          </w:tcPr>
          <w:p>
            <w:pPr>
              <w:spacing w:before="0" w:after="0" w:line="252" w:lineRule="auto"/>
              <w:jc w:val="center"/>
            </w:pPr>
            <w:r>
              <w:t>触发来源</w:t>
            </w:r>
            <w:r>
              <w:rPr>
                <w:rFonts w:eastAsia="Noto Sans CJK SC" w:ascii="Calibri" w:hAnsi="Calibri"/>
                <w:b/>
                <w:color w:val="2E74B5"/>
                <w:sz w:val="17"/>
              </w:rPr>
            </w:r>
          </w:p>
        </w:tc>
        <w:tc>
          <w:tcPr>
            <w:tcW w:type="dxa" w:w="2520"/>
            <w:shd w:fill="D9EAF7"/>
            <w:vAlign w:val="center"/>
          </w:tcPr>
          <w:p>
            <w:pPr>
              <w:spacing w:before="0" w:after="0" w:line="252" w:lineRule="auto"/>
              <w:jc w:val="center"/>
            </w:pPr>
            <w:r>
              <w:t>意图</w:t>
            </w:r>
            <w:r>
              <w:rPr>
                <w:rFonts w:eastAsia="Noto Sans CJK SC" w:ascii="Calibri" w:hAnsi="Calibri"/>
                <w:b/>
                <w:color w:val="2E74B5"/>
                <w:sz w:val="17"/>
              </w:rPr>
            </w:r>
          </w:p>
        </w:tc>
        <w:tc>
          <w:tcPr>
            <w:tcW w:type="dxa" w:w="4608"/>
            <w:shd w:fill="D9EAF7"/>
            <w:vAlign w:val="center"/>
          </w:tcPr>
          <w:p>
            <w:pPr>
              <w:spacing w:before="0" w:after="0" w:line="252" w:lineRule="auto"/>
              <w:jc w:val="center"/>
            </w:pPr>
            <w:r>
              <w:t>进入的工作流</w:t>
            </w:r>
            <w:r>
              <w:rPr>
                <w:rFonts w:eastAsia="Noto Sans CJK SC" w:ascii="Calibri" w:hAnsi="Calibri"/>
                <w:b/>
                <w:color w:val="2E74B5"/>
                <w:sz w:val="17"/>
              </w:rPr>
            </w:r>
          </w:p>
        </w:tc>
      </w:tr>
      <w:tr>
        <w:trPr>
          <w:cantSplit/>
        </w:trPr>
        <w:tc>
          <w:tcPr>
            <w:tcW w:type="dxa" w:w="2232"/>
            <w:vAlign w:val="center"/>
          </w:tcPr>
          <w:p>
            <w:pPr>
              <w:spacing w:before="0" w:after="0" w:line="252" w:lineRule="auto"/>
              <w:jc w:val="left"/>
            </w:pPr>
            <w:r>
              <w:t>教研人员录入或修改内容</w:t>
            </w:r>
            <w:r>
              <w:rPr>
                <w:rFonts w:eastAsia="Noto Sans CJK SC" w:ascii="Calibri" w:hAnsi="Calibri"/>
                <w:b/>
                <w:color w:val="263746"/>
                <w:sz w:val="15"/>
              </w:rPr>
            </w:r>
          </w:p>
        </w:tc>
        <w:tc>
          <w:tcPr>
            <w:tcW w:type="dxa" w:w="2520"/>
            <w:vAlign w:val="center"/>
          </w:tcPr>
          <w:p>
            <w:pPr>
              <w:spacing w:before="0" w:after="0" w:line="252" w:lineRule="auto"/>
              <w:jc w:val="left"/>
            </w:pPr>
            <w:r>
              <w:t>MANAGE_CONTENT</w:t>
            </w:r>
            <w:r>
              <w:rPr>
                <w:rFonts w:eastAsia="Noto Sans CJK SC" w:ascii="Calibri" w:hAnsi="Calibri"/>
                <w:b w:val="0"/>
                <w:color w:val="263746"/>
                <w:sz w:val="15"/>
              </w:rPr>
            </w:r>
          </w:p>
        </w:tc>
        <w:tc>
          <w:tcPr>
            <w:tcW w:type="dxa" w:w="4608"/>
            <w:vAlign w:val="center"/>
          </w:tcPr>
          <w:p>
            <w:pPr>
              <w:spacing w:before="0" w:after="0" w:line="252" w:lineRule="auto"/>
              <w:jc w:val="left"/>
            </w:pPr>
            <w:r>
              <w:t>确定性 CRUD → 版本管理 → 审核与发布。</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内容提交自动标注</w:t>
            </w:r>
            <w:r>
              <w:rPr>
                <w:rFonts w:eastAsia="Noto Sans CJK SC" w:ascii="Calibri" w:hAnsi="Calibri"/>
                <w:b/>
                <w:color w:val="263746"/>
                <w:sz w:val="15"/>
              </w:rPr>
            </w:r>
          </w:p>
        </w:tc>
        <w:tc>
          <w:tcPr>
            <w:tcW w:type="dxa" w:w="2520"/>
            <w:vAlign w:val="center"/>
          </w:tcPr>
          <w:p>
            <w:pPr>
              <w:spacing w:before="0" w:after="0" w:line="252" w:lineRule="auto"/>
              <w:jc w:val="left"/>
            </w:pPr>
            <w:r>
              <w:t>ANNOTATE_CONTENT</w:t>
            </w:r>
            <w:r>
              <w:rPr>
                <w:rFonts w:eastAsia="Noto Sans CJK SC" w:ascii="Calibri" w:hAnsi="Calibri"/>
                <w:b w:val="0"/>
                <w:color w:val="263746"/>
                <w:sz w:val="15"/>
              </w:rPr>
            </w:r>
          </w:p>
        </w:tc>
        <w:tc>
          <w:tcPr>
            <w:tcW w:type="dxa" w:w="4608"/>
            <w:vAlign w:val="center"/>
          </w:tcPr>
          <w:p>
            <w:pPr>
              <w:spacing w:before="0" w:after="0" w:line="252" w:lineRule="auto"/>
              <w:jc w:val="left"/>
            </w:pPr>
            <w:r>
              <w:t>内容解析 → Taxonomy 候选检索 → LLM 多维标注 → Annotation QC → 置信分流 → 入库索引。</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学生提交作业/测验</w:t>
            </w:r>
            <w:r>
              <w:rPr>
                <w:rFonts w:eastAsia="Noto Sans CJK SC" w:ascii="Calibri" w:hAnsi="Calibri"/>
                <w:b/>
                <w:color w:val="263746"/>
                <w:sz w:val="15"/>
              </w:rPr>
            </w:r>
          </w:p>
        </w:tc>
        <w:tc>
          <w:tcPr>
            <w:tcW w:type="dxa" w:w="2520"/>
            <w:vAlign w:val="center"/>
          </w:tcPr>
          <w:p>
            <w:pPr>
              <w:spacing w:before="0" w:after="0" w:line="252" w:lineRule="auto"/>
              <w:jc w:val="left"/>
            </w:pPr>
            <w:r>
              <w:t>INGEST_EVIDENCE</w:t>
            </w:r>
            <w:r>
              <w:rPr>
                <w:rFonts w:eastAsia="Noto Sans CJK SC" w:ascii="Calibri" w:hAnsi="Calibri"/>
                <w:b w:val="0"/>
                <w:color w:val="263746"/>
                <w:sz w:val="15"/>
              </w:rPr>
            </w:r>
          </w:p>
        </w:tc>
        <w:tc>
          <w:tcPr>
            <w:tcW w:type="dxa" w:w="4608"/>
            <w:vAlign w:val="center"/>
          </w:tcPr>
          <w:p>
            <w:pPr>
              <w:spacing w:before="0" w:after="0" w:line="252" w:lineRule="auto"/>
              <w:jc w:val="left"/>
            </w:pPr>
            <w:r>
              <w:t>Evidence &amp; Data Lint → Learning Evidence 入库 → BKT 即时更新 / IRT 批次校准 → 状态更新。</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教师查看单个学生</w:t>
            </w:r>
            <w:r>
              <w:rPr>
                <w:rFonts w:eastAsia="Noto Sans CJK SC" w:ascii="Calibri" w:hAnsi="Calibri"/>
                <w:b/>
                <w:color w:val="263746"/>
                <w:sz w:val="15"/>
              </w:rPr>
            </w:r>
          </w:p>
        </w:tc>
        <w:tc>
          <w:tcPr>
            <w:tcW w:type="dxa" w:w="2520"/>
            <w:vAlign w:val="center"/>
          </w:tcPr>
          <w:p>
            <w:pPr>
              <w:spacing w:before="0" w:after="0" w:line="252" w:lineRule="auto"/>
              <w:jc w:val="left"/>
            </w:pPr>
            <w:r>
              <w:t>DIAGNOSE_STUDENT</w:t>
            </w:r>
            <w:r>
              <w:rPr>
                <w:rFonts w:eastAsia="Noto Sans CJK SC" w:ascii="Calibri" w:hAnsi="Calibri"/>
                <w:b w:val="0"/>
                <w:color w:val="263746"/>
                <w:sz w:val="15"/>
              </w:rPr>
            </w:r>
          </w:p>
        </w:tc>
        <w:tc>
          <w:tcPr>
            <w:tcW w:type="dxa" w:w="4608"/>
            <w:vAlign w:val="center"/>
          </w:tcPr>
          <w:p>
            <w:pPr>
              <w:spacing w:before="0" w:after="0" w:line="252" w:lineRule="auto"/>
              <w:jc w:val="left"/>
            </w:pPr>
            <w:r>
              <w:t>读取 BKT/IRT 状态 → 认知诊断 → 思维诊断 → 教师审计解释。</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教师查看班级</w:t>
            </w:r>
            <w:r>
              <w:rPr>
                <w:rFonts w:eastAsia="Noto Sans CJK SC" w:ascii="Calibri" w:hAnsi="Calibri"/>
                <w:b/>
                <w:color w:val="263746"/>
                <w:sz w:val="15"/>
              </w:rPr>
            </w:r>
          </w:p>
        </w:tc>
        <w:tc>
          <w:tcPr>
            <w:tcW w:type="dxa" w:w="2520"/>
            <w:vAlign w:val="center"/>
          </w:tcPr>
          <w:p>
            <w:pPr>
              <w:spacing w:before="0" w:after="0" w:line="252" w:lineRule="auto"/>
              <w:jc w:val="left"/>
            </w:pPr>
            <w:r>
              <w:t>ANALYZE_CLASS</w:t>
            </w:r>
            <w:r>
              <w:rPr>
                <w:rFonts w:eastAsia="Noto Sans CJK SC" w:ascii="Calibri" w:hAnsi="Calibri"/>
                <w:b w:val="0"/>
                <w:color w:val="263746"/>
                <w:sz w:val="15"/>
              </w:rPr>
            </w:r>
          </w:p>
        </w:tc>
        <w:tc>
          <w:tcPr>
            <w:tcW w:type="dxa" w:w="4608"/>
            <w:vAlign w:val="center"/>
          </w:tcPr>
          <w:p>
            <w:pPr>
              <w:spacing w:before="0" w:after="0" w:line="252" w:lineRule="auto"/>
              <w:jc w:val="left"/>
            </w:pPr>
            <w:r>
              <w:t>班级聚合 → BKT/IRT 分布与共性薄弱点 → 分层建议。</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学生请求下一步任务</w:t>
            </w:r>
            <w:r>
              <w:rPr>
                <w:rFonts w:eastAsia="Noto Sans CJK SC" w:ascii="Calibri" w:hAnsi="Calibri"/>
                <w:b/>
                <w:color w:val="263746"/>
                <w:sz w:val="15"/>
              </w:rPr>
            </w:r>
          </w:p>
        </w:tc>
        <w:tc>
          <w:tcPr>
            <w:tcW w:type="dxa" w:w="2520"/>
            <w:vAlign w:val="center"/>
          </w:tcPr>
          <w:p>
            <w:pPr>
              <w:spacing w:before="0" w:after="0" w:line="252" w:lineRule="auto"/>
              <w:jc w:val="left"/>
            </w:pPr>
            <w:r>
              <w:t>GENERATE_LEARNING_PLAN</w:t>
            </w:r>
            <w:r>
              <w:rPr>
                <w:rFonts w:eastAsia="Noto Sans CJK SC" w:ascii="Calibri" w:hAnsi="Calibri"/>
                <w:b w:val="0"/>
                <w:color w:val="263746"/>
                <w:sz w:val="15"/>
              </w:rPr>
            </w:r>
          </w:p>
        </w:tc>
        <w:tc>
          <w:tcPr>
            <w:tcW w:type="dxa" w:w="4608"/>
            <w:vAlign w:val="center"/>
          </w:tcPr>
          <w:p>
            <w:pPr>
              <w:spacing w:before="0" w:after="0" w:line="252" w:lineRule="auto"/>
              <w:jc w:val="left"/>
            </w:pPr>
            <w:r>
              <w:t>任务召回 → 硬过滤 → 规则评分与组装 → Path Lint → Verifier → 教师确认/学生交付。</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学生询问推荐原因</w:t>
            </w:r>
            <w:r>
              <w:rPr>
                <w:rFonts w:eastAsia="Noto Sans CJK SC" w:ascii="Calibri" w:hAnsi="Calibri"/>
                <w:b/>
                <w:color w:val="263746"/>
                <w:sz w:val="15"/>
              </w:rPr>
            </w:r>
          </w:p>
        </w:tc>
        <w:tc>
          <w:tcPr>
            <w:tcW w:type="dxa" w:w="2520"/>
            <w:vAlign w:val="center"/>
          </w:tcPr>
          <w:p>
            <w:pPr>
              <w:spacing w:before="0" w:after="0" w:line="252" w:lineRule="auto"/>
              <w:jc w:val="left"/>
            </w:pPr>
            <w:r>
              <w:t>EXPLAIN_RECOMMENDATION</w:t>
            </w:r>
            <w:r>
              <w:rPr>
                <w:rFonts w:eastAsia="Noto Sans CJK SC" w:ascii="Calibri" w:hAnsi="Calibri"/>
                <w:b w:val="0"/>
                <w:color w:val="263746"/>
                <w:sz w:val="15"/>
              </w:rPr>
            </w:r>
          </w:p>
        </w:tc>
        <w:tc>
          <w:tcPr>
            <w:tcW w:type="dxa" w:w="4608"/>
            <w:vAlign w:val="center"/>
          </w:tcPr>
          <w:p>
            <w:pPr>
              <w:spacing w:before="0" w:after="0" w:line="252" w:lineRule="auto"/>
              <w:jc w:val="left"/>
            </w:pPr>
            <w:r>
              <w:t>读取 Decision Trace → 生成学生版解释。</w:t>
            </w:r>
            <w:r>
              <w:rPr>
                <w:rFonts w:eastAsia="Noto Sans CJK SC" w:ascii="Calibri" w:hAnsi="Calibri"/>
                <w:b w:val="0"/>
                <w:color w:val="263746"/>
                <w:sz w:val="15"/>
              </w:rPr>
            </w:r>
          </w:p>
        </w:tc>
      </w:tr>
      <w:tr>
        <w:trPr>
          <w:cantSplit/>
        </w:trPr>
        <w:tc>
          <w:tcPr>
            <w:tcW w:type="dxa" w:w="2232"/>
            <w:vAlign w:val="center"/>
          </w:tcPr>
          <w:p>
            <w:pPr>
              <w:spacing w:before="0" w:after="0" w:line="252" w:lineRule="auto"/>
              <w:jc w:val="left"/>
            </w:pPr>
            <w:r>
              <w:t>教师修改或拒绝建议</w:t>
            </w:r>
            <w:r>
              <w:rPr>
                <w:rFonts w:eastAsia="Noto Sans CJK SC" w:ascii="Calibri" w:hAnsi="Calibri"/>
                <w:b/>
                <w:color w:val="263746"/>
                <w:sz w:val="15"/>
              </w:rPr>
            </w:r>
          </w:p>
        </w:tc>
        <w:tc>
          <w:tcPr>
            <w:tcW w:type="dxa" w:w="2520"/>
            <w:vAlign w:val="center"/>
          </w:tcPr>
          <w:p>
            <w:pPr>
              <w:spacing w:before="0" w:after="0" w:line="252" w:lineRule="auto"/>
              <w:jc w:val="left"/>
            </w:pPr>
            <w:r>
              <w:t>TEACHER_OVERRIDE / REPLAN</w:t>
            </w:r>
            <w:r>
              <w:rPr>
                <w:rFonts w:eastAsia="Noto Sans CJK SC" w:ascii="Calibri" w:hAnsi="Calibri"/>
                <w:b w:val="0"/>
                <w:color w:val="263746"/>
                <w:sz w:val="15"/>
              </w:rPr>
            </w:r>
          </w:p>
        </w:tc>
        <w:tc>
          <w:tcPr>
            <w:tcW w:type="dxa" w:w="4608"/>
            <w:vAlign w:val="center"/>
          </w:tcPr>
          <w:p>
            <w:pPr>
              <w:spacing w:before="0" w:after="0" w:line="252" w:lineRule="auto"/>
              <w:jc w:val="left"/>
            </w:pPr>
            <w:r>
              <w:t>记录教师决策 → 调整约束 → 规则重规划 → 新版本路径。</w:t>
            </w:r>
            <w:r>
              <w:rPr>
                <w:rFonts w:eastAsia="Noto Sans CJK SC" w:ascii="Calibri" w:hAnsi="Calibri"/>
                <w:b w:val="0"/>
                <w:color w:val="263746"/>
                <w:sz w:val="15"/>
              </w:rPr>
            </w:r>
          </w:p>
        </w:tc>
      </w:tr>
      <w:tr>
        <w:tc>
          <w:tcPr>
            <w:tcW w:type="dxa" w:w="3120"/>
            <w:vAlign w:val="center"/>
          </w:tcPr>
          <w:p>
            <w:pPr>
              <w:spacing w:after="0" w:line="240" w:lineRule="auto"/>
              <w:jc w:val="left"/>
            </w:pPr>
            <w:r>
              <w:t>架构、算法、量规或评估方案变更</w:t>
            </w:r>
            <w:r>
              <w:rPr>
                <w:rFonts w:ascii="Arial" w:hAnsi="Arial" w:eastAsia="Noto Sans CJK SC"/>
                <w:b w:val="0"/>
                <w:i w:val="0"/>
                <w:color w:val="25313C"/>
                <w:sz w:val="16"/>
              </w:rPr>
            </w:r>
          </w:p>
        </w:tc>
        <w:tc>
          <w:tcPr>
            <w:tcW w:type="dxa" w:w="3120"/>
            <w:vAlign w:val="center"/>
          </w:tcPr>
          <w:p>
            <w:pPr>
              <w:spacing w:after="0" w:line="240" w:lineRule="auto"/>
              <w:jc w:val="left"/>
            </w:pPr>
            <w:r>
              <w:t>REVIEW_RESEARCH_EVIDENCE</w:t>
            </w:r>
            <w:r>
              <w:rPr>
                <w:rFonts w:ascii="Arial" w:hAnsi="Arial" w:eastAsia="Noto Sans CJK SC"/>
                <w:b w:val="0"/>
                <w:i w:val="0"/>
                <w:color w:val="25313C"/>
                <w:sz w:val="16"/>
              </w:rPr>
            </w:r>
          </w:p>
        </w:tc>
        <w:tc>
          <w:tcPr>
            <w:tcW w:type="dxa" w:w="3120"/>
            <w:vAlign w:val="center"/>
          </w:tcPr>
          <w:p>
            <w:pPr>
              <w:spacing w:after="0" w:line="240" w:lineRule="auto"/>
              <w:jc w:val="left"/>
            </w:pPr>
            <w:r>
              <w:t>提取 Claims → 权威来源检索 → 质量/适用性评估 → Claim–Evidence Matrix → Citation Lint → 专家审核 → Evidence Registry。</w:t>
            </w:r>
            <w:r>
              <w:rPr>
                <w:rFonts w:ascii="Arial" w:hAnsi="Arial" w:eastAsia="Noto Sans CJK SC"/>
                <w:b w:val="0"/>
                <w:i w:val="0"/>
                <w:color w:val="25313C"/>
                <w:sz w:val="16"/>
              </w:rPr>
            </w:r>
          </w:p>
        </w:tc>
      </w:tr>
      <w:tr>
        <w:tc>
          <w:tcPr>
            <w:tcW w:type="dxa" w:w="3120"/>
            <w:vAlign w:val="center"/>
          </w:tcPr>
          <w:p>
            <w:pPr>
              <w:spacing w:after="0" w:line="240" w:lineRule="auto"/>
              <w:jc w:val="left"/>
            </w:pPr>
            <w:r>
              <w:t>内容入库、课程发布、路径交付或学习证据回流</w:t>
            </w:r>
            <w:r>
              <w:rPr>
                <w:rFonts w:ascii="Arial" w:hAnsi="Arial" w:eastAsia="Noto Sans CJK SC"/>
                <w:b w:val="0"/>
                <w:i w:val="0"/>
                <w:color w:val="25313C"/>
                <w:sz w:val="16"/>
              </w:rPr>
            </w:r>
          </w:p>
        </w:tc>
        <w:tc>
          <w:tcPr>
            <w:tcW w:type="dxa" w:w="3120"/>
            <w:vAlign w:val="center"/>
          </w:tcPr>
          <w:p>
            <w:pPr>
              <w:spacing w:after="0" w:line="240" w:lineRule="auto"/>
              <w:jc w:val="left"/>
            </w:pPr>
            <w:r>
              <w:t>RUN_QUALITY_GATE</w:t>
            </w:r>
            <w:r>
              <w:rPr>
                <w:rFonts w:ascii="Arial" w:hAnsi="Arial" w:eastAsia="Noto Sans CJK SC"/>
                <w:b w:val="0"/>
                <w:i w:val="0"/>
                <w:color w:val="25313C"/>
                <w:sz w:val="16"/>
              </w:rPr>
            </w:r>
          </w:p>
        </w:tc>
        <w:tc>
          <w:tcPr>
            <w:tcW w:type="dxa" w:w="3120"/>
            <w:vAlign w:val="center"/>
          </w:tcPr>
          <w:p>
            <w:pPr>
              <w:spacing w:after="0" w:line="240" w:lineRule="auto"/>
              <w:jc w:val="left"/>
            </w:pPr>
            <w:r>
              <w:t>解析对应 Lint Profile → 执行规则/模型检查 → AUTO_FIX/WARN/REVIEW/BLOCK → 审核或阻断 → 记录 Quality Audit。</w:t>
            </w:r>
            <w:r>
              <w:rPr>
                <w:rFonts w:ascii="Arial" w:hAnsi="Arial" w:eastAsia="Noto Sans CJK SC"/>
                <w:b w:val="0"/>
                <w:i w:val="0"/>
                <w:color w:val="25313C"/>
                <w:sz w:val="16"/>
              </w:rPr>
            </w:r>
          </w:p>
        </w:tc>
      </w:tr>
    </w:tbl>
    <w:p>
      <w:pPr>
        <w:spacing w:after="140" w:line="269" w:lineRule="auto"/>
      </w:pPr>
      <w:r>
        <w:rPr>
          <w:rFonts w:ascii="Calibri" w:hAnsi="Calibri" w:eastAsia="Noto Sans CJK SC"/>
          <w:b w:val="0"/>
          <w:i w:val="0"/>
          <w:color w:val="263746"/>
          <w:sz w:val="19"/>
        </w:rPr>
        <w:t>结构化页面操作优先使用规则路由；只有自由文本中的模糊目标才调用模型分类。教师保留确认、修改、拒绝和重新规划权限。</w:t>
      </w:r>
    </w:p>
    <w:p>
      <w:pPr>
        <w:pStyle w:val="Heading1"/>
        <w:keepNext/>
        <w:spacing w:before="200" w:after="80"/>
      </w:pPr>
      <w:r>
        <w:t>10. 系统工作流与数据流</w:t>
      </w:r>
    </w:p>
    <w:p>
      <w:pPr>
        <w:jc w:val="center"/>
      </w:pPr>
      <w:r>
        <w:drawing>
          <wp:inline xmlns:a="http://schemas.openxmlformats.org/drawingml/2006/main" xmlns:pic="http://schemas.openxmlformats.org/drawingml/2006/picture">
            <wp:extent cx="5943600" cy="3072345"/>
            <wp:docPr id="7" name="Picture 7" descr="AdaptLearn Copilot 端到端数据流与质量治理" title="AdaptLearn Copilot 端到端数据流与质量治理"/>
            <wp:cNvGraphicFramePr>
              <a:graphicFrameLocks noChangeAspect="1"/>
            </wp:cNvGraphicFramePr>
            <a:graphic>
              <a:graphicData uri="http://schemas.openxmlformats.org/drawingml/2006/picture">
                <pic:pic>
                  <pic:nvPicPr>
                    <pic:cNvPr id="0" name="00_端到端数据流_ResearchAgent_Lint.png"/>
                    <pic:cNvPicPr/>
                  </pic:nvPicPr>
                  <pic:blipFill>
                    <a:blip r:embed="rId17"/>
                    <a:stretch>
                      <a:fillRect/>
                    </a:stretch>
                  </pic:blipFill>
                  <pic:spPr>
                    <a:xfrm>
                      <a:off x="0" y="0"/>
                      <a:ext cx="5943600" cy="3072345"/>
                    </a:xfrm>
                    <a:prstGeom prst="rect"/>
                  </pic:spPr>
                </pic:pic>
              </a:graphicData>
            </a:graphic>
          </wp:inline>
        </w:drawing>
      </w:r>
    </w:p>
    <w:p>
      <w:pPr>
        <w:spacing w:after="120" w:line="269" w:lineRule="auto"/>
        <w:jc w:val="center"/>
      </w:pPr>
      <w:r>
        <w:rPr>
          <w:rFonts w:ascii="Arial" w:hAnsi="Arial" w:eastAsia="Noto Sans CJK SC"/>
          <w:b w:val="0"/>
        </w:rPr>
        <w:t>图 2  AdaptLearn Copilot 端到端数据流与质量治理（内容、研究证据、学习闭环）</w:t>
      </w:r>
    </w:p>
    <w:p>
      <w:pPr>
        <w:pStyle w:val="Heading2"/>
        <w:keepNext/>
        <w:spacing w:before="140" w:after="80"/>
      </w:pPr>
      <w:r>
        <w:t>10.1 端到端数据流</w:t>
      </w:r>
    </w:p>
    <w:p>
      <w:pPr>
        <w:spacing w:after="80" w:line="264" w:lineRule="auto"/>
        <w:ind w:left="403" w:hanging="317"/>
      </w:pPr>
      <w:r>
        <w:rPr>
          <w:rFonts w:ascii="Arial" w:hAnsi="Arial" w:eastAsia="Noto Sans CJK SC"/>
          <w:b w:val="0"/>
        </w:rPr>
        <w:t>1. 内容生产与解析：管理中台接收教材、试题、素材、课堂活动和评分量规，Content Parser 形成统一内容对象并保留来源、版权、年级、单元和版本信息。</w:t>
      </w:r>
    </w:p>
    <w:p>
      <w:pPr>
        <w:spacing w:after="80" w:line="264" w:lineRule="auto"/>
        <w:ind w:left="403" w:hanging="317"/>
      </w:pPr>
      <w:r>
        <w:rPr>
          <w:rFonts w:ascii="Arial" w:hAnsi="Arial" w:eastAsia="Noto Sans CJK SC"/>
          <w:b w:val="0"/>
        </w:rPr>
        <w:t>2. 内容前置门禁：Schema、Editorial、Language Lint 检查字段、体例、标点、术语、拼写语法、指令和答案解析一致性；自动修复保留差异，REVIEW/BLOCK 进入质量工作台。</w:t>
      </w:r>
    </w:p>
    <w:p>
      <w:pPr>
        <w:spacing w:after="80" w:line="264" w:lineRule="auto"/>
        <w:ind w:left="403" w:hanging="317"/>
      </w:pPr>
      <w:r>
        <w:rPr>
          <w:rFonts w:ascii="Arial" w:hAnsi="Arial" w:eastAsia="Noto Sans CJK SC"/>
          <w:b w:val="0"/>
        </w:rPr>
        <w:t>3. LLM 自动标注与发布门禁：Taxonomy Retrieval 提供候选标签，LLM 分阶段生成知识、技能、Bloom、思维品质和证据；Annotation、Pedagogical、Values/Compliance 与 Assembly Lint 执行一致性、教学适切、价值安全和课程组装检查。</w:t>
      </w:r>
    </w:p>
    <w:p>
      <w:pPr>
        <w:spacing w:after="80" w:line="264" w:lineRule="auto"/>
        <w:ind w:left="403" w:hanging="317"/>
      </w:pPr>
      <w:r>
        <w:rPr>
          <w:rFonts w:ascii="Arial" w:hAnsi="Arial" w:eastAsia="Noto Sans CJK SC"/>
          <w:b w:val="0"/>
        </w:rPr>
        <w:t>4. 研究证据治理：架构、算法、量规和评估方案的关键主张进入 Research Agent 工作流，形成 Claim–Evidence Matrix，经 Citation &amp; Evidence Lint 和专家审核后写入 Evidence Registry。</w:t>
      </w:r>
    </w:p>
    <w:p>
      <w:pPr>
        <w:spacing w:after="80" w:line="264" w:lineRule="auto"/>
        <w:ind w:left="403" w:hanging="317"/>
      </w:pPr>
      <w:r>
        <w:rPr>
          <w:rFonts w:ascii="Arial" w:hAnsi="Arial" w:eastAsia="Noto Sans CJK SC"/>
          <w:b w:val="0"/>
        </w:rPr>
        <w:t>5. 学习证据接入：学生端提交作业、测验、开放任务和学习行为；Evidence &amp; Data Lint 检查身份、任务版本、时间戳、得分范围、重复、异常时长、敏感信息和证据质量。</w:t>
      </w:r>
    </w:p>
    <w:p>
      <w:pPr>
        <w:spacing w:after="80" w:line="264" w:lineRule="auto"/>
        <w:ind w:left="403" w:hanging="317"/>
      </w:pPr>
      <w:r>
        <w:rPr>
          <w:rFonts w:ascii="Arial" w:hAnsi="Arial" w:eastAsia="Noto Sans CJK SC"/>
          <w:b w:val="0"/>
        </w:rPr>
        <w:t>6. 证据与状态存储：合格原始结果进入 Learning Evidence；内容标签进入 Annotation Store / Task Repository；研究审查进入 Evidence Registry；Lint 结果和人工决定进入 Quality Audit；模型状态与决策记录进入对应数据仓。</w:t>
      </w:r>
    </w:p>
    <w:p>
      <w:pPr>
        <w:spacing w:after="80" w:line="264" w:lineRule="auto"/>
        <w:ind w:left="403" w:hanging="317"/>
      </w:pPr>
      <w:r>
        <w:rPr>
          <w:rFonts w:ascii="Arial" w:hAnsi="Arial" w:eastAsia="Noto Sans CJK SC"/>
          <w:b w:val="0"/>
        </w:rPr>
        <w:t>7. 离线状态更新：BKT Service 按知识点更新掌握概率 P(L)，IRT Service 分批校准学生能力 θ、任务难度 b 及标准误；Bloom/Skill/Thinking Models 和 Behavior/Strategy Services 同步更新认知深度、思维画像和行为特征。</w:t>
      </w:r>
    </w:p>
    <w:p>
      <w:pPr>
        <w:spacing w:after="80" w:line="264" w:lineRule="auto"/>
        <w:ind w:left="403" w:hanging="317"/>
      </w:pPr>
      <w:r>
        <w:rPr>
          <w:rFonts w:ascii="Arial" w:hAnsi="Arial" w:eastAsia="Noto Sans CJK SC"/>
          <w:b w:val="0"/>
        </w:rPr>
        <w:t>8. 在线路由与综合诊断：Role &amp; Intent Router 与 Orchestrator 选择业务或 Agentic 工作流；Cognitive Diagnosis Agent 与 Thinking Quality Diagnosis Agent 汇总知识、技能、行为、策略和三维思维品质画像。</w:t>
      </w:r>
    </w:p>
    <w:p>
      <w:pPr>
        <w:spacing w:after="80" w:line="264" w:lineRule="auto"/>
        <w:ind w:left="403" w:hanging="317"/>
      </w:pPr>
      <w:r>
        <w:rPr>
          <w:rFonts w:ascii="Arial" w:hAnsi="Arial" w:eastAsia="Noto Sans CJK SC"/>
          <w:b w:val="0"/>
        </w:rPr>
        <w:t>9. 候选、规则推荐与双重校验：Recommendation Agent 调用任务检索和规则推荐引擎，依次执行候选召回、硬过滤、规则评分和路径组装；Learning Path Lint 先检查资源、版本、重复、时长和硬约束，Verifier 再检查 BKT 状态、IRT 难度区间、Bloom 推进、思维目标、负荷和课程适切性。</w:t>
      </w:r>
    </w:p>
    <w:p>
      <w:pPr>
        <w:spacing w:after="80" w:line="269" w:lineRule="auto"/>
      </w:pPr>
      <w:r>
        <w:rPr>
          <w:rFonts w:ascii="Arial" w:hAnsi="Arial" w:eastAsia="Noto Sans CJK SC"/>
          <w:b w:val="0"/>
          <w:i w:val="0"/>
          <w:color w:val="25313C"/>
          <w:sz w:val="20"/>
        </w:rPr>
        <w:t>10. 审计解释与交付门禁：Explainer &amp; Reflection Agent 从 Decision Trace 生成教师版审计说明和学生版行动建议；教师版展示证据、BKT/IRT 状态、规则命中与排除原因、版本和校验结果，Student-facing Output Lint 则检查学生版说明的证据一致、年龄适切、非标签化、答案泄露、敏感信息和不当心理判断。</w:t>
      </w:r>
    </w:p>
    <w:p>
      <w:pPr>
        <w:spacing w:after="80" w:line="269" w:lineRule="auto"/>
      </w:pPr>
      <w:r>
        <w:rPr>
          <w:rFonts w:ascii="Arial" w:hAnsi="Arial" w:eastAsia="Noto Sans CJK SC"/>
          <w:b w:val="0"/>
          <w:i w:val="0"/>
          <w:color w:val="25313C"/>
          <w:sz w:val="20"/>
        </w:rPr>
        <w:t>11. 反馈、更新与持续治理：学生完成质量、教师采纳、学生反思和后测结果经 Evidence &amp; Data Lint 后回流，驱动下一轮状态更新；Lint 误报、教师修订、研究新证据和试点评估共同推动规则、模型、提示词和证据版本迭代。</w:t>
      </w:r>
    </w:p>
    <w:p>
      <w:pPr>
        <w:pStyle w:val="Heading2"/>
        <w:keepNext/>
        <w:spacing w:before="140" w:after="80"/>
      </w:pPr>
      <w:r>
        <w:t>10.2 核心数据对象</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2160"/>
            <w:shd w:fill="D9EAF7"/>
            <w:vAlign w:val="center"/>
          </w:tcPr>
          <w:p>
            <w:pPr>
              <w:spacing w:before="0" w:after="0" w:line="252" w:lineRule="auto"/>
              <w:jc w:val="center"/>
            </w:pPr>
            <w:r>
              <w:t>数据对象</w:t>
            </w:r>
            <w:r>
              <w:rPr>
                <w:rFonts w:eastAsia="Noto Sans CJK SC" w:ascii="Calibri" w:hAnsi="Calibri"/>
                <w:b/>
                <w:color w:val="2E74B5"/>
                <w:sz w:val="17"/>
              </w:rPr>
            </w:r>
          </w:p>
        </w:tc>
        <w:tc>
          <w:tcPr>
            <w:tcW w:type="dxa" w:w="4320"/>
            <w:shd w:fill="D9EAF7"/>
            <w:vAlign w:val="center"/>
          </w:tcPr>
          <w:p>
            <w:pPr>
              <w:spacing w:before="0" w:after="0" w:line="252" w:lineRule="auto"/>
              <w:jc w:val="center"/>
            </w:pPr>
            <w:r>
              <w:t>关键字段</w:t>
            </w:r>
            <w:r>
              <w:rPr>
                <w:rFonts w:eastAsia="Noto Sans CJK SC" w:ascii="Calibri" w:hAnsi="Calibri"/>
                <w:b/>
                <w:color w:val="2E74B5"/>
                <w:sz w:val="17"/>
              </w:rPr>
            </w:r>
          </w:p>
        </w:tc>
        <w:tc>
          <w:tcPr>
            <w:tcW w:type="dxa" w:w="2880"/>
            <w:shd w:fill="D9EAF7"/>
            <w:vAlign w:val="center"/>
          </w:tcPr>
          <w:p>
            <w:pPr>
              <w:spacing w:before="0" w:after="0" w:line="252" w:lineRule="auto"/>
              <w:jc w:val="center"/>
            </w:pPr>
            <w:r>
              <w:t>用途</w:t>
            </w:r>
            <w:r>
              <w:rPr>
                <w:rFonts w:eastAsia="Noto Sans CJK SC" w:ascii="Calibri" w:hAnsi="Calibri"/>
                <w:b/>
                <w:color w:val="2E74B5"/>
                <w:sz w:val="17"/>
              </w:rPr>
            </w:r>
          </w:p>
        </w:tc>
      </w:tr>
      <w:tr>
        <w:trPr>
          <w:cantSplit/>
        </w:trPr>
        <w:tc>
          <w:tcPr>
            <w:tcW w:type="dxa" w:w="2160"/>
            <w:vAlign w:val="center"/>
          </w:tcPr>
          <w:p>
            <w:pPr>
              <w:spacing w:before="0" w:after="0" w:line="252" w:lineRule="auto"/>
              <w:jc w:val="left"/>
            </w:pPr>
            <w:r>
              <w:t>Knowledge Graph / Taxonomy</w:t>
            </w:r>
            <w:r>
              <w:rPr>
                <w:rFonts w:eastAsia="Noto Sans CJK SC" w:ascii="Calibri" w:hAnsi="Calibri"/>
                <w:b/>
                <w:color w:val="263746"/>
                <w:sz w:val="14"/>
              </w:rPr>
            </w:r>
          </w:p>
        </w:tc>
        <w:tc>
          <w:tcPr>
            <w:tcW w:type="dxa" w:w="4320"/>
            <w:vAlign w:val="center"/>
          </w:tcPr>
          <w:p>
            <w:pPr>
              <w:spacing w:before="0" w:after="0" w:line="252" w:lineRule="auto"/>
              <w:jc w:val="left"/>
            </w:pPr>
            <w:r>
              <w:t>node_id、label_id、dimension、grade、definition、taxonomy_version、status</w:t>
            </w:r>
            <w:r>
              <w:rPr>
                <w:rFonts w:eastAsia="Noto Sans CJK SC" w:ascii="Calibri" w:hAnsi="Calibri"/>
                <w:b w:val="0"/>
                <w:color w:val="263746"/>
                <w:sz w:val="14"/>
              </w:rPr>
            </w:r>
          </w:p>
        </w:tc>
        <w:tc>
          <w:tcPr>
            <w:tcW w:type="dxa" w:w="2880"/>
            <w:vAlign w:val="center"/>
          </w:tcPr>
          <w:p>
            <w:pPr>
              <w:spacing w:before="0" w:after="0" w:line="252" w:lineRule="auto"/>
              <w:jc w:val="left"/>
            </w:pPr>
            <w:r>
              <w:t>作为内容自动标注、诊断、任务检索和课程约束的受控标签空间。</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Content &amp; Asset Store</w:t>
            </w:r>
            <w:r>
              <w:rPr>
                <w:rFonts w:eastAsia="Noto Sans CJK SC" w:ascii="Calibri" w:hAnsi="Calibri"/>
                <w:b/>
                <w:color w:val="263746"/>
                <w:sz w:val="14"/>
              </w:rPr>
            </w:r>
          </w:p>
        </w:tc>
        <w:tc>
          <w:tcPr>
            <w:tcW w:type="dxa" w:w="4320"/>
            <w:vAlign w:val="center"/>
          </w:tcPr>
          <w:p>
            <w:pPr>
              <w:spacing w:before="0" w:after="0" w:line="252" w:lineRule="auto"/>
              <w:jc w:val="left"/>
            </w:pPr>
            <w:r>
              <w:t>content_id、type、source、file_uri、grade、unit、version、rights</w:t>
            </w:r>
            <w:r>
              <w:rPr>
                <w:rFonts w:eastAsia="Noto Sans CJK SC" w:ascii="Calibri" w:hAnsi="Calibri"/>
                <w:b w:val="0"/>
                <w:color w:val="263746"/>
                <w:sz w:val="14"/>
              </w:rPr>
            </w:r>
          </w:p>
        </w:tc>
        <w:tc>
          <w:tcPr>
            <w:tcW w:type="dxa" w:w="2880"/>
            <w:vAlign w:val="center"/>
          </w:tcPr>
          <w:p>
            <w:pPr>
              <w:spacing w:before="0" w:after="0" w:line="252" w:lineRule="auto"/>
              <w:jc w:val="left"/>
            </w:pPr>
            <w:r>
              <w:t>保存教材、文本、图片、音频、视频、教案和其他内容资产。</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Annotation Store / Audit</w:t>
            </w:r>
            <w:r>
              <w:rPr>
                <w:rFonts w:eastAsia="Noto Sans CJK SC" w:ascii="Calibri" w:hAnsi="Calibri"/>
                <w:b/>
                <w:color w:val="263746"/>
                <w:sz w:val="14"/>
              </w:rPr>
            </w:r>
          </w:p>
        </w:tc>
        <w:tc>
          <w:tcPr>
            <w:tcW w:type="dxa" w:w="4320"/>
            <w:vAlign w:val="center"/>
          </w:tcPr>
          <w:p>
            <w:pPr>
              <w:spacing w:before="0" w:after="0" w:line="252" w:lineRule="auto"/>
              <w:jc w:val="left"/>
            </w:pPr>
            <w:r>
              <w:t>content_id、label_id、evidence、confidence、annotation_model、taxonomy_version、review_status、reviewer_action</w:t>
            </w:r>
            <w:r>
              <w:rPr>
                <w:rFonts w:eastAsia="Noto Sans CJK SC" w:ascii="Calibri" w:hAnsi="Calibri"/>
                <w:b w:val="0"/>
                <w:color w:val="263746"/>
                <w:sz w:val="14"/>
              </w:rPr>
            </w:r>
          </w:p>
        </w:tc>
        <w:tc>
          <w:tcPr>
            <w:tcW w:type="dxa" w:w="2880"/>
            <w:vAlign w:val="center"/>
          </w:tcPr>
          <w:p>
            <w:pPr>
              <w:spacing w:before="0" w:after="0" w:line="252" w:lineRule="auto"/>
              <w:jc w:val="left"/>
            </w:pPr>
            <w:r>
              <w:t>支撑 LLM 标注治理、抽检、纠错、版本追踪和质量评估。</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Task Repository / Metadata</w:t>
            </w:r>
            <w:r>
              <w:rPr>
                <w:rFonts w:eastAsia="Noto Sans CJK SC" w:ascii="Calibri" w:hAnsi="Calibri"/>
                <w:b/>
                <w:color w:val="263746"/>
                <w:sz w:val="14"/>
              </w:rPr>
            </w:r>
          </w:p>
        </w:tc>
        <w:tc>
          <w:tcPr>
            <w:tcW w:type="dxa" w:w="4320"/>
            <w:vAlign w:val="center"/>
          </w:tcPr>
          <w:p>
            <w:pPr>
              <w:spacing w:before="0" w:after="0" w:line="252" w:lineRule="auto"/>
              <w:jc w:val="left"/>
            </w:pPr>
            <w:r>
              <w:t>知识/技能节点、Bloom 要求、思维维度、IRT 难度参数、预计时长、资源类型、适用年级、标注置信度</w:t>
            </w:r>
            <w:r>
              <w:rPr>
                <w:rFonts w:eastAsia="Noto Sans CJK SC" w:ascii="Calibri" w:hAnsi="Calibri"/>
                <w:b w:val="0"/>
                <w:color w:val="263746"/>
                <w:sz w:val="14"/>
              </w:rPr>
            </w:r>
          </w:p>
        </w:tc>
        <w:tc>
          <w:tcPr>
            <w:tcW w:type="dxa" w:w="2880"/>
            <w:vAlign w:val="center"/>
          </w:tcPr>
          <w:p>
            <w:pPr>
              <w:spacing w:before="0" w:after="0" w:line="252" w:lineRule="auto"/>
              <w:jc w:val="left"/>
            </w:pPr>
            <w:r>
              <w:t>支撑候选检索、规则推荐、路径组装和 Verifier。</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Curriculum &amp; Plan Store</w:t>
            </w:r>
            <w:r>
              <w:rPr>
                <w:rFonts w:eastAsia="Noto Sans CJK SC" w:ascii="Calibri" w:hAnsi="Calibri"/>
                <w:b/>
                <w:color w:val="263746"/>
                <w:sz w:val="14"/>
              </w:rPr>
            </w:r>
          </w:p>
        </w:tc>
        <w:tc>
          <w:tcPr>
            <w:tcW w:type="dxa" w:w="4320"/>
            <w:vAlign w:val="center"/>
          </w:tcPr>
          <w:p>
            <w:pPr>
              <w:spacing w:before="0" w:after="0" w:line="252" w:lineRule="auto"/>
              <w:jc w:val="left"/>
            </w:pPr>
            <w:r>
              <w:t>course_id、unit、lesson、plan_version、teacher_constraints、publish_status</w:t>
            </w:r>
            <w:r>
              <w:rPr>
                <w:rFonts w:eastAsia="Noto Sans CJK SC" w:ascii="Calibri" w:hAnsi="Calibri"/>
                <w:b w:val="0"/>
                <w:color w:val="263746"/>
                <w:sz w:val="14"/>
              </w:rPr>
            </w:r>
          </w:p>
        </w:tc>
        <w:tc>
          <w:tcPr>
            <w:tcW w:type="dxa" w:w="2880"/>
            <w:vAlign w:val="center"/>
          </w:tcPr>
          <w:p>
            <w:pPr>
              <w:spacing w:before="0" w:after="0" w:line="252" w:lineRule="auto"/>
              <w:jc w:val="left"/>
            </w:pPr>
            <w:r>
              <w:t>保存课程包、单元计划、教案、练习计划、分层作业和发布版本。</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Learning Evidence</w:t>
            </w:r>
            <w:r>
              <w:rPr>
                <w:rFonts w:eastAsia="Noto Sans CJK SC" w:ascii="Calibri" w:hAnsi="Calibri"/>
                <w:b/>
                <w:color w:val="263746"/>
                <w:sz w:val="14"/>
              </w:rPr>
            </w:r>
          </w:p>
        </w:tc>
        <w:tc>
          <w:tcPr>
            <w:tcW w:type="dxa" w:w="4320"/>
            <w:vAlign w:val="center"/>
          </w:tcPr>
          <w:p>
            <w:pPr>
              <w:spacing w:before="0" w:after="0" w:line="252" w:lineRule="auto"/>
              <w:jc w:val="left"/>
            </w:pPr>
            <w:r>
              <w:t>learner_id、task_id、response、score、error、duration、attempt、hint、click、draft、reflection、teacher_judgement</w:t>
            </w:r>
            <w:r>
              <w:rPr>
                <w:rFonts w:eastAsia="Noto Sans CJK SC" w:ascii="Calibri" w:hAnsi="Calibri"/>
                <w:b w:val="0"/>
                <w:color w:val="263746"/>
                <w:sz w:val="14"/>
              </w:rPr>
            </w:r>
          </w:p>
        </w:tc>
        <w:tc>
          <w:tcPr>
            <w:tcW w:type="dxa" w:w="2880"/>
            <w:vAlign w:val="center"/>
          </w:tcPr>
          <w:p>
            <w:pPr>
              <w:spacing w:before="0" w:after="0" w:line="252" w:lineRule="auto"/>
              <w:jc w:val="left"/>
            </w:pPr>
            <w:r>
              <w:t>作为 BKT 更新、IRT 校准、诊断、状态更新和评估的原始证据。</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Learner Profile</w:t>
            </w:r>
            <w:r>
              <w:rPr>
                <w:rFonts w:eastAsia="Noto Sans CJK SC" w:ascii="Calibri" w:hAnsi="Calibri"/>
                <w:b/>
                <w:color w:val="263746"/>
                <w:sz w:val="14"/>
              </w:rPr>
            </w:r>
          </w:p>
        </w:tc>
        <w:tc>
          <w:tcPr>
            <w:tcW w:type="dxa" w:w="4320"/>
            <w:vAlign w:val="center"/>
          </w:tcPr>
          <w:p>
            <w:pPr>
              <w:spacing w:before="0" w:after="0" w:line="252" w:lineRule="auto"/>
              <w:jc w:val="left"/>
            </w:pPr>
            <w:r>
              <w:t>基础信息、兴趣偏好、知识/技能/策略状态、思维品质画像、教师约束</w:t>
            </w:r>
            <w:r>
              <w:rPr>
                <w:rFonts w:eastAsia="Noto Sans CJK SC" w:ascii="Calibri" w:hAnsi="Calibri"/>
                <w:b w:val="0"/>
                <w:color w:val="263746"/>
                <w:sz w:val="14"/>
              </w:rPr>
            </w:r>
          </w:p>
        </w:tc>
        <w:tc>
          <w:tcPr>
            <w:tcW w:type="dxa" w:w="2880"/>
            <w:vAlign w:val="center"/>
          </w:tcPr>
          <w:p>
            <w:pPr>
              <w:spacing w:before="0" w:after="0" w:line="252" w:lineRule="auto"/>
              <w:jc w:val="left"/>
            </w:pPr>
            <w:r>
              <w:t>支持个性化诊断和任务匹配。</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BKT / IRT Model State</w:t>
            </w:r>
            <w:r>
              <w:rPr>
                <w:rFonts w:eastAsia="Noto Sans CJK SC" w:ascii="Calibri" w:hAnsi="Calibri"/>
                <w:b/>
                <w:color w:val="263746"/>
                <w:sz w:val="14"/>
              </w:rPr>
            </w:r>
          </w:p>
        </w:tc>
        <w:tc>
          <w:tcPr>
            <w:tcW w:type="dxa" w:w="4320"/>
            <w:vAlign w:val="center"/>
          </w:tcPr>
          <w:p>
            <w:pPr>
              <w:spacing w:before="0" w:after="0" w:line="252" w:lineRule="auto"/>
              <w:jc w:val="left"/>
            </w:pPr>
            <w:r>
              <w:t>knowledge_id、P(L)、BKT 参数/版本、learner θ、standard_error、item b/a、calibration_version、updated_at</w:t>
            </w:r>
            <w:r>
              <w:rPr>
                <w:rFonts w:eastAsia="Noto Sans CJK SC" w:ascii="Calibri" w:hAnsi="Calibri"/>
                <w:b w:val="0"/>
                <w:color w:val="263746"/>
                <w:sz w:val="14"/>
              </w:rPr>
            </w:r>
          </w:p>
        </w:tc>
        <w:tc>
          <w:tcPr>
            <w:tcW w:type="dxa" w:w="2880"/>
            <w:vAlign w:val="center"/>
          </w:tcPr>
          <w:p>
            <w:pPr>
              <w:spacing w:before="0" w:after="0" w:line="252" w:lineRule="auto"/>
              <w:jc w:val="left"/>
            </w:pPr>
            <w:r>
              <w:t>支撑知识掌握追踪、能力—难度匹配、校准、审计和可复现评估。</w:t>
            </w:r>
            <w:r>
              <w:rPr>
                <w:rFonts w:eastAsia="Noto Sans CJK SC" w:ascii="Calibri" w:hAnsi="Calibri"/>
                <w:b w:val="0"/>
                <w:color w:val="263746"/>
                <w:sz w:val="14"/>
              </w:rPr>
            </w:r>
          </w:p>
        </w:tc>
      </w:tr>
      <w:tr>
        <w:trPr>
          <w:cantSplit/>
        </w:trPr>
        <w:tc>
          <w:tcPr>
            <w:tcW w:type="dxa" w:w="2160"/>
            <w:vAlign w:val="center"/>
          </w:tcPr>
          <w:p>
            <w:pPr>
              <w:spacing w:before="0" w:after="0" w:line="252" w:lineRule="auto"/>
              <w:jc w:val="left"/>
            </w:pPr>
            <w:r>
              <w:t>Decision Trace / Teacher Audit</w:t>
            </w:r>
            <w:r>
              <w:rPr>
                <w:rFonts w:eastAsia="Noto Sans CJK SC" w:ascii="Calibri" w:hAnsi="Calibri"/>
                <w:b/>
                <w:color w:val="263746"/>
                <w:sz w:val="14"/>
              </w:rPr>
            </w:r>
          </w:p>
        </w:tc>
        <w:tc>
          <w:tcPr>
            <w:tcW w:type="dxa" w:w="4320"/>
            <w:vAlign w:val="center"/>
          </w:tcPr>
          <w:p>
            <w:pPr>
              <w:spacing w:before="0" w:after="0" w:line="252" w:lineRule="auto"/>
              <w:jc w:val="left"/>
            </w:pPr>
            <w:r>
              <w:t>输入证据摘要、BKT/IRT 快照、规则命中/排除、阈值、规则版本、Lint/Verifier、教师操作、输出版本</w:t>
            </w:r>
            <w:r>
              <w:rPr>
                <w:rFonts w:eastAsia="Noto Sans CJK SC" w:ascii="Calibri" w:hAnsi="Calibri"/>
                <w:b w:val="0"/>
                <w:color w:val="263746"/>
                <w:sz w:val="14"/>
              </w:rPr>
            </w:r>
          </w:p>
        </w:tc>
        <w:tc>
          <w:tcPr>
            <w:tcW w:type="dxa" w:w="2880"/>
            <w:vAlign w:val="center"/>
          </w:tcPr>
          <w:p>
            <w:pPr>
              <w:spacing w:before="0" w:after="0" w:line="252" w:lineRule="auto"/>
              <w:jc w:val="left"/>
            </w:pPr>
            <w:r>
              <w:t>支撑教师审计解释、重放、监控、规则治理和模型迭代。</w:t>
            </w:r>
            <w:r>
              <w:rPr>
                <w:rFonts w:eastAsia="Noto Sans CJK SC" w:ascii="Calibri" w:hAnsi="Calibri"/>
                <w:b w:val="0"/>
                <w:color w:val="263746"/>
                <w:sz w:val="14"/>
              </w:rPr>
            </w:r>
          </w:p>
        </w:tc>
      </w:tr>
      <w:tr>
        <w:tc>
          <w:tcPr>
            <w:tcW w:type="dxa" w:w="3120"/>
            <w:vAlign w:val="center"/>
          </w:tcPr>
          <w:p>
            <w:pPr>
              <w:spacing w:after="0" w:line="240" w:lineRule="auto"/>
              <w:jc w:val="left"/>
            </w:pPr>
            <w:r>
              <w:t>Evidence Registry / Claim–Evidence Matrix</w:t>
            </w:r>
            <w:r>
              <w:rPr>
                <w:rFonts w:ascii="Arial" w:hAnsi="Arial" w:eastAsia="Noto Sans CJK SC"/>
                <w:b w:val="0"/>
                <w:i w:val="0"/>
                <w:color w:val="25313C"/>
                <w:sz w:val="16"/>
              </w:rPr>
            </w:r>
          </w:p>
        </w:tc>
        <w:tc>
          <w:tcPr>
            <w:tcW w:type="dxa" w:w="3120"/>
            <w:vAlign w:val="center"/>
          </w:tcPr>
          <w:p>
            <w:pPr>
              <w:spacing w:after="0" w:line="240" w:lineRule="auto"/>
              <w:jc w:val="left"/>
            </w:pPr>
            <w:r>
              <w:t>claim_id、statement、context、source_id、support_level、applicability、conflicts、gaps、limitations、review_status、version</w:t>
            </w:r>
            <w:r>
              <w:rPr>
                <w:rFonts w:ascii="Arial" w:hAnsi="Arial" w:eastAsia="Noto Sans CJK SC"/>
                <w:b w:val="0"/>
                <w:i w:val="0"/>
                <w:color w:val="25313C"/>
                <w:sz w:val="16"/>
              </w:rPr>
            </w:r>
          </w:p>
        </w:tc>
        <w:tc>
          <w:tcPr>
            <w:tcW w:type="dxa" w:w="3120"/>
            <w:vAlign w:val="center"/>
          </w:tcPr>
          <w:p>
            <w:pPr>
              <w:spacing w:after="0" w:line="240" w:lineRule="auto"/>
              <w:jc w:val="left"/>
            </w:pPr>
            <w:r>
              <w:t>支撑核心架构、算法、量规和评估主张的研究依据治理、审计和版本替代。</w:t>
            </w:r>
            <w:r>
              <w:rPr>
                <w:rFonts w:ascii="Arial" w:hAnsi="Arial" w:eastAsia="Noto Sans CJK SC"/>
                <w:b w:val="0"/>
                <w:i w:val="0"/>
                <w:color w:val="25313C"/>
                <w:sz w:val="16"/>
              </w:rPr>
            </w:r>
          </w:p>
        </w:tc>
      </w:tr>
      <w:tr>
        <w:tc>
          <w:tcPr>
            <w:tcW w:type="dxa" w:w="3120"/>
            <w:vAlign w:val="center"/>
          </w:tcPr>
          <w:p>
            <w:pPr>
              <w:spacing w:after="0" w:line="240" w:lineRule="auto"/>
              <w:jc w:val="left"/>
            </w:pPr>
            <w:r>
              <w:t>Lint Rule / Profile / Result</w:t>
            </w:r>
            <w:r>
              <w:rPr>
                <w:rFonts w:ascii="Arial" w:hAnsi="Arial" w:eastAsia="Noto Sans CJK SC"/>
                <w:b w:val="0"/>
                <w:i w:val="0"/>
                <w:color w:val="25313C"/>
                <w:sz w:val="16"/>
              </w:rPr>
            </w:r>
          </w:p>
        </w:tc>
        <w:tc>
          <w:tcPr>
            <w:tcW w:type="dxa" w:w="3120"/>
            <w:vAlign w:val="center"/>
          </w:tcPr>
          <w:p>
            <w:pPr>
              <w:spacing w:after="0" w:line="240" w:lineRule="auto"/>
              <w:jc w:val="left"/>
            </w:pPr>
            <w:r>
              <w:t>rule_id、category、severity、autofix、scope、profile_version、findings、decision、fix_diff、exception</w:t>
            </w:r>
            <w:r>
              <w:rPr>
                <w:rFonts w:ascii="Arial" w:hAnsi="Arial" w:eastAsia="Noto Sans CJK SC"/>
                <w:b w:val="0"/>
                <w:i w:val="0"/>
                <w:color w:val="25313C"/>
                <w:sz w:val="16"/>
              </w:rPr>
            </w:r>
          </w:p>
        </w:tc>
        <w:tc>
          <w:tcPr>
            <w:tcW w:type="dxa" w:w="3120"/>
            <w:vAlign w:val="center"/>
          </w:tcPr>
          <w:p>
            <w:pPr>
              <w:spacing w:after="0" w:line="240" w:lineRule="auto"/>
              <w:jc w:val="left"/>
            </w:pPr>
            <w:r>
              <w:t>支撑跨内容、路径、输出、数据和引用的统一质量门禁。</w:t>
            </w:r>
            <w:r>
              <w:rPr>
                <w:rFonts w:ascii="Arial" w:hAnsi="Arial" w:eastAsia="Noto Sans CJK SC"/>
                <w:b w:val="0"/>
                <w:i w:val="0"/>
                <w:color w:val="25313C"/>
                <w:sz w:val="16"/>
              </w:rPr>
            </w:r>
          </w:p>
        </w:tc>
      </w:tr>
      <w:tr>
        <w:tc>
          <w:tcPr>
            <w:tcW w:type="dxa" w:w="3120"/>
            <w:vAlign w:val="center"/>
          </w:tcPr>
          <w:p>
            <w:pPr>
              <w:spacing w:after="0" w:line="240" w:lineRule="auto"/>
              <w:jc w:val="left"/>
            </w:pPr>
            <w:r>
              <w:t>ReviewCase / Quality Audit Log</w:t>
            </w:r>
            <w:r>
              <w:rPr>
                <w:rFonts w:ascii="Arial" w:hAnsi="Arial" w:eastAsia="Noto Sans CJK SC"/>
                <w:b w:val="0"/>
                <w:i w:val="0"/>
                <w:color w:val="25313C"/>
                <w:sz w:val="16"/>
              </w:rPr>
            </w:r>
          </w:p>
        </w:tc>
        <w:tc>
          <w:tcPr>
            <w:tcW w:type="dxa" w:w="3120"/>
            <w:vAlign w:val="center"/>
          </w:tcPr>
          <w:p>
            <w:pPr>
              <w:spacing w:after="0" w:line="240" w:lineRule="auto"/>
              <w:jc w:val="left"/>
            </w:pPr>
            <w:r>
              <w:t>case_id、object_id、risk_level、assignee、status、reviewer_action、exception_reason、rule/model_version</w:t>
            </w:r>
            <w:r>
              <w:rPr>
                <w:rFonts w:ascii="Arial" w:hAnsi="Arial" w:eastAsia="Noto Sans CJK SC"/>
                <w:b w:val="0"/>
                <w:i w:val="0"/>
                <w:color w:val="25313C"/>
                <w:sz w:val="16"/>
              </w:rPr>
            </w:r>
          </w:p>
        </w:tc>
        <w:tc>
          <w:tcPr>
            <w:tcW w:type="dxa" w:w="3120"/>
            <w:vAlign w:val="center"/>
          </w:tcPr>
          <w:p>
            <w:pPr>
              <w:spacing w:after="0" w:line="240" w:lineRule="auto"/>
              <w:jc w:val="left"/>
            </w:pPr>
            <w:r>
              <w:t>支撑 REVIEW/BLOCK 处理、专家复核、例外审批和质量追踪。</w:t>
            </w:r>
            <w:r>
              <w:rPr>
                <w:rFonts w:ascii="Arial" w:hAnsi="Arial" w:eastAsia="Noto Sans CJK SC"/>
                <w:b w:val="0"/>
                <w:i w:val="0"/>
                <w:color w:val="25313C"/>
                <w:sz w:val="16"/>
              </w:rPr>
            </w:r>
          </w:p>
        </w:tc>
      </w:tr>
    </w:tbl>
    <w:p>
      <w:pPr>
        <w:pStyle w:val="Heading2"/>
        <w:keepNext/>
        <w:spacing w:before="140" w:after="80"/>
      </w:pPr>
      <w:r>
        <w:t>10.3 在线与离线工作流</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trPr>
        <w:tc>
          <w:tcPr>
            <w:tcW w:type="dxa" w:w="1800"/>
            <w:shd w:fill="D9EAF7"/>
            <w:vAlign w:val="center"/>
          </w:tcPr>
          <w:p>
            <w:pPr>
              <w:spacing w:before="0" w:after="0" w:line="252" w:lineRule="auto"/>
              <w:jc w:val="center"/>
            </w:pPr>
            <w:r>
              <w:t>工作流</w:t>
            </w:r>
            <w:r>
              <w:rPr>
                <w:rFonts w:eastAsia="Noto Sans CJK SC" w:ascii="Calibri" w:hAnsi="Calibri"/>
                <w:b/>
                <w:color w:val="2E74B5"/>
                <w:sz w:val="17"/>
              </w:rPr>
            </w:r>
          </w:p>
        </w:tc>
        <w:tc>
          <w:tcPr>
            <w:tcW w:type="dxa" w:w="3600"/>
            <w:shd w:fill="D9EAF7"/>
            <w:vAlign w:val="center"/>
          </w:tcPr>
          <w:p>
            <w:pPr>
              <w:spacing w:before="0" w:after="0" w:line="252" w:lineRule="auto"/>
              <w:jc w:val="center"/>
            </w:pPr>
            <w:r>
              <w:t>主要任务</w:t>
            </w:r>
            <w:r>
              <w:rPr>
                <w:rFonts w:eastAsia="Noto Sans CJK SC" w:ascii="Calibri" w:hAnsi="Calibri"/>
                <w:b/>
                <w:color w:val="2E74B5"/>
                <w:sz w:val="17"/>
              </w:rPr>
            </w:r>
          </w:p>
        </w:tc>
        <w:tc>
          <w:tcPr>
            <w:tcW w:type="dxa" w:w="2160"/>
            <w:shd w:fill="D9EAF7"/>
            <w:vAlign w:val="center"/>
          </w:tcPr>
          <w:p>
            <w:pPr>
              <w:spacing w:before="0" w:after="0" w:line="252" w:lineRule="auto"/>
              <w:jc w:val="center"/>
            </w:pPr>
            <w:r>
              <w:t>触发方式</w:t>
            </w:r>
            <w:r>
              <w:rPr>
                <w:rFonts w:eastAsia="Noto Sans CJK SC" w:ascii="Calibri" w:hAnsi="Calibri"/>
                <w:b/>
                <w:color w:val="2E74B5"/>
                <w:sz w:val="17"/>
              </w:rPr>
            </w:r>
          </w:p>
        </w:tc>
        <w:tc>
          <w:tcPr>
            <w:tcW w:type="dxa" w:w="1800"/>
            <w:shd w:fill="D9EAF7"/>
            <w:vAlign w:val="center"/>
          </w:tcPr>
          <w:p>
            <w:pPr>
              <w:spacing w:before="0" w:after="0" w:line="252" w:lineRule="auto"/>
              <w:jc w:val="center"/>
            </w:pPr>
            <w:r>
              <w:t>性能要求</w:t>
            </w:r>
            <w:r>
              <w:rPr>
                <w:rFonts w:eastAsia="Noto Sans CJK SC" w:ascii="Calibri" w:hAnsi="Calibri"/>
                <w:b/>
                <w:color w:val="2E74B5"/>
                <w:sz w:val="17"/>
              </w:rPr>
            </w:r>
          </w:p>
        </w:tc>
      </w:tr>
      <w:tr>
        <w:trPr>
          <w:cantSplit/>
        </w:trPr>
        <w:tc>
          <w:tcPr>
            <w:tcW w:type="dxa" w:w="1800"/>
            <w:vAlign w:val="center"/>
          </w:tcPr>
          <w:p>
            <w:pPr>
              <w:spacing w:before="0" w:after="0" w:line="252" w:lineRule="auto"/>
              <w:jc w:val="left"/>
            </w:pPr>
            <w:r>
              <w:t>内容生产与自动标注</w:t>
            </w:r>
            <w:r>
              <w:rPr>
                <w:rFonts w:eastAsia="Noto Sans CJK SC" w:ascii="Calibri" w:hAnsi="Calibri"/>
                <w:b/>
                <w:color w:val="263746"/>
                <w:sz w:val="14"/>
              </w:rPr>
            </w:r>
          </w:p>
        </w:tc>
        <w:tc>
          <w:tcPr>
            <w:tcW w:type="dxa" w:w="3600"/>
            <w:vAlign w:val="center"/>
          </w:tcPr>
          <w:p>
            <w:pPr>
              <w:spacing w:before="0" w:after="0" w:line="252" w:lineRule="auto"/>
              <w:jc w:val="left"/>
            </w:pPr>
            <w:r>
              <w:t>内容解析、候选标签检索、LLM 多维标注、QC、置信分流、抽检复核、入库与索引。</w:t>
            </w:r>
            <w:r>
              <w:rPr>
                <w:rFonts w:eastAsia="Noto Sans CJK SC" w:ascii="Calibri" w:hAnsi="Calibri"/>
                <w:b w:val="0"/>
                <w:color w:val="263746"/>
                <w:sz w:val="14"/>
              </w:rPr>
            </w:r>
          </w:p>
        </w:tc>
        <w:tc>
          <w:tcPr>
            <w:tcW w:type="dxa" w:w="2160"/>
            <w:vAlign w:val="center"/>
          </w:tcPr>
          <w:p>
            <w:pPr>
              <w:spacing w:before="0" w:after="0" w:line="252" w:lineRule="auto"/>
              <w:jc w:val="left"/>
            </w:pPr>
            <w:r>
              <w:t>内容新增/修改、批量导入、标签体系升级。</w:t>
            </w:r>
            <w:r>
              <w:rPr>
                <w:rFonts w:eastAsia="Noto Sans CJK SC" w:ascii="Calibri" w:hAnsi="Calibri"/>
                <w:b w:val="0"/>
                <w:color w:val="263746"/>
                <w:sz w:val="14"/>
              </w:rPr>
            </w:r>
          </w:p>
        </w:tc>
        <w:tc>
          <w:tcPr>
            <w:tcW w:type="dxa" w:w="1800"/>
            <w:vAlign w:val="center"/>
          </w:tcPr>
          <w:p>
            <w:pPr>
              <w:spacing w:before="0" w:after="0" w:line="252" w:lineRule="auto"/>
              <w:jc w:val="left"/>
            </w:pPr>
            <w:r>
              <w:t>允许异步批处理；强调版本、证据、可回溯和单位内容成本。</w:t>
            </w:r>
            <w:r>
              <w:rPr>
                <w:rFonts w:eastAsia="Noto Sans CJK SC" w:ascii="Calibri" w:hAnsi="Calibri"/>
                <w:b w:val="0"/>
                <w:color w:val="263746"/>
                <w:sz w:val="14"/>
              </w:rPr>
            </w:r>
          </w:p>
        </w:tc>
      </w:tr>
      <w:tr>
        <w:trPr>
          <w:cantSplit/>
        </w:trPr>
        <w:tc>
          <w:tcPr>
            <w:tcW w:type="dxa" w:w="1800"/>
            <w:vAlign w:val="center"/>
          </w:tcPr>
          <w:p>
            <w:pPr>
              <w:spacing w:before="0" w:after="0" w:line="252" w:lineRule="auto"/>
              <w:jc w:val="left"/>
            </w:pPr>
            <w:r>
              <w:t>离线/准实时状态更新</w:t>
            </w:r>
            <w:r>
              <w:rPr>
                <w:rFonts w:eastAsia="Noto Sans CJK SC" w:ascii="Calibri" w:hAnsi="Calibri"/>
                <w:b/>
                <w:color w:val="263746"/>
                <w:sz w:val="14"/>
              </w:rPr>
            </w:r>
          </w:p>
        </w:tc>
        <w:tc>
          <w:tcPr>
            <w:tcW w:type="dxa" w:w="3600"/>
            <w:vAlign w:val="center"/>
          </w:tcPr>
          <w:p>
            <w:pPr>
              <w:spacing w:before="0" w:after="0" w:line="252" w:lineRule="auto"/>
              <w:jc w:val="left"/>
            </w:pPr>
            <w:r>
              <w:t>批量接入证据、特征计算、BKT 按知识点更新、IRT 能力/项目参数校准、Bloom/思维证据聚合、班级统计。</w:t>
            </w:r>
            <w:r>
              <w:rPr>
                <w:rFonts w:eastAsia="Noto Sans CJK SC" w:ascii="Calibri" w:hAnsi="Calibri"/>
                <w:b w:val="0"/>
                <w:color w:val="263746"/>
                <w:sz w:val="14"/>
              </w:rPr>
            </w:r>
          </w:p>
        </w:tc>
        <w:tc>
          <w:tcPr>
            <w:tcW w:type="dxa" w:w="2160"/>
            <w:vAlign w:val="center"/>
          </w:tcPr>
          <w:p>
            <w:pPr>
              <w:spacing w:before="0" w:after="0" w:line="252" w:lineRule="auto"/>
              <w:jc w:val="left"/>
            </w:pPr>
            <w:r>
              <w:t>作业/测验完成、定时任务或教师导入。</w:t>
            </w:r>
            <w:r>
              <w:rPr>
                <w:rFonts w:eastAsia="Noto Sans CJK SC" w:ascii="Calibri" w:hAnsi="Calibri"/>
                <w:b w:val="0"/>
                <w:color w:val="263746"/>
                <w:sz w:val="14"/>
              </w:rPr>
            </w:r>
          </w:p>
        </w:tc>
        <w:tc>
          <w:tcPr>
            <w:tcW w:type="dxa" w:w="1800"/>
            <w:vAlign w:val="center"/>
          </w:tcPr>
          <w:p>
            <w:pPr>
              <w:spacing w:before="0" w:after="0" w:line="252" w:lineRule="auto"/>
              <w:jc w:val="left"/>
            </w:pPr>
            <w:r>
              <w:t>BKT 可准实时更新；IRT 按数据量批次校准；强调置信度、标准误、版本和稳定性。</w:t>
            </w:r>
            <w:r>
              <w:rPr>
                <w:rFonts w:eastAsia="Noto Sans CJK SC" w:ascii="Calibri" w:hAnsi="Calibri"/>
                <w:b w:val="0"/>
                <w:color w:val="263746"/>
                <w:sz w:val="14"/>
              </w:rPr>
            </w:r>
          </w:p>
        </w:tc>
      </w:tr>
      <w:tr>
        <w:trPr>
          <w:cantSplit/>
        </w:trPr>
        <w:tc>
          <w:tcPr>
            <w:tcW w:type="dxa" w:w="1800"/>
            <w:vAlign w:val="center"/>
          </w:tcPr>
          <w:p>
            <w:pPr>
              <w:spacing w:before="0" w:after="0" w:line="252" w:lineRule="auto"/>
              <w:jc w:val="left"/>
            </w:pPr>
            <w:r>
              <w:t>在线诊断与规则推荐</w:t>
            </w:r>
            <w:r>
              <w:rPr>
                <w:rFonts w:eastAsia="Noto Sans CJK SC" w:ascii="Calibri" w:hAnsi="Calibri"/>
                <w:b/>
                <w:color w:val="263746"/>
                <w:sz w:val="14"/>
              </w:rPr>
            </w:r>
          </w:p>
        </w:tc>
        <w:tc>
          <w:tcPr>
            <w:tcW w:type="dxa" w:w="3600"/>
            <w:vAlign w:val="center"/>
          </w:tcPr>
          <w:p>
            <w:pPr>
              <w:spacing w:before="0" w:after="0" w:line="252" w:lineRule="auto"/>
              <w:jc w:val="left"/>
            </w:pPr>
            <w:r>
              <w:t>意图路由、读取 BKT/IRT 状态、双诊断、候选召回、硬过滤、规则评分、路径组装、Path Lint、Verifier、审计解释和教师确认。</w:t>
            </w:r>
            <w:r>
              <w:rPr>
                <w:rFonts w:eastAsia="Noto Sans CJK SC" w:ascii="Calibri" w:hAnsi="Calibri"/>
                <w:b w:val="0"/>
                <w:color w:val="263746"/>
                <w:sz w:val="14"/>
              </w:rPr>
            </w:r>
          </w:p>
        </w:tc>
        <w:tc>
          <w:tcPr>
            <w:tcW w:type="dxa" w:w="2160"/>
            <w:vAlign w:val="center"/>
          </w:tcPr>
          <w:p>
            <w:pPr>
              <w:spacing w:before="0" w:after="0" w:line="252" w:lineRule="auto"/>
              <w:jc w:val="left"/>
            </w:pPr>
            <w:r>
              <w:t>教师或学生实时请求。</w:t>
            </w:r>
            <w:r>
              <w:rPr>
                <w:rFonts w:eastAsia="Noto Sans CJK SC" w:ascii="Calibri" w:hAnsi="Calibri"/>
                <w:b w:val="0"/>
                <w:color w:val="263746"/>
                <w:sz w:val="14"/>
              </w:rPr>
            </w:r>
          </w:p>
        </w:tc>
        <w:tc>
          <w:tcPr>
            <w:tcW w:type="dxa" w:w="1800"/>
            <w:vAlign w:val="center"/>
          </w:tcPr>
          <w:p>
            <w:pPr>
              <w:spacing w:before="0" w:after="0" w:line="252" w:lineRule="auto"/>
              <w:jc w:val="left"/>
            </w:pPr>
            <w:r>
              <w:t>强调低延迟、资源有效性、可重放、权限和失败降级。</w:t>
            </w:r>
            <w:r>
              <w:rPr>
                <w:rFonts w:eastAsia="Noto Sans CJK SC" w:ascii="Calibri" w:hAnsi="Calibri"/>
                <w:b w:val="0"/>
                <w:color w:val="263746"/>
                <w:sz w:val="14"/>
              </w:rPr>
            </w:r>
          </w:p>
        </w:tc>
      </w:tr>
      <w:tr>
        <w:tc>
          <w:tcPr>
            <w:tcW w:type="dxa" w:w="2340"/>
            <w:vAlign w:val="center"/>
          </w:tcPr>
          <w:p>
            <w:pPr>
              <w:spacing w:after="0" w:line="240" w:lineRule="auto"/>
              <w:jc w:val="left"/>
            </w:pPr>
            <w:r>
              <w:t>研究证据审查</w:t>
            </w:r>
            <w:r>
              <w:rPr>
                <w:rFonts w:ascii="Arial" w:hAnsi="Arial" w:eastAsia="Noto Sans CJK SC"/>
                <w:b w:val="0"/>
                <w:i w:val="0"/>
                <w:color w:val="25313C"/>
                <w:sz w:val="16"/>
              </w:rPr>
            </w:r>
          </w:p>
        </w:tc>
        <w:tc>
          <w:tcPr>
            <w:tcW w:type="dxa" w:w="2340"/>
            <w:vAlign w:val="center"/>
          </w:tcPr>
          <w:p>
            <w:pPr>
              <w:spacing w:after="0" w:line="240" w:lineRule="auto"/>
              <w:jc w:val="left"/>
            </w:pPr>
            <w:r>
              <w:t>Claim 提取、权威来源检索、质量与适用性评估、证据矩阵、引用门禁、专家审核和登记。</w:t>
            </w:r>
            <w:r>
              <w:rPr>
                <w:rFonts w:ascii="Arial" w:hAnsi="Arial" w:eastAsia="Noto Sans CJK SC"/>
                <w:b w:val="0"/>
                <w:i w:val="0"/>
                <w:color w:val="25313C"/>
                <w:sz w:val="16"/>
              </w:rPr>
            </w:r>
          </w:p>
        </w:tc>
        <w:tc>
          <w:tcPr>
            <w:tcW w:type="dxa" w:w="2340"/>
            <w:vAlign w:val="center"/>
          </w:tcPr>
          <w:p>
            <w:pPr>
              <w:spacing w:after="0" w:line="240" w:lineRule="auto"/>
              <w:jc w:val="left"/>
            </w:pPr>
            <w:r>
              <w:t>核心架构/算法/量规/指标新增或变更；证据版本更新。</w:t>
            </w:r>
            <w:r>
              <w:rPr>
                <w:rFonts w:ascii="Arial" w:hAnsi="Arial" w:eastAsia="Noto Sans CJK SC"/>
                <w:b w:val="0"/>
                <w:i w:val="0"/>
                <w:color w:val="25313C"/>
                <w:sz w:val="16"/>
              </w:rPr>
            </w:r>
          </w:p>
        </w:tc>
        <w:tc>
          <w:tcPr>
            <w:tcW w:type="dxa" w:w="2340"/>
            <w:vAlign w:val="center"/>
          </w:tcPr>
          <w:p>
            <w:pPr>
              <w:spacing w:after="0" w:line="240" w:lineRule="auto"/>
              <w:jc w:val="left"/>
            </w:pPr>
            <w:r>
              <w:t>允许异步执行；强调来源可核验、适用条件、引用真实性、审查版本和人工决定。</w:t>
            </w:r>
            <w:r>
              <w:rPr>
                <w:rFonts w:ascii="Arial" w:hAnsi="Arial" w:eastAsia="Noto Sans CJK SC"/>
                <w:b w:val="0"/>
                <w:i w:val="0"/>
                <w:color w:val="25313C"/>
                <w:sz w:val="16"/>
              </w:rPr>
            </w:r>
          </w:p>
        </w:tc>
      </w:tr>
      <w:tr>
        <w:tc>
          <w:tcPr>
            <w:tcW w:type="dxa" w:w="2340"/>
            <w:vAlign w:val="center"/>
          </w:tcPr>
          <w:p>
            <w:pPr>
              <w:spacing w:after="0" w:line="240" w:lineRule="auto"/>
              <w:jc w:val="left"/>
            </w:pPr>
            <w:r>
              <w:t>质量门禁执行</w:t>
            </w:r>
            <w:r>
              <w:rPr>
                <w:rFonts w:ascii="Arial" w:hAnsi="Arial" w:eastAsia="Noto Sans CJK SC"/>
                <w:b w:val="0"/>
                <w:i w:val="0"/>
                <w:color w:val="25313C"/>
                <w:sz w:val="16"/>
              </w:rPr>
            </w:r>
          </w:p>
        </w:tc>
        <w:tc>
          <w:tcPr>
            <w:tcW w:type="dxa" w:w="2340"/>
            <w:vAlign w:val="center"/>
          </w:tcPr>
          <w:p>
            <w:pPr>
              <w:spacing w:after="0" w:line="240" w:lineRule="auto"/>
              <w:jc w:val="left"/>
            </w:pPr>
            <w:r>
              <w:t>按对象和阶段选择 Lint Profile，执行规则、自动修复、语义检测、风险分流、ReviewCase 和例外审批。</w:t>
            </w:r>
            <w:r>
              <w:rPr>
                <w:rFonts w:ascii="Arial" w:hAnsi="Arial" w:eastAsia="Noto Sans CJK SC"/>
                <w:b w:val="0"/>
                <w:i w:val="0"/>
                <w:color w:val="25313C"/>
                <w:sz w:val="16"/>
              </w:rPr>
            </w:r>
          </w:p>
        </w:tc>
        <w:tc>
          <w:tcPr>
            <w:tcW w:type="dxa" w:w="2340"/>
            <w:vAlign w:val="center"/>
          </w:tcPr>
          <w:p>
            <w:pPr>
              <w:spacing w:after="0" w:line="240" w:lineRule="auto"/>
              <w:jc w:val="left"/>
            </w:pPr>
            <w:r>
              <w:t>内容保存/发布、任务组装、路径生成、输出交付、证据入库和研究报告提交。</w:t>
            </w:r>
            <w:r>
              <w:rPr>
                <w:rFonts w:ascii="Arial" w:hAnsi="Arial" w:eastAsia="Noto Sans CJK SC"/>
                <w:b w:val="0"/>
                <w:i w:val="0"/>
                <w:color w:val="25313C"/>
                <w:sz w:val="16"/>
              </w:rPr>
            </w:r>
          </w:p>
        </w:tc>
        <w:tc>
          <w:tcPr>
            <w:tcW w:type="dxa" w:w="2340"/>
            <w:vAlign w:val="center"/>
          </w:tcPr>
          <w:p>
            <w:pPr>
              <w:spacing w:after="0" w:line="240" w:lineRule="auto"/>
              <w:jc w:val="left"/>
            </w:pPr>
            <w:r>
              <w:t>硬规则同步阻断；复杂语义检查可异步或预计算；必须记录规则和模型版本。</w:t>
            </w:r>
            <w:r>
              <w:rPr>
                <w:rFonts w:ascii="Arial" w:hAnsi="Arial" w:eastAsia="Noto Sans CJK SC"/>
                <w:b w:val="0"/>
                <w:i w:val="0"/>
                <w:color w:val="25313C"/>
                <w:sz w:val="16"/>
              </w:rPr>
            </w:r>
          </w:p>
        </w:tc>
      </w:tr>
    </w:tbl>
    <w:tbl>
      <w:tblPr>
        <w:tblStyle w:val="TableGrid"/>
        <w:tblW w:type="auto" w:w="0"/>
        <w:jc w:val="center"/>
        <w:tblLook w:firstColumn="1" w:firstRow="1" w:lastColumn="0" w:lastRow="0" w:noHBand="0" w:noVBand="1" w:val="04A0"/>
      </w:tblPr>
      <w:tblGrid>
        <w:gridCol w:w="9360"/>
      </w:tblGrid>
      <w:tr>
        <w:trPr>
          <w:cantSplit/>
          <w:tblHeader/>
        </w:trPr>
        <w:tc>
          <w:tcPr>
            <w:tcW w:type="dxa" w:w="9360"/>
            <w:shd w:fill="E8EDF2"/>
            <w:tcBorders>
              <w:top w:val="single" w:sz="5" w:space="0" w:color="A9C3D8"/>
              <w:left w:val="single" w:sz="5" w:space="0" w:color="A9C3D8"/>
              <w:bottom w:val="single" w:sz="5" w:space="0" w:color="A9C3D8"/>
              <w:right w:val="single" w:sz="5" w:space="0" w:color="A9C3D8"/>
              <w:insideH w:val="single" w:sz="5" w:space="0" w:color="A9C3D8"/>
              <w:insideV w:val="single" w:sz="5" w:space="0" w:color="A9C3D8"/>
            </w:tcBorders>
            <w:vAlign w:val="center"/>
          </w:tcPr>
          <w:p>
            <w:pPr>
              <w:spacing w:before="0" w:after="0" w:line="252" w:lineRule="auto"/>
              <w:jc w:val="left"/>
            </w:pPr>
            <w:r/>
            <w:r>
              <w:rPr>
                <w:rFonts w:eastAsia="Noto Sans CJK SC" w:ascii="Calibri" w:hAnsi="Calibri"/>
                <w:b w:val="0"/>
                <w:color w:val="263746"/>
                <w:sz w:val="17"/>
              </w:rPr>
              <w:t>数据治理边界</w:t>
              <w:br/>
              <w:t>采用最小化采集、角色权限、学生标识脱敏、模型/任务/标签体系版本控制和学校可配置的数据保留周期。开放文本与教师备注需进行敏感信息过滤；LLM 自动标注必须保留模型版本、标签版本、证据、置信度和审核记录。用于训练或研究的数据需单独获得授权。</w:t>
            </w:r>
          </w:p>
        </w:tc>
      </w:tr>
    </w:tbl>
    <w:p>
      <w:pPr>
        <w:pStyle w:val="Heading1"/>
        <w:keepNext/>
        <w:spacing w:before="200" w:after="80"/>
      </w:pPr>
      <w:r>
        <w:t>11. 核心技术与算法体系</w:t>
      </w:r>
    </w:p>
    <w:tbl>
      <w:tblPr>
        <w:tblStyle w:val="TableGrid"/>
        <w:tblW w:type="dxa" w:w="9360"/>
        <w:tblLayout w:type="autofit"/>
        <w:tblLook w:firstColumn="1" w:firstRow="1" w:lastColumn="0" w:lastRow="0" w:noHBand="0" w:noVBand="1" w:val="04A0"/>
        <w:jc w:val="center"/>
        <w:tblInd w:w="120" w:type="dxa"/>
      </w:tblPr>
      <w:tblGrid>
        <w:gridCol w:w="4680"/>
        <w:gridCol w:w="4680"/>
      </w:tblGrid>
      <w:tr>
        <w:trPr>
          <w:cantSplit/>
          <w:tblHeader w:val="true"/>
        </w:trPr>
        <w:tc>
          <w:tcPr>
            <w:tcW w:type="dxa" w:w="2880"/>
            <w:shd w:fill="D9EAF7"/>
            <w:vAlign w:val="center"/>
          </w:tcPr>
          <w:p>
            <w:pPr>
              <w:spacing w:before="0" w:after="0" w:line="252" w:lineRule="auto"/>
              <w:jc w:val="center"/>
            </w:pPr>
            <w:r>
              <w:t>技术</w:t>
            </w:r>
            <w:r>
              <w:rPr>
                <w:rFonts w:eastAsia="Noto Sans CJK SC" w:ascii="Calibri" w:hAnsi="Calibri"/>
                <w:b/>
                <w:color w:val="2E74B5"/>
                <w:sz w:val="17"/>
              </w:rPr>
            </w:r>
          </w:p>
        </w:tc>
        <w:tc>
          <w:tcPr>
            <w:tcW w:type="dxa" w:w="6480"/>
            <w:shd w:fill="D9EAF7"/>
            <w:vAlign w:val="center"/>
          </w:tcPr>
          <w:p>
            <w:pPr>
              <w:spacing w:before="0" w:after="0" w:line="252" w:lineRule="auto"/>
              <w:jc w:val="center"/>
            </w:pPr>
            <w:r>
              <w:t>项目作用</w:t>
            </w:r>
            <w:r>
              <w:rPr>
                <w:rFonts w:eastAsia="Noto Sans CJK SC" w:ascii="Calibri" w:hAnsi="Calibri"/>
                <w:b/>
                <w:color w:val="2E74B5"/>
                <w:sz w:val="17"/>
              </w:rPr>
            </w:r>
          </w:p>
        </w:tc>
      </w:tr>
      <w:tr>
        <w:trPr>
          <w:cantSplit/>
        </w:trPr>
        <w:tc>
          <w:tcPr>
            <w:tcW w:type="dxa" w:w="2880"/>
            <w:vAlign w:val="center"/>
          </w:tcPr>
          <w:p>
            <w:pPr>
              <w:spacing w:before="0" w:after="0" w:line="252" w:lineRule="auto"/>
              <w:jc w:val="left"/>
            </w:pPr>
            <w:r>
              <w:t>多维英语知识图谱 / Taxonomy</w:t>
            </w:r>
            <w:r>
              <w:rPr>
                <w:rFonts w:eastAsia="Noto Sans CJK SC" w:ascii="Calibri" w:hAnsi="Calibri"/>
                <w:b/>
                <w:color w:val="263746"/>
                <w:sz w:val="15"/>
              </w:rPr>
            </w:r>
          </w:p>
        </w:tc>
        <w:tc>
          <w:tcPr>
            <w:tcW w:type="dxa" w:w="6480"/>
            <w:vAlign w:val="center"/>
          </w:tcPr>
          <w:p>
            <w:pPr>
              <w:spacing w:before="0" w:after="0" w:line="252" w:lineRule="auto"/>
              <w:jc w:val="left"/>
            </w:pPr>
            <w:r>
              <w:t>作为课程内容、知识节点、技能、学习策略和内容自动标注的受控结构化坐标系。</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LLM 内容自动标注</w:t>
            </w:r>
            <w:r>
              <w:rPr>
                <w:rFonts w:eastAsia="Noto Sans CJK SC" w:ascii="Calibri" w:hAnsi="Calibri"/>
                <w:b/>
                <w:color w:val="263746"/>
                <w:sz w:val="15"/>
              </w:rPr>
            </w:r>
          </w:p>
        </w:tc>
        <w:tc>
          <w:tcPr>
            <w:tcW w:type="dxa" w:w="6480"/>
            <w:vAlign w:val="center"/>
          </w:tcPr>
          <w:p>
            <w:pPr>
              <w:spacing w:before="0" w:after="0" w:line="252" w:lineRule="auto"/>
              <w:jc w:val="left"/>
            </w:pPr>
            <w:r>
              <w:t>自动生成知识点、技能、Bloom、思维品质和可观测行为候选标签，并输出证据与置信度。</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Taxonomy Retrieval + Annotation QC + Embedding/Reranker</w:t>
            </w:r>
            <w:r>
              <w:rPr>
                <w:rFonts w:eastAsia="Noto Sans CJK SC" w:ascii="Calibri" w:hAnsi="Calibri"/>
                <w:b/>
                <w:color w:val="263746"/>
                <w:sz w:val="15"/>
              </w:rPr>
            </w:r>
          </w:p>
        </w:tc>
        <w:tc>
          <w:tcPr>
            <w:tcW w:type="dxa" w:w="6480"/>
            <w:vAlign w:val="center"/>
          </w:tcPr>
          <w:p>
            <w:pPr>
              <w:spacing w:before="0" w:after="0" w:line="252" w:lineRule="auto"/>
              <w:jc w:val="left"/>
            </w:pPr>
            <w:r>
              <w:t>约束标签选择，支持语义候选检索，并执行一致性校验、冲突检测、置信度校准、抽检和专家复核。</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学习者画像</w:t>
            </w:r>
            <w:r>
              <w:rPr>
                <w:rFonts w:eastAsia="Noto Sans CJK SC" w:ascii="Calibri" w:hAnsi="Calibri"/>
                <w:b/>
                <w:color w:val="263746"/>
                <w:sz w:val="15"/>
              </w:rPr>
            </w:r>
          </w:p>
        </w:tc>
        <w:tc>
          <w:tcPr>
            <w:tcW w:type="dxa" w:w="6480"/>
            <w:vAlign w:val="center"/>
          </w:tcPr>
          <w:p>
            <w:pPr>
              <w:spacing w:before="0" w:after="0" w:line="252" w:lineRule="auto"/>
              <w:jc w:val="left"/>
            </w:pPr>
            <w:r>
              <w:t>存储学生基础信息、偏好、BKT/IRT 状态、语言技能、学习行为、教师约束和思维发展水平。</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Bloom 掌握层级建模</w:t>
            </w:r>
            <w:r>
              <w:rPr>
                <w:rFonts w:eastAsia="Noto Sans CJK SC" w:ascii="Calibri" w:hAnsi="Calibri"/>
                <w:b/>
                <w:color w:val="263746"/>
                <w:sz w:val="15"/>
              </w:rPr>
            </w:r>
          </w:p>
        </w:tc>
        <w:tc>
          <w:tcPr>
            <w:tcW w:type="dxa" w:w="6480"/>
            <w:vAlign w:val="center"/>
          </w:tcPr>
          <w:p>
            <w:pPr>
              <w:spacing w:before="0" w:after="0" w:line="252" w:lineRule="auto"/>
              <w:jc w:val="left"/>
            </w:pPr>
            <w:r>
              <w:t>判断学生对每个知识点处于记忆、理解、应用、分析、评价、创造哪一层。</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BKT</w:t>
            </w:r>
            <w:r>
              <w:rPr>
                <w:rFonts w:eastAsia="Noto Sans CJK SC" w:ascii="Calibri" w:hAnsi="Calibri"/>
                <w:b/>
                <w:color w:val="263746"/>
                <w:sz w:val="15"/>
              </w:rPr>
            </w:r>
          </w:p>
        </w:tc>
        <w:tc>
          <w:tcPr>
            <w:tcW w:type="dxa" w:w="6480"/>
            <w:vAlign w:val="center"/>
          </w:tcPr>
          <w:p>
            <w:pPr>
              <w:spacing w:before="0" w:after="0" w:line="252" w:lineRule="auto"/>
              <w:jc w:val="left"/>
            </w:pPr>
            <w:r>
              <w:t>按知识点基于连续学习证据更新掌握概率 P(L)，输出可解释参数、状态、置信度和版本。</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IRT</w:t>
            </w:r>
            <w:r>
              <w:rPr>
                <w:rFonts w:eastAsia="Noto Sans CJK SC" w:ascii="Calibri" w:hAnsi="Calibri"/>
                <w:b/>
                <w:color w:val="263746"/>
                <w:sz w:val="15"/>
              </w:rPr>
            </w:r>
          </w:p>
        </w:tc>
        <w:tc>
          <w:tcPr>
            <w:tcW w:type="dxa" w:w="6480"/>
            <w:vAlign w:val="center"/>
          </w:tcPr>
          <w:p>
            <w:pPr>
              <w:spacing w:before="0" w:after="0" w:line="252" w:lineRule="auto"/>
              <w:jc w:val="left"/>
            </w:pPr>
            <w:r>
              <w:t>估计学生能力 θ 与任务难度 b（数据充足时可扩展区分度 a），用于适当挑战、任务信息量和难度匹配。</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规则推荐引擎</w:t>
            </w:r>
            <w:r>
              <w:rPr>
                <w:rFonts w:eastAsia="Noto Sans CJK SC" w:ascii="Calibri" w:hAnsi="Calibri"/>
                <w:b/>
                <w:color w:val="263746"/>
                <w:sz w:val="15"/>
              </w:rPr>
            </w:r>
          </w:p>
        </w:tc>
        <w:tc>
          <w:tcPr>
            <w:tcW w:type="dxa" w:w="6480"/>
            <w:vAlign w:val="center"/>
          </w:tcPr>
          <w:p>
            <w:pPr>
              <w:spacing w:before="0" w:after="0" w:line="252" w:lineRule="auto"/>
              <w:jc w:val="left"/>
            </w:pPr>
            <w:r>
              <w:t>根据掌握缺口、θ-b 匹配、课程目标、Bloom/思维目标、学习负荷、任务多样性和教师约束完成候选过滤、规则评分、排序、路径组装、冲突处理与回退。</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Adaptive Core</w:t>
            </w:r>
            <w:r>
              <w:rPr>
                <w:rFonts w:eastAsia="Noto Sans CJK SC" w:ascii="Calibri" w:hAnsi="Calibri"/>
                <w:b/>
                <w:color w:val="263746"/>
                <w:sz w:val="15"/>
              </w:rPr>
            </w:r>
          </w:p>
        </w:tc>
        <w:tc>
          <w:tcPr>
            <w:tcW w:type="dxa" w:w="6480"/>
            <w:vAlign w:val="center"/>
          </w:tcPr>
          <w:p>
            <w:pPr>
              <w:spacing w:before="0" w:after="0" w:line="252" w:lineRule="auto"/>
              <w:jc w:val="left"/>
            </w:pPr>
            <w:r>
              <w:t>以学习证据采集、BKT/IRT 状态建模和规则化路径规划构成持续自适应闭环。</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多智能体编排</w:t>
            </w:r>
            <w:r>
              <w:rPr>
                <w:rFonts w:eastAsia="Noto Sans CJK SC" w:ascii="Calibri" w:hAnsi="Calibri"/>
                <w:b/>
                <w:color w:val="263746"/>
                <w:sz w:val="15"/>
              </w:rPr>
            </w:r>
          </w:p>
        </w:tc>
        <w:tc>
          <w:tcPr>
            <w:tcW w:type="dxa" w:w="6480"/>
            <w:vAlign w:val="center"/>
          </w:tcPr>
          <w:p>
            <w:pPr>
              <w:spacing w:before="0" w:after="0" w:line="252" w:lineRule="auto"/>
              <w:jc w:val="left"/>
            </w:pPr>
            <w:r>
              <w:t>把认知诊断、思维诊断、推荐、验证、解释与反思拆成可观测协作流程；BKT、IRT、规则引擎和 Lint 均作为独立服务。</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Verifier 机制</w:t>
            </w:r>
            <w:r>
              <w:rPr>
                <w:rFonts w:eastAsia="Noto Sans CJK SC" w:ascii="Calibri" w:hAnsi="Calibri"/>
                <w:b/>
                <w:color w:val="263746"/>
                <w:sz w:val="15"/>
              </w:rPr>
            </w:r>
          </w:p>
        </w:tc>
        <w:tc>
          <w:tcPr>
            <w:tcW w:type="dxa" w:w="6480"/>
            <w:vAlign w:val="center"/>
          </w:tcPr>
          <w:p>
            <w:pPr>
              <w:spacing w:before="0" w:after="0" w:line="252" w:lineRule="auto"/>
              <w:jc w:val="left"/>
            </w:pPr>
            <w:r>
              <w:t>独立校验课程一致性、认知状态、IRT 难度、负荷、Bloom 推进、思维目标、资源和标签可信度，不替代规则推荐。</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教师可审计解释与 Decision Trace</w:t>
            </w:r>
            <w:r>
              <w:rPr>
                <w:rFonts w:eastAsia="Noto Sans CJK SC" w:ascii="Calibri" w:hAnsi="Calibri"/>
                <w:b/>
                <w:color w:val="263746"/>
                <w:sz w:val="15"/>
              </w:rPr>
            </w:r>
          </w:p>
        </w:tc>
        <w:tc>
          <w:tcPr>
            <w:tcW w:type="dxa" w:w="6480"/>
            <w:vAlign w:val="center"/>
          </w:tcPr>
          <w:p>
            <w:pPr>
              <w:spacing w:before="0" w:after="0" w:line="252" w:lineRule="auto"/>
              <w:jc w:val="left"/>
            </w:pPr>
            <w:r>
              <w:t>记录证据快照、BKT/IRT 状态、规则命中、候选排除、模型/规则版本、Lint/Verifier、教师操作；支持重放与复核。</w:t>
            </w:r>
            <w:r>
              <w:rPr>
                <w:rFonts w:eastAsia="Noto Sans CJK SC" w:ascii="Calibri" w:hAnsi="Calibri"/>
                <w:b w:val="0"/>
                <w:color w:val="263746"/>
                <w:sz w:val="15"/>
              </w:rPr>
            </w:r>
          </w:p>
        </w:tc>
      </w:tr>
      <w:tr>
        <w:trPr>
          <w:cantSplit/>
        </w:trPr>
        <w:tc>
          <w:tcPr>
            <w:tcW w:type="dxa" w:w="2880"/>
            <w:vAlign w:val="center"/>
          </w:tcPr>
          <w:p>
            <w:pPr>
              <w:spacing w:before="0" w:after="0" w:line="252" w:lineRule="auto"/>
              <w:jc w:val="left"/>
            </w:pPr>
            <w:r>
              <w:t>Observability &amp; Monitoring</w:t>
            </w:r>
            <w:r>
              <w:rPr>
                <w:rFonts w:eastAsia="Noto Sans CJK SC" w:ascii="Calibri" w:hAnsi="Calibri"/>
                <w:b/>
                <w:color w:val="263746"/>
                <w:sz w:val="15"/>
              </w:rPr>
            </w:r>
          </w:p>
        </w:tc>
        <w:tc>
          <w:tcPr>
            <w:tcW w:type="dxa" w:w="6480"/>
            <w:vAlign w:val="center"/>
          </w:tcPr>
          <w:p>
            <w:pPr>
              <w:spacing w:before="0" w:after="0" w:line="252" w:lineRule="auto"/>
              <w:jc w:val="left"/>
            </w:pPr>
            <w:r>
              <w:t>监控标注、BKT/IRT 校准、规则覆盖/冲突、Agent、Lint、延迟、成本和教师覆盖操作。</w:t>
            </w:r>
            <w:r>
              <w:rPr>
                <w:rFonts w:eastAsia="Noto Sans CJK SC" w:ascii="Calibri" w:hAnsi="Calibri"/>
                <w:b w:val="0"/>
                <w:color w:val="263746"/>
                <w:sz w:val="15"/>
              </w:rPr>
            </w:r>
          </w:p>
        </w:tc>
      </w:tr>
      <w:tr>
        <w:tc>
          <w:tcPr>
            <w:tcW w:type="dxa" w:w="4680"/>
            <w:vAlign w:val="center"/>
          </w:tcPr>
          <w:p>
            <w:pPr>
              <w:spacing w:after="0" w:line="240" w:lineRule="auto"/>
              <w:jc w:val="left"/>
            </w:pPr>
            <w:r>
              <w:t>Research &amp; Evidence Review Agent</w:t>
            </w:r>
            <w:r>
              <w:rPr>
                <w:rFonts w:ascii="Arial" w:hAnsi="Arial" w:eastAsia="Noto Sans CJK SC"/>
                <w:b w:val="0"/>
                <w:i w:val="0"/>
                <w:color w:val="25313C"/>
                <w:sz w:val="16"/>
              </w:rPr>
            </w:r>
          </w:p>
        </w:tc>
        <w:tc>
          <w:tcPr>
            <w:tcW w:type="dxa" w:w="4680"/>
            <w:vAlign w:val="center"/>
          </w:tcPr>
          <w:p>
            <w:pPr>
              <w:spacing w:after="0" w:line="240" w:lineRule="auto"/>
              <w:jc w:val="left"/>
            </w:pPr>
            <w:r>
              <w:t>对项目架构、算法、量规和评估主张进行权威来源检索、证据分级、适用性审查、冲突/空白检查和版本化治理。</w:t>
            </w:r>
            <w:r>
              <w:rPr>
                <w:rFonts w:ascii="Arial" w:hAnsi="Arial" w:eastAsia="Noto Sans CJK SC"/>
                <w:b w:val="0"/>
                <w:i w:val="0"/>
                <w:color w:val="25313C"/>
                <w:sz w:val="16"/>
              </w:rPr>
            </w:r>
          </w:p>
        </w:tc>
      </w:tr>
      <w:tr>
        <w:tc>
          <w:tcPr>
            <w:tcW w:type="dxa" w:w="4680"/>
            <w:vAlign w:val="center"/>
          </w:tcPr>
          <w:p>
            <w:pPr>
              <w:spacing w:after="0" w:line="240" w:lineRule="auto"/>
              <w:jc w:val="left"/>
            </w:pPr>
            <w:r>
              <w:t>Lint &amp; Quality Gate</w:t>
            </w:r>
            <w:r>
              <w:rPr>
                <w:rFonts w:ascii="Arial" w:hAnsi="Arial" w:eastAsia="Noto Sans CJK SC"/>
                <w:b w:val="0"/>
                <w:i w:val="0"/>
                <w:color w:val="25313C"/>
                <w:sz w:val="16"/>
              </w:rPr>
            </w:r>
          </w:p>
        </w:tc>
        <w:tc>
          <w:tcPr>
            <w:tcW w:type="dxa" w:w="4680"/>
            <w:vAlign w:val="center"/>
          </w:tcPr>
          <w:p>
            <w:pPr>
              <w:spacing w:after="0" w:line="240" w:lineRule="auto"/>
              <w:jc w:val="left"/>
            </w:pPr>
            <w:r>
              <w:t>以可配置规则、语义模型和人工复核构成内容入库前、学习交付前和状态更新前的质量门禁，覆盖编辑、教学、价值观、安全、数据和引用。</w:t>
            </w:r>
            <w:r>
              <w:rPr>
                <w:rFonts w:ascii="Arial" w:hAnsi="Arial" w:eastAsia="Noto Sans CJK SC"/>
                <w:b w:val="0"/>
                <w:i w:val="0"/>
                <w:color w:val="25313C"/>
                <w:sz w:val="16"/>
              </w:rPr>
            </w:r>
          </w:p>
        </w:tc>
      </w:tr>
    </w:tbl>
    <w:p/>
    <w:p>
      <w:pPr>
        <w:pStyle w:val="Heading2"/>
        <w:keepNext/>
        <w:spacing w:after="120" w:line="264" w:lineRule="auto"/>
      </w:pPr>
      <w:r>
        <w:rPr>
          <w:rFonts w:ascii="Calibri" w:hAnsi="Calibri" w:eastAsia="Noto Sans CJK SC"/>
        </w:rPr>
        <w:t>11.1 BKT + IRT + 规则推荐 + 教师可审计解释</w:t>
      </w:r>
    </w:p>
    <w:p>
      <w:pPr/>
      <w:r>
        <w:t>本项目采用确定性、可校准、可重放的四段式算法主链：BKT 负责按知识点追踪掌握概率 P(L)；IRT 负责估计学生能力 θ、任务难度 b 及其标准误和匹配区间；规则推荐引擎依据知识缺口、θ-b 难度匹配、课程目标、Bloom/思维目标、学习负荷、多样性和教师约束完成候选过滤、规则评分与路径组装；教师可审计解释则把学习证据、模型状态、规则命中、候选排除、Lint/Verifier 结果、版本和教师操作转化为可复核记录。</w:t>
      </w:r>
    </w:p>
    <w:p>
      <w:pPr>
        <w:jc w:val="center"/>
      </w:pPr>
      <w:r>
        <w:drawing>
          <wp:inline xmlns:a="http://schemas.openxmlformats.org/drawingml/2006/main" xmlns:pic="http://schemas.openxmlformats.org/drawingml/2006/picture">
            <wp:extent cx="5806440" cy="3290316"/>
            <wp:docPr id="9" name="Picture 9"/>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5806440" cy="3290316"/>
                    </a:xfrm>
                    <a:prstGeom prst="rect"/>
                  </pic:spPr>
                </pic:pic>
              </a:graphicData>
            </a:graphic>
          </wp:inline>
        </w:drawing>
      </w:r>
    </w:p>
    <w:p>
      <w:pPr>
        <w:pStyle w:val="Caption"/>
        <w:jc w:val="center"/>
      </w:pPr>
      <w:r>
        <w:t>图 3  AdaptLearn Copilot 算法体系：BKT + IRT + 规则推荐 + 教师可审计解释</w:t>
      </w:r>
    </w:p>
    <w:p>
      <w:pPr/>
      <w:r>
        <w:t>LLM 仅用于内容标注、诊断摘要、教师审计说明和学生版语言表达，不直接决定任务排序。所有关键输入、参数快照、规则阈值、候选排除和教师决定均写入 Decision Trace；算法评估与审计指标见第 15 节。</w:t>
      </w:r>
    </w:p>
    <w:p>
      <w:pPr>
        <w:pStyle w:val="Heading1"/>
        <w:keepNext/>
        <w:spacing w:before="200" w:after="80"/>
      </w:pPr>
      <w:r>
        <w:t>12. Verifier Agent 设计</w:t>
      </w:r>
    </w:p>
    <w:p>
      <w:pPr>
        <w:spacing w:after="120" w:line="264" w:lineRule="auto"/>
      </w:pPr>
      <w:r>
        <w:rPr>
          <w:rFonts w:ascii="Calibri" w:hAnsi="Calibri" w:eastAsia="Noto Sans CJK SC"/>
        </w:rPr>
        <w:t>Verifier Agent 不是简单的 prompt 检查，而是规则 + 模型 + 课程目标的校验层。它负责把推荐结果从“模型认为可能有用”变成“教师可以理解、可以确认、可以调整的教学建议”。</w:t>
      </w:r>
    </w:p>
    <w:p>
      <w:pPr>
        <w:spacing w:after="80" w:line="269" w:lineRule="auto"/>
      </w:pPr>
      <w:r>
        <w:rPr>
          <w:rFonts w:ascii="Arial" w:hAnsi="Arial" w:eastAsia="Noto Sans CJK SC"/>
          <w:b w:val="0"/>
          <w:i w:val="0"/>
          <w:color w:val="25313C"/>
          <w:sz w:val="20"/>
        </w:rPr>
        <w:t>职责边界：Learning Path Lint 负责资源存在、版本、重复、时长、禁用项等硬约束；Verifier 负责综合判断路径对具体学生的认知和教学适切性；Research Agent 审查方案和技术路线是否有研究依据。三者不可合并为一个通用“Review Agent”。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376"/>
            <w:vAlign w:val="center"/>
            <w:tcMar>
              <w:top w:w="80" w:type="dxa"/>
              <w:start w:w="120" w:type="dxa"/>
              <w:bottom w:w="80" w:type="dxa"/>
              <w:end w:w="120" w:type="dxa"/>
            </w:tcMar>
            <w:shd w:fill="F2F4F7"/>
          </w:tcPr>
          <w:p>
            <w:pPr>
              <w:spacing w:after="0"/>
            </w:pPr>
            <w:r>
              <w:rPr>
                <w:rFonts w:ascii="Calibri" w:hAnsi="Calibri" w:eastAsia="Noto Sans CJK SC"/>
                <w:b/>
                <w:color w:val="1F4D78"/>
                <w:sz w:val="21"/>
              </w:rPr>
              <w:t>检查项</w:t>
            </w:r>
          </w:p>
        </w:tc>
        <w:tc>
          <w:tcPr>
            <w:tcW w:type="dxa" w:w="6983"/>
            <w:vAlign w:val="center"/>
            <w:tcMar>
              <w:top w:w="80" w:type="dxa"/>
              <w:start w:w="120" w:type="dxa"/>
              <w:bottom w:w="80" w:type="dxa"/>
              <w:end w:w="120" w:type="dxa"/>
            </w:tcMar>
            <w:shd w:fill="F2F4F7"/>
          </w:tcPr>
          <w:p>
            <w:pPr>
              <w:spacing w:after="0"/>
            </w:pPr>
            <w:r>
              <w:rPr>
                <w:rFonts w:ascii="Calibri" w:hAnsi="Calibri" w:eastAsia="Noto Sans CJK SC"/>
                <w:b/>
                <w:color w:val="1F4D78"/>
                <w:sz w:val="21"/>
              </w:rPr>
              <w:t>说明</w:t>
            </w:r>
          </w:p>
        </w:tc>
      </w:tr>
      <w:tr>
        <w:trPr>
          <w:cantSplit/>
        </w:trPr>
        <w:tc>
          <w:tcPr>
            <w:tcW w:type="dxa" w:w="2376"/>
          </w:tcPr>
          <w:p>
            <w:pPr>
              <w:spacing w:after="0" w:line="264" w:lineRule="auto"/>
            </w:pPr>
            <w:r>
              <w:rPr>
                <w:rFonts w:ascii="Calibri" w:hAnsi="Calibri" w:eastAsia="Noto Sans CJK SC"/>
                <w:sz w:val="20"/>
              </w:rPr>
              <w:t>认知状态匹配</w:t>
            </w:r>
          </w:p>
        </w:tc>
        <w:tc>
          <w:tcPr>
            <w:tcW w:type="dxa" w:w="6983"/>
          </w:tcPr>
          <w:p>
            <w:pPr>
              <w:spacing w:after="0" w:line="264" w:lineRule="auto"/>
            </w:pPr>
            <w:r>
              <w:rPr>
                <w:rFonts w:ascii="Calibri" w:hAnsi="Calibri" w:eastAsia="Noto Sans CJK SC"/>
                <w:sz w:val="20"/>
              </w:rPr>
              <w:t>推荐路径是否符合 BKT 知识掌握状态、IRT 能力区间和综合认知诊断。</w:t>
            </w:r>
          </w:p>
        </w:tc>
      </w:tr>
      <w:tr>
        <w:trPr>
          <w:cantSplit/>
        </w:trPr>
        <w:tc>
          <w:tcPr>
            <w:tcW w:type="dxa" w:w="2376"/>
          </w:tcPr>
          <w:p>
            <w:pPr>
              <w:spacing w:after="0" w:line="264" w:lineRule="auto"/>
            </w:pPr>
            <w:r>
              <w:rPr>
                <w:rFonts w:ascii="Calibri" w:hAnsi="Calibri" w:eastAsia="Noto Sans CJK SC"/>
                <w:sz w:val="20"/>
              </w:rPr>
              <w:t>知识掌握匹配</w:t>
            </w:r>
          </w:p>
        </w:tc>
        <w:tc>
          <w:tcPr>
            <w:tcW w:type="dxa" w:w="6983"/>
          </w:tcPr>
          <w:p>
            <w:pPr>
              <w:spacing w:after="0" w:line="264" w:lineRule="auto"/>
            </w:pPr>
            <w:r>
              <w:rPr>
                <w:rFonts w:ascii="Calibri" w:hAnsi="Calibri" w:eastAsia="Noto Sans CJK SC"/>
                <w:sz w:val="20"/>
              </w:rPr>
              <w:t>是否对应未掌握或待提升节点。</w:t>
            </w:r>
          </w:p>
        </w:tc>
      </w:tr>
      <w:tr>
        <w:trPr>
          <w:cantSplit/>
        </w:trPr>
        <w:tc>
          <w:tcPr>
            <w:tcW w:type="dxa" w:w="2376"/>
          </w:tcPr>
          <w:p>
            <w:pPr>
              <w:spacing w:after="0" w:line="264" w:lineRule="auto"/>
            </w:pPr>
            <w:r>
              <w:rPr>
                <w:rFonts w:ascii="Calibri" w:hAnsi="Calibri" w:eastAsia="Noto Sans CJK SC"/>
                <w:sz w:val="20"/>
              </w:rPr>
              <w:t>Bloom 层级匹配</w:t>
            </w:r>
          </w:p>
        </w:tc>
        <w:tc>
          <w:tcPr>
            <w:tcW w:type="dxa" w:w="6983"/>
          </w:tcPr>
          <w:p>
            <w:pPr>
              <w:spacing w:after="0" w:line="264" w:lineRule="auto"/>
            </w:pPr>
            <w:r>
              <w:rPr>
                <w:rFonts w:ascii="Calibri" w:hAnsi="Calibri" w:eastAsia="Noto Sans CJK SC"/>
                <w:sz w:val="20"/>
              </w:rPr>
              <w:t>是否从当前掌握层级向下一层合理推进。</w:t>
            </w:r>
          </w:p>
        </w:tc>
      </w:tr>
      <w:tr>
        <w:trPr>
          <w:cantSplit/>
        </w:trPr>
        <w:tc>
          <w:tcPr>
            <w:tcW w:type="dxa" w:w="2376"/>
          </w:tcPr>
          <w:p>
            <w:pPr>
              <w:spacing w:after="0" w:line="264" w:lineRule="auto"/>
            </w:pPr>
            <w:r>
              <w:rPr>
                <w:rFonts w:ascii="Calibri" w:hAnsi="Calibri" w:eastAsia="Noto Sans CJK SC"/>
                <w:sz w:val="20"/>
              </w:rPr>
              <w:t>技能匹配</w:t>
            </w:r>
          </w:p>
        </w:tc>
        <w:tc>
          <w:tcPr>
            <w:tcW w:type="dxa" w:w="6983"/>
          </w:tcPr>
          <w:p>
            <w:pPr>
              <w:spacing w:after="0" w:line="264" w:lineRule="auto"/>
            </w:pPr>
            <w:r>
              <w:rPr>
                <w:rFonts w:ascii="Calibri" w:hAnsi="Calibri" w:eastAsia="Noto Sans CJK SC"/>
                <w:sz w:val="20"/>
              </w:rPr>
              <w:t>是否对应听说读看写中的薄弱技能。</w:t>
            </w:r>
          </w:p>
        </w:tc>
      </w:tr>
      <w:tr>
        <w:trPr>
          <w:cantSplit/>
        </w:trPr>
        <w:tc>
          <w:tcPr>
            <w:tcW w:type="dxa" w:w="2376"/>
          </w:tcPr>
          <w:p>
            <w:pPr>
              <w:spacing w:after="0" w:line="264" w:lineRule="auto"/>
            </w:pPr>
            <w:r>
              <w:rPr>
                <w:rFonts w:ascii="Calibri" w:hAnsi="Calibri" w:eastAsia="Noto Sans CJK SC"/>
                <w:sz w:val="20"/>
              </w:rPr>
              <w:t>思维品质匹配</w:t>
            </w:r>
          </w:p>
        </w:tc>
        <w:tc>
          <w:tcPr>
            <w:tcW w:type="dxa" w:w="6983"/>
          </w:tcPr>
          <w:p>
            <w:pPr>
              <w:spacing w:after="0" w:line="264" w:lineRule="auto"/>
            </w:pPr>
            <w:r>
              <w:rPr>
                <w:rFonts w:ascii="Calibri" w:hAnsi="Calibri" w:eastAsia="Noto Sans CJK SC"/>
                <w:sz w:val="20"/>
              </w:rPr>
              <w:t>是否有助于观察与辨析、归纳与推断或批判与创新。</w:t>
            </w:r>
          </w:p>
        </w:tc>
      </w:tr>
      <w:tr>
        <w:trPr>
          <w:cantSplit/>
        </w:trPr>
        <w:tc>
          <w:tcPr>
            <w:tcW w:type="dxa" w:w="2376"/>
          </w:tcPr>
          <w:p>
            <w:pPr>
              <w:spacing w:after="0" w:line="264" w:lineRule="auto"/>
            </w:pPr>
            <w:r>
              <w:rPr>
                <w:rFonts w:ascii="Calibri" w:hAnsi="Calibri" w:eastAsia="Noto Sans CJK SC"/>
                <w:sz w:val="20"/>
              </w:rPr>
              <w:t>难度匹配</w:t>
            </w:r>
          </w:p>
        </w:tc>
        <w:tc>
          <w:tcPr>
            <w:tcW w:type="dxa" w:w="6983"/>
          </w:tcPr>
          <w:p>
            <w:pPr>
              <w:spacing w:after="0" w:line="264" w:lineRule="auto"/>
            </w:pPr>
            <w:r>
              <w:rPr>
                <w:rFonts w:ascii="Calibri" w:hAnsi="Calibri" w:eastAsia="Noto Sans CJK SC"/>
                <w:sz w:val="20"/>
              </w:rPr>
              <w:t>IRT 估计的学生能力 θ 与任务难度 b 是否处于学校设定的适当挑战区间，并考虑标准误和数据充分性。</w:t>
            </w:r>
          </w:p>
        </w:tc>
      </w:tr>
      <w:tr>
        <w:trPr>
          <w:cantSplit/>
        </w:trPr>
        <w:tc>
          <w:tcPr>
            <w:tcW w:type="dxa" w:w="2376"/>
          </w:tcPr>
          <w:p>
            <w:pPr>
              <w:spacing w:after="0" w:line="264" w:lineRule="auto"/>
            </w:pPr>
            <w:r>
              <w:rPr>
                <w:rFonts w:ascii="Calibri" w:hAnsi="Calibri" w:eastAsia="Noto Sans CJK SC"/>
                <w:sz w:val="20"/>
              </w:rPr>
              <w:t>行为负荷匹配</w:t>
            </w:r>
          </w:p>
        </w:tc>
        <w:tc>
          <w:tcPr>
            <w:tcW w:type="dxa" w:w="6983"/>
          </w:tcPr>
          <w:p>
            <w:pPr>
              <w:spacing w:after="0" w:line="264" w:lineRule="auto"/>
            </w:pPr>
            <w:r>
              <w:rPr>
                <w:rFonts w:ascii="Calibri" w:hAnsi="Calibri" w:eastAsia="Noto Sans CJK SC"/>
                <w:sz w:val="20"/>
              </w:rPr>
              <w:t>是否考虑学习时长、练习质量和近期疲劳。</w:t>
            </w:r>
          </w:p>
        </w:tc>
      </w:tr>
      <w:tr>
        <w:trPr>
          <w:cantSplit/>
        </w:trPr>
        <w:tc>
          <w:tcPr>
            <w:tcW w:type="dxa" w:w="2376"/>
          </w:tcPr>
          <w:p>
            <w:pPr>
              <w:spacing w:after="0" w:line="264" w:lineRule="auto"/>
            </w:pPr>
            <w:r>
              <w:rPr>
                <w:rFonts w:ascii="Calibri" w:hAnsi="Calibri" w:eastAsia="Noto Sans CJK SC"/>
                <w:sz w:val="20"/>
              </w:rPr>
              <w:t>课程目标匹配</w:t>
            </w:r>
          </w:p>
        </w:tc>
        <w:tc>
          <w:tcPr>
            <w:tcW w:type="dxa" w:w="6983"/>
          </w:tcPr>
          <w:p>
            <w:pPr>
              <w:spacing w:after="0" w:line="264" w:lineRule="auto"/>
            </w:pPr>
            <w:r>
              <w:rPr>
                <w:rFonts w:ascii="Calibri" w:hAnsi="Calibri" w:eastAsia="Noto Sans CJK SC"/>
                <w:sz w:val="20"/>
              </w:rPr>
              <w:t>是否符合当前单元目标和课标要求。</w:t>
            </w:r>
          </w:p>
        </w:tc>
      </w:tr>
      <w:tr>
        <w:trPr>
          <w:cantSplit/>
        </w:trPr>
        <w:tc>
          <w:tcPr>
            <w:tcW w:type="dxa" w:w="2376"/>
          </w:tcPr>
          <w:p>
            <w:pPr>
              <w:spacing w:after="0" w:line="264" w:lineRule="auto"/>
            </w:pPr>
            <w:r>
              <w:rPr>
                <w:rFonts w:ascii="Calibri" w:hAnsi="Calibri" w:eastAsia="Noto Sans CJK SC"/>
                <w:sz w:val="20"/>
              </w:rPr>
              <w:t>教师可控性</w:t>
            </w:r>
          </w:p>
        </w:tc>
        <w:tc>
          <w:tcPr>
            <w:tcW w:type="dxa" w:w="6983"/>
          </w:tcPr>
          <w:p>
            <w:pPr>
              <w:spacing w:after="0" w:line="264" w:lineRule="auto"/>
            </w:pPr>
            <w:r>
              <w:rPr>
                <w:rFonts w:ascii="Calibri" w:hAnsi="Calibri" w:eastAsia="Noto Sans CJK SC"/>
                <w:sz w:val="20"/>
              </w:rPr>
              <w:t>教师是否可以查看证据与规则依据、修改约束、确认、覆盖或拒绝推荐。</w:t>
            </w:r>
          </w:p>
        </w:tc>
      </w:tr>
      <w:tr>
        <w:tc>
          <w:tcPr>
            <w:tcW w:type="dxa" w:w="4680"/>
            <w:vAlign w:val="center"/>
          </w:tcPr>
          <w:p>
            <w:pPr>
              <w:spacing w:after="0" w:line="240" w:lineRule="auto"/>
              <w:jc w:val="left"/>
            </w:pPr>
            <w:r>
              <w:t>质量门禁状态</w:t>
            </w:r>
            <w:r>
              <w:rPr>
                <w:rFonts w:ascii="Arial" w:hAnsi="Arial" w:eastAsia="Noto Sans CJK SC"/>
                <w:b w:val="0"/>
                <w:i w:val="0"/>
                <w:color w:val="25313C"/>
                <w:sz w:val="16"/>
              </w:rPr>
            </w:r>
          </w:p>
        </w:tc>
        <w:tc>
          <w:tcPr>
            <w:tcW w:type="dxa" w:w="4680"/>
            <w:vAlign w:val="center"/>
          </w:tcPr>
          <w:p>
            <w:pPr>
              <w:spacing w:after="0" w:line="240" w:lineRule="auto"/>
              <w:jc w:val="left"/>
            </w:pPr>
            <w:r>
              <w:t>候选任务和生成说明是否已通过适用的 Content / Annotation / Path / Output Lint，是否存在未处理的 REVIEW/BLOCK。</w:t>
            </w:r>
            <w:r>
              <w:rPr>
                <w:rFonts w:ascii="Arial" w:hAnsi="Arial" w:eastAsia="Noto Sans CJK SC"/>
                <w:b w:val="0"/>
                <w:i w:val="0"/>
                <w:color w:val="25313C"/>
                <w:sz w:val="16"/>
              </w:rPr>
            </w:r>
          </w:p>
        </w:tc>
      </w:tr>
    </w:tbl>
    <w:p/>
    <w:p>
      <w:pPr>
        <w:pStyle w:val="Heading1"/>
        <w:keepNext/>
        <w:spacing w:before="200" w:after="80"/>
      </w:pPr>
      <w:r>
        <w:t>13. 学习路径推荐框架</w:t>
      </w:r>
    </w:p>
    <w:p>
      <w:pPr>
        <w:spacing w:after="120" w:line="269" w:lineRule="auto"/>
      </w:pPr>
      <w:r>
        <w:rPr>
          <w:rFonts w:ascii="Calibri" w:hAnsi="Calibri" w:eastAsia="Noto Sans CJK SC"/>
          <w:b w:val="0"/>
          <w:i w:val="0"/>
          <w:color w:val="263746"/>
          <w:sz w:val="21"/>
        </w:rPr>
        <w:t>学习路径推荐不是选择单个“下一题”，也不是交给黑箱排序模型自由决定，而是在课程目标、BKT 知识状态、IRT 能力—难度区间、Bloom/思维目标、时间预算和教师约束下，通过受版本控制的规则完成候选过滤、评分、排序和序列组装，形成可执行、可验证、可解释、可反馈的短周期学习路径。</w:t>
      </w:r>
    </w:p>
    <w:p>
      <w:pPr>
        <w:jc w:val="center"/>
      </w:pPr>
      <w:r>
        <w:drawing>
          <wp:inline xmlns:a="http://schemas.openxmlformats.org/drawingml/2006/main" xmlns:pic="http://schemas.openxmlformats.org/drawingml/2006/picture">
            <wp:extent cx="5806440" cy="3158058"/>
            <wp:docPr id="8" name="Picture 8" descr="个性化学习路径推荐框架，包含 Path Lint、Verifier 和 Output Lint" title="个性化学习路径推荐框架，包含 Path Lint、Verifier 和 Output Lint"/>
            <wp:cNvGraphicFramePr>
              <a:graphicFrameLocks noChangeAspect="1"/>
            </wp:cNvGraphicFramePr>
            <a:graphic>
              <a:graphicData uri="http://schemas.openxmlformats.org/drawingml/2006/picture">
                <pic:pic>
                  <pic:nvPicPr>
                    <pic:cNvPr id="0" name="AdaptLearn_Copilot_学习路径推荐_ResearchLint.png"/>
                    <pic:cNvPicPr/>
                  </pic:nvPicPr>
                  <pic:blipFill>
                    <a:blip r:embed="rId18"/>
                    <a:stretch>
                      <a:fillRect/>
                    </a:stretch>
                  </pic:blipFill>
                  <pic:spPr>
                    <a:xfrm>
                      <a:off x="0" y="0"/>
                      <a:ext cx="5806440" cy="3158058"/>
                    </a:xfrm>
                    <a:prstGeom prst="rect"/>
                  </pic:spPr>
                </pic:pic>
              </a:graphicData>
            </a:graphic>
          </wp:inline>
        </w:drawing>
      </w:r>
    </w:p>
    <w:p>
      <w:pPr>
        <w:spacing w:after="120" w:line="269" w:lineRule="auto"/>
        <w:jc w:val="center"/>
      </w:pPr>
      <w:r>
        <w:rPr>
          <w:rFonts w:ascii="Arial" w:hAnsi="Arial" w:eastAsia="Noto Sans CJK SC"/>
          <w:b w:val="0"/>
        </w:rPr>
        <w:t>图 4  个性化学习路径推荐与质量门禁框架</w:t>
      </w:r>
    </w:p>
    <w:p>
      <w:pPr>
        <w:pStyle w:val="Heading2"/>
        <w:keepNext/>
        <w:spacing w:before="140" w:after="80"/>
      </w:pPr>
      <w:r>
        <w:t>13.1 推荐流程</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cantSplit/>
        </w:trPr>
        <w:tc>
          <w:tcPr>
            <w:tcW w:type="dxa" w:w="1512"/>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6"/>
              </w:rPr>
              <w:t>阶段</w:t>
            </w:r>
          </w:p>
        </w:tc>
        <w:tc>
          <w:tcPr>
            <w:tcW w:type="dxa" w:w="2376"/>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6"/>
              </w:rPr>
              <w:t>主要输入</w:t>
            </w:r>
          </w:p>
        </w:tc>
        <w:tc>
          <w:tcPr>
            <w:tcW w:type="dxa" w:w="3672"/>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6"/>
              </w:rPr>
              <w:t>处理方法</w:t>
            </w:r>
          </w:p>
        </w:tc>
        <w:tc>
          <w:tcPr>
            <w:tcW w:type="dxa" w:w="1584"/>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6"/>
              </w:rPr>
              <w:t>输出</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目标定义</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当前单元目标、教师重点、学生时间预算。</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将目标转换为知识、技能、Bloom、思维品质、IRT 难度区间和教师策略约束。</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本轮学习目标与规则上下文。</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状态快照</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BKT 掌握概率、IRT 能力 θ/标准误、Bloom 深度、技能、行为、策略和思维品质。</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读取最新 Profile 与 BKT/IRT Model State，计算证据覆盖、数据充分性和置信度。</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可用于推荐的结构化 Learner State。</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候选检索</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任务库标签、IRT 项目参数和资源可用状态。</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按知识缺口、技能、思维目标和课程范围召回已审核候选任务。</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候选任务集合。</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硬过滤</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候选任务、教师禁用项、任务历史、Lint/审核状态。</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剔除版本失效、年级不符、已完成、重复、隐私/价值风险、标注低置信和超出 IRT 可接受区间的任务。</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合格候选集合与排除原因。</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规则评分与路径组装</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合格候选、BKT/IRT 状态、课程目标、教师策略。</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按版本化规则计算 GapMatch、IRT DifficultyFit、BloomProgress、ThinkingFit、GoalAlignment、Load、Diversity 和 Repetition，并处理规则优先级与冲突。</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候选学习路径、规则命中和候选排除清单。</w:t>
            </w:r>
          </w:p>
        </w:tc>
      </w:tr>
      <w:tr>
        <w:trPr>
          <w:cantSplit/>
        </w:trPr>
        <w:tc>
          <w:tcPr>
            <w:tcW w:type="dxa" w:w="15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6"/>
              </w:rPr>
              <w:t>Learning Path Lint</w:t>
            </w:r>
          </w:p>
        </w:tc>
        <w:tc>
          <w:tcPr>
            <w:tcW w:type="dxa" w:w="237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候选路径、任务版本、资源状态、教师禁用规则、已完成历史。</w:t>
            </w:r>
          </w:p>
        </w:tc>
        <w:tc>
          <w:tcPr>
            <w:tcW w:type="dxa" w:w="367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执行资源存在、版本、重复、时间预算、答案泄露和硬约束门禁；失败时回退候选阶段。</w:t>
            </w:r>
          </w:p>
        </w:tc>
        <w:tc>
          <w:tcPr>
            <w:tcW w:type="dxa" w:w="1584"/>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6"/>
              </w:rPr>
              <w:t>通过门禁的候选学习路径。</w:t>
            </w:r>
          </w:p>
        </w:tc>
      </w:tr>
      <w:tr>
        <w:tc>
          <w:tcPr>
            <w:tcW w:type="dxa" w:w="2340"/>
            <w:vAlign w:val="center"/>
          </w:tcPr>
          <w:p>
            <w:pPr>
              <w:spacing w:after="0" w:line="240" w:lineRule="auto"/>
              <w:jc w:val="left"/>
            </w:pPr>
            <w:r>
              <w:t>Verifier 校验</w:t>
            </w:r>
            <w:r>
              <w:rPr>
                <w:rFonts w:ascii="Arial" w:hAnsi="Arial" w:eastAsia="Noto Sans CJK SC"/>
                <w:b w:val="0"/>
                <w:i w:val="0"/>
                <w:color w:val="25313C"/>
                <w:sz w:val="16"/>
              </w:rPr>
            </w:r>
          </w:p>
        </w:tc>
        <w:tc>
          <w:tcPr>
            <w:tcW w:type="dxa" w:w="2340"/>
            <w:vAlign w:val="center"/>
          </w:tcPr>
          <w:p>
            <w:pPr>
              <w:spacing w:after="0" w:line="240" w:lineRule="auto"/>
              <w:jc w:val="left"/>
            </w:pPr>
            <w:r>
              <w:t>候选路径、BKT/IRT 状态、课程目标、教师约束。</w:t>
            </w:r>
            <w:r>
              <w:rPr>
                <w:rFonts w:ascii="Arial" w:hAnsi="Arial" w:eastAsia="Noto Sans CJK SC"/>
                <w:b w:val="0"/>
                <w:i w:val="0"/>
                <w:color w:val="25313C"/>
                <w:sz w:val="16"/>
              </w:rPr>
            </w:r>
          </w:p>
        </w:tc>
        <w:tc>
          <w:tcPr>
            <w:tcW w:type="dxa" w:w="2340"/>
            <w:vAlign w:val="center"/>
          </w:tcPr>
          <w:p>
            <w:pPr>
              <w:spacing w:after="0" w:line="240" w:lineRule="auto"/>
              <w:jc w:val="left"/>
            </w:pPr>
            <w:r>
              <w:t>校验教学适切性、IRT 难度、Bloom/思维推进、负荷和路径连贯性；必要时回退重组。</w:t>
            </w:r>
            <w:r>
              <w:rPr>
                <w:rFonts w:ascii="Arial" w:hAnsi="Arial" w:eastAsia="Noto Sans CJK SC"/>
                <w:b w:val="0"/>
                <w:i w:val="0"/>
                <w:color w:val="25313C"/>
                <w:sz w:val="16"/>
              </w:rPr>
            </w:r>
          </w:p>
        </w:tc>
        <w:tc>
          <w:tcPr>
            <w:tcW w:type="dxa" w:w="2340"/>
            <w:vAlign w:val="center"/>
          </w:tcPr>
          <w:p>
            <w:pPr>
              <w:spacing w:after="0" w:line="240" w:lineRule="auto"/>
              <w:jc w:val="left"/>
            </w:pPr>
            <w:r>
              <w:t>通过、修订、复核或拒绝的路径。</w:t>
            </w:r>
            <w:r>
              <w:rPr>
                <w:rFonts w:ascii="Arial" w:hAnsi="Arial" w:eastAsia="Noto Sans CJK SC"/>
                <w:b w:val="0"/>
                <w:i w:val="0"/>
                <w:color w:val="25313C"/>
                <w:sz w:val="16"/>
              </w:rPr>
            </w:r>
          </w:p>
        </w:tc>
      </w:tr>
      <w:tr>
        <w:tc>
          <w:tcPr>
            <w:tcW w:type="dxa" w:w="2340"/>
            <w:vAlign w:val="center"/>
          </w:tcPr>
          <w:p>
            <w:pPr>
              <w:spacing w:after="0" w:line="240" w:lineRule="auto"/>
              <w:jc w:val="left"/>
            </w:pPr>
            <w:r>
              <w:t>教师审计解释与交付</w:t>
            </w:r>
            <w:r>
              <w:rPr>
                <w:rFonts w:ascii="Arial" w:hAnsi="Arial" w:eastAsia="Noto Sans CJK SC"/>
                <w:b w:val="0"/>
                <w:i w:val="0"/>
                <w:color w:val="25313C"/>
                <w:sz w:val="16"/>
              </w:rPr>
            </w:r>
          </w:p>
        </w:tc>
        <w:tc>
          <w:tcPr>
            <w:tcW w:type="dxa" w:w="2340"/>
            <w:vAlign w:val="center"/>
          </w:tcPr>
          <w:p>
            <w:pPr>
              <w:spacing w:after="0" w:line="240" w:lineRule="auto"/>
              <w:jc w:val="left"/>
            </w:pPr>
            <w:r>
              <w:t>已验证路径、Decision Trace、学生年龄和隐私约束。</w:t>
            </w:r>
            <w:r>
              <w:rPr>
                <w:rFonts w:ascii="Arial" w:hAnsi="Arial" w:eastAsia="Noto Sans CJK SC"/>
                <w:b w:val="0"/>
                <w:i w:val="0"/>
                <w:color w:val="25313C"/>
                <w:sz w:val="16"/>
              </w:rPr>
            </w:r>
          </w:p>
        </w:tc>
        <w:tc>
          <w:tcPr>
            <w:tcW w:type="dxa" w:w="2340"/>
            <w:vAlign w:val="center"/>
          </w:tcPr>
          <w:p>
            <w:pPr>
              <w:spacing w:after="0" w:line="240" w:lineRule="auto"/>
              <w:jc w:val="left"/>
            </w:pPr>
            <w:r>
              <w:t>生成教师版审计说明和学生版说明，执行 Output Lint，支持教师确认、修改、覆盖或拒绝。</w:t>
            </w:r>
            <w:r>
              <w:rPr>
                <w:rFonts w:ascii="Arial" w:hAnsi="Arial" w:eastAsia="Noto Sans CJK SC"/>
                <w:b w:val="0"/>
                <w:i w:val="0"/>
                <w:color w:val="25313C"/>
                <w:sz w:val="16"/>
              </w:rPr>
            </w:r>
          </w:p>
        </w:tc>
        <w:tc>
          <w:tcPr>
            <w:tcW w:type="dxa" w:w="2340"/>
            <w:vAlign w:val="center"/>
          </w:tcPr>
          <w:p>
            <w:pPr>
              <w:spacing w:after="0" w:line="240" w:lineRule="auto"/>
              <w:jc w:val="left"/>
            </w:pPr>
            <w:r>
              <w:t>可交付路径、TeacherAuditExplanation、StudentExplanation、LintResult 和 Decision Trace。</w:t>
            </w:r>
            <w:r>
              <w:rPr>
                <w:rFonts w:ascii="Arial" w:hAnsi="Arial" w:eastAsia="Noto Sans CJK SC"/>
                <w:b w:val="0"/>
                <w:i w:val="0"/>
                <w:color w:val="25313C"/>
                <w:sz w:val="16"/>
              </w:rPr>
            </w:r>
          </w:p>
        </w:tc>
      </w:tr>
      <w:tr>
        <w:tc>
          <w:tcPr>
            <w:tcW w:type="dxa" w:w="2340"/>
          </w:tcPr>
          <w:p>
            <w:r>
              <w:t>反馈与更新</w:t>
            </w:r>
          </w:p>
        </w:tc>
        <w:tc>
          <w:tcPr>
            <w:tcW w:type="dxa" w:w="2340"/>
          </w:tcPr>
          <w:p>
            <w:r>
              <w:t>学生完成、反思、后测和教师操作。</w:t>
            </w:r>
          </w:p>
        </w:tc>
        <w:tc>
          <w:tcPr>
            <w:tcW w:type="dxa" w:w="2340"/>
          </w:tcPr>
          <w:p>
            <w:r>
              <w:t>Evidence &amp; Data Lint 后更新 BKT，按批次更新 IRT，记录规则效果和教师覆盖原因。</w:t>
            </w:r>
          </w:p>
        </w:tc>
        <w:tc>
          <w:tcPr>
            <w:tcW w:type="dxa" w:w="2340"/>
          </w:tcPr>
          <w:p>
            <w:r>
              <w:t>下一轮诊断、参数校准和规则治理输入。</w:t>
            </w:r>
          </w:p>
        </w:tc>
      </w:tr>
    </w:tbl>
    <w:tbl>
      <w:tblPr>
        <w:tblStyle w:val="TableGrid"/>
        <w:tblW w:type="auto" w:w="0"/>
        <w:jc w:val="center"/>
        <w:tblLook w:firstColumn="1" w:firstRow="1" w:lastColumn="0" w:lastRow="0" w:noHBand="0" w:noVBand="1" w:val="04A0"/>
      </w:tblPr>
      <w:tblGrid>
        <w:gridCol w:w="9360"/>
      </w:tblGrid>
      <w:tr>
        <w:trPr>
          <w:cantSplit/>
          <w:tblHeader/>
        </w:trPr>
        <w:tc>
          <w:tcPr>
            <w:tcW w:type="dxa" w:w="9360"/>
            <w:shd w:fill="F8E8D4"/>
            <w:tcBorders>
              <w:top w:val="single" w:sz="5" w:space="0" w:color="A9C3D8"/>
              <w:left w:val="single" w:sz="5" w:space="0" w:color="A9C3D8"/>
              <w:bottom w:val="single" w:sz="5" w:space="0" w:color="A9C3D8"/>
              <w:right w:val="single" w:sz="5" w:space="0" w:color="A9C3D8"/>
              <w:insideH w:val="single" w:sz="5" w:space="0" w:color="A9C3D8"/>
              <w:insideV w:val="single" w:sz="5" w:space="0" w:color="A9C3D8"/>
            </w:tcBorders>
          </w:tcPr>
          <w:p>
            <w:pPr>
              <w:spacing w:after="40"/>
            </w:pPr>
            <w:r>
              <w:t>规则评分与排序（概念模型）</w:t>
              <w:br/>
              <w:t>RuleScore(t | s, g) = w1·GapMatch + w2·IRT_DifficultyFit + w3·BloomProgress + w4·ThinkingFit + w5·GoalAlignment + w6·PreferenceFit + w7·Diversity − w8·Repetition − w9·CognitiveLoad。</w:t>
              <w:br/>
              <w:t>所有特征、权重、阈值、优先级和冲突处理均由 Rule ID + Rule Version 管理；硬过滤先于评分。IRT 匹配需同时考虑 θ-b 差值、能力标准误和项目参数置信度。MVP 不使用黑箱模型替代该规则主链。</w:t>
            </w:r>
            <w:r>
              <w:rPr>
                <w:rFonts w:ascii="Calibri" w:hAnsi="Calibri" w:eastAsia="Noto Sans CJK SC"/>
                <w:b/>
                <w:i w:val="0"/>
                <w:color w:val="2E74B5"/>
                <w:sz w:val="20"/>
              </w:rPr>
            </w:r>
          </w:p>
        </w:tc>
      </w:tr>
    </w:tbl>
    <w:p>
      <w:pPr>
        <w:pStyle w:val="Heading2"/>
        <w:keepNext/>
        <w:spacing w:before="140" w:after="80"/>
      </w:pPr>
      <w:r>
        <w:t>13.2 路径组装规则</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rPr>
        <w:tc>
          <w:tcPr>
            <w:tcW w:type="dxa" w:w="2016"/>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规则</w:t>
            </w:r>
          </w:p>
        </w:tc>
        <w:tc>
          <w:tcPr>
            <w:tcW w:type="dxa" w:w="7128"/>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具体要求</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知识缺口覆盖</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优先覆盖高置信度未掌握或不稳定节点，同时避免一次路径跨越过多知识点。</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IRT 适当挑战</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任务难度 b 与学生能力 θ 位于学校设定的挑战区间；能力或项目参数不确定时采取保守范围或要求教师确认。</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Bloom 合理推进</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以当前已确认层级为起点，通常推进一个层级；高阶任务必须有足够的基础证据。</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思维品质目标</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路径至少包含一个与本轮思维目标匹配的任务，例如推断、论证、评价或创新表达。</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难度与负荷</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任务难度、预计时长和任务数量符合学生当前能力、近期投入和可用时间。</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任务多样性</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在知识修复、技能应用、思维挑战、反思和再评估之间保持合理组合，避免单一刷题。</w:t>
            </w:r>
          </w:p>
        </w:tc>
      </w:tr>
      <w:tr>
        <w:trPr>
          <w:cantSplit/>
        </w:trPr>
        <w:tc>
          <w:tcPr>
            <w:tcW w:type="dxa" w:w="2016"/>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重复控制</w:t>
            </w:r>
          </w:p>
        </w:tc>
        <w:tc>
          <w:tcPr>
            <w:tcW w:type="dxa" w:w="7128"/>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与近期已完成任务在题型、知识节点和表层内容上避免无效重复。</w:t>
            </w:r>
          </w:p>
        </w:tc>
      </w:tr>
      <w:tr>
        <w:tc>
          <w:tcPr>
            <w:tcW w:type="dxa" w:w="4680"/>
          </w:tcPr>
          <w:p>
            <w:r>
              <w:t>规则冲突与回退</w:t>
            </w:r>
          </w:p>
        </w:tc>
        <w:tc>
          <w:tcPr>
            <w:tcW w:type="dxa" w:w="4680"/>
          </w:tcPr>
          <w:p>
            <w:r>
              <w:t>设置规则优先级、互斥组和默认回退；冲突、覆盖不足或高风险时进入 Verifier/教师复核，不由 Agent 自行改写生产规则。</w:t>
            </w:r>
          </w:p>
        </w:tc>
      </w:tr>
      <w:tr>
        <w:tc>
          <w:tcPr>
            <w:tcW w:type="dxa" w:w="4680"/>
          </w:tcPr>
          <w:p>
            <w:r>
              <w:t>教师约束</w:t>
            </w:r>
          </w:p>
        </w:tc>
        <w:tc>
          <w:tcPr>
            <w:tcW w:type="dxa" w:w="4680"/>
          </w:tcPr>
          <w:p>
            <w:r>
              <w:t>允许教师锁定单元重点、设定 θ-b 挑战范围、禁用资源、设定任务数量、修改排序或直接覆盖推荐。</w:t>
            </w:r>
          </w:p>
        </w:tc>
      </w:tr>
    </w:tbl>
    <w:p>
      <w:pPr>
        <w:pStyle w:val="Heading2"/>
        <w:keepNext/>
        <w:spacing w:before="140" w:after="80"/>
      </w:pPr>
      <w:r>
        <w:t>13.3 学习路径输出结构</w:t>
      </w:r>
    </w:p>
    <w:tbl>
      <w:tblPr>
        <w:tblStyle w:val="TableGrid"/>
        <w:tblW w:type="auto" w:w="0"/>
        <w:jc w:val="center"/>
        <w:tblLayout w:type="autofit"/>
        <w:tblLook w:firstColumn="1" w:firstRow="1" w:lastColumn="0" w:lastRow="0" w:noHBand="0" w:noVBand="1" w:val="04A0"/>
      </w:tblPr>
      <w:tblGrid>
        <w:gridCol w:w="4680"/>
        <w:gridCol w:w="4680"/>
      </w:tblGrid>
      <w:tr>
        <w:trPr>
          <w:tblHeader w:val="true"/>
          <w:cantSplit/>
        </w:trPr>
        <w:tc>
          <w:tcPr>
            <w:tcW w:type="dxa" w:w="2232"/>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字段</w:t>
            </w:r>
          </w:p>
        </w:tc>
        <w:tc>
          <w:tcPr>
            <w:tcW w:type="dxa" w:w="6912"/>
            <w:shd w:fill="D9EAF7"/>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40" w:lineRule="auto"/>
              <w:jc w:val="center"/>
            </w:pPr>
            <w:r>
              <w:rPr>
                <w:rFonts w:ascii="Calibri" w:hAnsi="Calibri" w:eastAsia="Noto Sans CJK SC"/>
                <w:b/>
                <w:i w:val="0"/>
                <w:color w:val="2E74B5"/>
                <w:sz w:val="17"/>
              </w:rPr>
              <w:t>说明</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Path Goal</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本轮希望修复的知识缺口、提升的技能和思维品质目标。</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Learner State Snapshot</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BKT P(L)、IRT θ/标准误、Bloom 深度、思维画像、行为与教师约束。</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Task Sequence</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按执行顺序排列的任务，每项包含知识/技能标签、IRT 难度、预计时长和完成标准。</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Rule Evaluation</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触发的规则、得分项、阈值、优先级、候选排除和冲突处理结果。</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Verifier Result</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通过的检查、被调整的约束和最终修改结果。</w:t>
            </w:r>
          </w:p>
        </w:tc>
      </w:tr>
      <w:tr>
        <w:trPr>
          <w:cantSplit/>
        </w:trPr>
        <w:tc>
          <w:tcPr>
            <w:tcW w:type="dxa" w:w="223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i w:val="0"/>
                <w:color w:val="263746"/>
                <w:sz w:val="17"/>
              </w:rPr>
              <w:t>Teacher Audit Explanation</w:t>
            </w:r>
          </w:p>
        </w:tc>
        <w:tc>
          <w:tcPr>
            <w:tcW w:type="dxa" w:w="6912"/>
            <w:tcBorders>
              <w:top w:val="single" w:sz="4" w:space="0" w:color="B7C9D8"/>
              <w:left w:val="single" w:sz="4" w:space="0" w:color="B7C9D8"/>
              <w:bottom w:val="single" w:sz="4" w:space="0" w:color="B7C9D8"/>
              <w:right w:val="single" w:sz="4" w:space="0" w:color="B7C9D8"/>
              <w:insideH w:val="single" w:sz="4" w:space="0" w:color="B7C9D8"/>
              <w:insideV w:val="single" w:sz="4" w:space="0" w:color="B7C9D8"/>
            </w:tcBorders>
            <w:vAlign w:val="center"/>
          </w:tcPr>
          <w:p>
            <w:pPr>
              <w:spacing w:after="0" w:line="252" w:lineRule="auto"/>
              <w:jc w:val="left"/>
            </w:pPr>
            <w:r>
              <w:rPr>
                <w:rFonts w:ascii="Calibri" w:hAnsi="Calibri" w:eastAsia="Noto Sans CJK SC"/>
                <w:b w:val="0"/>
                <w:i w:val="0"/>
                <w:color w:val="263746"/>
                <w:sz w:val="17"/>
              </w:rPr>
              <w:t>证据快照、BKT/IRT 状态、规则与版本、Lint/Verifier、教师操作和可重放结论。</w:t>
            </w:r>
          </w:p>
        </w:tc>
      </w:tr>
      <w:tr>
        <w:tc>
          <w:tcPr>
            <w:tcW w:type="dxa" w:w="4680"/>
          </w:tcPr>
          <w:p>
            <w:r>
              <w:t>Success Criteria</w:t>
            </w:r>
          </w:p>
        </w:tc>
        <w:tc>
          <w:tcPr>
            <w:tcW w:type="dxa" w:w="4680"/>
          </w:tcPr>
          <w:p>
            <w:r>
              <w:t>完成质量、后测表现或反思质量达到什么标准才进入下一阶段。</w:t>
            </w:r>
          </w:p>
        </w:tc>
      </w:tr>
      <w:tr>
        <w:tc>
          <w:tcPr>
            <w:tcW w:type="dxa" w:w="4680"/>
          </w:tcPr>
          <w:p>
            <w:r>
              <w:t>Fallback Plan</w:t>
            </w:r>
          </w:p>
        </w:tc>
        <w:tc>
          <w:tcPr>
            <w:tcW w:type="dxa" w:w="4680"/>
          </w:tcPr>
          <w:p>
            <w:r>
              <w:t>学生未完成、难度不匹配、规则冲突或资源不可用时的降级与重规划策略。</w:t>
            </w:r>
          </w:p>
        </w:tc>
      </w:tr>
    </w:tbl>
    <w:p>
      <w:pPr>
        <w:pStyle w:val="Heading1"/>
        <w:keepNext/>
        <w:spacing w:before="200" w:after="80"/>
      </w:pPr>
      <w:r>
        <w:t>14. 系统输出示例</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1944"/>
            <w:vAlign w:val="center"/>
            <w:tcMar>
              <w:top w:w="80" w:type="dxa"/>
              <w:start w:w="120" w:type="dxa"/>
              <w:bottom w:w="80" w:type="dxa"/>
              <w:end w:w="120" w:type="dxa"/>
            </w:tcMar>
            <w:shd w:fill="E8EEF5"/>
          </w:tcPr>
          <w:p>
            <w:pPr>
              <w:spacing w:after="0"/>
            </w:pPr>
            <w:r>
              <w:rPr>
                <w:rFonts w:ascii="Calibri" w:hAnsi="Calibri" w:eastAsia="Noto Sans CJK SC"/>
                <w:b/>
                <w:color w:val="1F4D78"/>
                <w:sz w:val="21"/>
              </w:rPr>
              <w:t>输出项</w:t>
            </w:r>
          </w:p>
        </w:tc>
        <w:tc>
          <w:tcPr>
            <w:tcW w:type="dxa" w:w="7416"/>
            <w:vAlign w:val="center"/>
            <w:tcMar>
              <w:top w:w="80" w:type="dxa"/>
              <w:start w:w="120" w:type="dxa"/>
              <w:bottom w:w="80" w:type="dxa"/>
              <w:end w:w="120" w:type="dxa"/>
            </w:tcMar>
            <w:shd w:fill="E8EEF5"/>
          </w:tcPr>
          <w:p>
            <w:pPr>
              <w:spacing w:after="0"/>
            </w:pPr>
            <w:r>
              <w:rPr>
                <w:rFonts w:ascii="Calibri" w:hAnsi="Calibri" w:eastAsia="Noto Sans CJK SC"/>
                <w:b/>
                <w:color w:val="1F4D78"/>
                <w:sz w:val="21"/>
              </w:rPr>
              <w:t>示例</w:t>
            </w:r>
          </w:p>
        </w:tc>
      </w:tr>
      <w:tr>
        <w:trPr>
          <w:cantSplit/>
        </w:trPr>
        <w:tc>
          <w:tcPr>
            <w:tcW w:type="dxa" w:w="1944"/>
          </w:tcPr>
          <w:p>
            <w:pPr>
              <w:spacing w:after="0" w:line="264" w:lineRule="auto"/>
            </w:pPr>
            <w:r>
              <w:rPr>
                <w:rFonts w:ascii="Calibri" w:hAnsi="Calibri" w:eastAsia="Noto Sans CJK SC"/>
                <w:sz w:val="20"/>
              </w:rPr>
              <w:t>BKT 知识状态</w:t>
            </w:r>
          </w:p>
        </w:tc>
        <w:tc>
          <w:tcPr>
            <w:tcW w:type="dxa" w:w="7416"/>
          </w:tcPr>
          <w:p>
            <w:pPr>
              <w:spacing w:after="0" w:line="264" w:lineRule="auto"/>
            </w:pPr>
            <w:r>
              <w:rPr>
                <w:rFonts w:ascii="Calibri" w:hAnsi="Calibri" w:eastAsia="Noto Sans CJK SC"/>
                <w:sz w:val="20"/>
              </w:rPr>
              <w:t>宾语从句 P(L)=0.68，处于“部分掌握”；语篇衔接 P(L)=0.49，为本轮优先补强知识点。</w:t>
            </w:r>
          </w:p>
        </w:tc>
      </w:tr>
      <w:tr>
        <w:trPr>
          <w:cantSplit/>
        </w:trPr>
        <w:tc>
          <w:tcPr>
            <w:tcW w:type="dxa" w:w="1944"/>
          </w:tcPr>
          <w:p>
            <w:pPr>
              <w:spacing w:after="0" w:line="264" w:lineRule="auto"/>
            </w:pPr>
            <w:r>
              <w:rPr>
                <w:rFonts w:ascii="Calibri" w:hAnsi="Calibri" w:eastAsia="Noto Sans CJK SC"/>
                <w:sz w:val="20"/>
              </w:rPr>
              <w:t>IRT 能力与难度匹配</w:t>
            </w:r>
          </w:p>
        </w:tc>
        <w:tc>
          <w:tcPr>
            <w:tcW w:type="dxa" w:w="7416"/>
          </w:tcPr>
          <w:p>
            <w:pPr>
              <w:spacing w:after="0" w:line="264" w:lineRule="auto"/>
            </w:pPr>
            <w:r>
              <w:rPr>
                <w:rFonts w:ascii="Calibri" w:hAnsi="Calibri" w:eastAsia="Noto Sans CJK SC"/>
                <w:sz w:val="20"/>
              </w:rPr>
              <w:t>学生能力 θ=0.32（含标准误）；推荐任务难度 b 主要分布在 0.10–0.55，位于学校设定的适当挑战区间。</w:t>
            </w:r>
          </w:p>
        </w:tc>
      </w:tr>
      <w:tr>
        <w:trPr>
          <w:cantSplit/>
        </w:trPr>
        <w:tc>
          <w:tcPr>
            <w:tcW w:type="dxa" w:w="1944"/>
          </w:tcPr>
          <w:p>
            <w:pPr>
              <w:spacing w:after="0" w:line="264" w:lineRule="auto"/>
            </w:pPr>
            <w:r>
              <w:rPr>
                <w:rFonts w:ascii="Calibri" w:hAnsi="Calibri" w:eastAsia="Noto Sans CJK SC"/>
                <w:sz w:val="20"/>
              </w:rPr>
              <w:t>技能与思维状态</w:t>
            </w:r>
          </w:p>
        </w:tc>
        <w:tc>
          <w:tcPr>
            <w:tcW w:type="dxa" w:w="7416"/>
          </w:tcPr>
          <w:p>
            <w:pPr>
              <w:spacing w:after="0" w:line="264" w:lineRule="auto"/>
            </w:pPr>
            <w:r>
              <w:rPr>
                <w:rFonts w:ascii="Calibri" w:hAnsi="Calibri" w:eastAsia="Noto Sans CJK SC"/>
                <w:sz w:val="20"/>
              </w:rPr>
              <w:t>阅读细节理解较好，推理判断较弱；写作段落组织和逻辑连接不足；归纳与推断处于 T2 发展中。</w:t>
            </w:r>
          </w:p>
        </w:tc>
      </w:tr>
      <w:tr>
        <w:trPr>
          <w:cantSplit/>
        </w:trPr>
        <w:tc>
          <w:tcPr>
            <w:tcW w:type="dxa" w:w="1944"/>
          </w:tcPr>
          <w:p>
            <w:pPr>
              <w:spacing w:after="0" w:line="264" w:lineRule="auto"/>
            </w:pPr>
            <w:r>
              <w:rPr>
                <w:rFonts w:ascii="Calibri" w:hAnsi="Calibri" w:eastAsia="Noto Sans CJK SC"/>
                <w:sz w:val="20"/>
              </w:rPr>
              <w:t>规则推荐路径</w:t>
            </w:r>
          </w:p>
        </w:tc>
        <w:tc>
          <w:tcPr>
            <w:tcW w:type="dxa" w:w="7416"/>
          </w:tcPr>
          <w:p>
            <w:pPr>
              <w:spacing w:after="0" w:line="269" w:lineRule="auto"/>
            </w:pPr>
            <w:r>
              <w:rPr>
                <w:rFonts w:ascii="Calibri" w:hAnsi="Calibri" w:eastAsia="Noto Sans CJK SC"/>
                <w:b w:val="0"/>
                <w:i w:val="0"/>
                <w:color w:val="263746"/>
                <w:sz w:val="18"/>
              </w:rPr>
              <w:t>1. 宾语从句应用练习；2. 说明文段落逻辑标注；3. 观点判断 + 理由说明；4. 120 词观点表达。</w:t>
            </w:r>
          </w:p>
        </w:tc>
      </w:tr>
      <w:tr>
        <w:trPr>
          <w:cantSplit/>
        </w:trPr>
        <w:tc>
          <w:tcPr>
            <w:tcW w:type="dxa" w:w="1944"/>
          </w:tcPr>
          <w:p>
            <w:pPr>
              <w:spacing w:after="0" w:line="264" w:lineRule="auto"/>
            </w:pPr>
            <w:r>
              <w:rPr>
                <w:rFonts w:ascii="Calibri" w:hAnsi="Calibri" w:eastAsia="Noto Sans CJK SC"/>
                <w:sz w:val="20"/>
              </w:rPr>
              <w:t>教师可审计解释</w:t>
            </w:r>
          </w:p>
        </w:tc>
        <w:tc>
          <w:tcPr>
            <w:tcW w:type="dxa" w:w="7416"/>
          </w:tcPr>
          <w:p>
            <w:pPr>
              <w:spacing w:after="0" w:line="264" w:lineRule="auto"/>
            </w:pPr>
            <w:r>
              <w:rPr>
                <w:rFonts w:ascii="Calibri" w:hAnsi="Calibri" w:eastAsia="Noto Sans CJK SC"/>
                <w:sz w:val="20"/>
              </w:rPr>
              <w:t>触发规则：R-KG-GAP、R-IRT-ZPD、R-BLOOM-NEXT、R-THINK-INFER；排除两个重复任务、一个标注置信度不足任务和一个难度过高任务；Path Lint/Verifier 均通过；教师可查看证据、参数和版本并覆盖。</w:t>
            </w:r>
          </w:p>
        </w:tc>
      </w:tr>
      <w:tr>
        <w:trPr>
          <w:cantSplit/>
        </w:trPr>
        <w:tc>
          <w:tcPr>
            <w:tcW w:type="dxa" w:w="1944"/>
          </w:tcPr>
          <w:p>
            <w:pPr>
              <w:spacing w:after="0" w:line="264" w:lineRule="auto"/>
            </w:pPr>
            <w:r>
              <w:rPr>
                <w:rFonts w:ascii="Calibri" w:hAnsi="Calibri" w:eastAsia="Noto Sans CJK SC"/>
                <w:sz w:val="20"/>
              </w:rPr>
              <w:t>学生版推荐理由</w:t>
            </w:r>
          </w:p>
        </w:tc>
        <w:tc>
          <w:tcPr>
            <w:tcW w:type="dxa" w:w="7416"/>
          </w:tcPr>
          <w:p>
            <w:pPr>
              <w:spacing w:after="0" w:line="264" w:lineRule="auto"/>
            </w:pPr>
            <w:r>
              <w:rPr>
                <w:rFonts w:ascii="Calibri" w:hAnsi="Calibri" w:eastAsia="Noto Sans CJK SC"/>
                <w:sz w:val="20"/>
              </w:rPr>
              <w:t>你已经理解宾语从句的基本规则，下一步将练习在阅读和写作中正确使用，并通过观点判断任务提升推断与表达能力。</w:t>
            </w:r>
          </w:p>
        </w:tc>
      </w:tr>
    </w:tbl>
    <w:p/>
    <w:p>
      <w:pPr>
        <w:pStyle w:val="Heading1"/>
        <w:keepNext/>
        <w:spacing w:before="200" w:after="80"/>
      </w:pPr>
      <w:r>
        <w:t>15. 评估指标与验证方案</w:t>
      </w:r>
    </w:p>
    <w:p>
      <w:pPr>
        <w:spacing w:after="120" w:line="269" w:lineRule="auto"/>
      </w:pPr>
      <w:r>
        <w:rPr>
          <w:rFonts w:eastAsia="Noto Sans CJK SC" w:ascii="Calibri" w:hAnsi="Calibri"/>
        </w:rPr>
        <w:t>评估体系需要同时回答：内容自动标注是否可靠，BKT 掌握概率是否校准，IRT 能力与任务难度估计是否稳定，思维品质评分是否一致，规则推荐是否有效，教师能否复现和理解推荐依据，学生是否获得学习增益，以及 Agent、Research 和 Lint 工作流是否稳定、合规、低成本。</w:t>
      </w:r>
    </w:p>
    <w:p>
      <w:pPr>
        <w:pStyle w:val="Heading2"/>
        <w:keepNext/>
        <w:spacing w:before="140" w:after="80"/>
      </w:pPr>
      <w:r>
        <w:t>15.1 指标体系</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1944"/>
            <w:shd w:fill="D9EAF7"/>
            <w:vAlign w:val="center"/>
          </w:tcPr>
          <w:p>
            <w:pPr>
              <w:spacing w:before="0" w:after="0" w:line="252" w:lineRule="auto"/>
              <w:jc w:val="center"/>
            </w:pPr>
            <w:r>
              <w:t>评估维度</w:t>
            </w:r>
            <w:r>
              <w:rPr>
                <w:rFonts w:eastAsia="Noto Sans CJK SC" w:ascii="Calibri" w:hAnsi="Calibri"/>
                <w:b/>
                <w:color w:val="2E74B5"/>
                <w:sz w:val="17"/>
              </w:rPr>
            </w:r>
          </w:p>
        </w:tc>
        <w:tc>
          <w:tcPr>
            <w:tcW w:type="dxa" w:w="3960"/>
            <w:shd w:fill="D9EAF7"/>
            <w:vAlign w:val="center"/>
          </w:tcPr>
          <w:p>
            <w:pPr>
              <w:spacing w:before="0" w:after="0" w:line="252" w:lineRule="auto"/>
              <w:jc w:val="center"/>
            </w:pPr>
            <w:r>
              <w:t>核心指标</w:t>
            </w:r>
            <w:r>
              <w:rPr>
                <w:rFonts w:eastAsia="Noto Sans CJK SC" w:ascii="Calibri" w:hAnsi="Calibri"/>
                <w:b/>
                <w:color w:val="2E74B5"/>
                <w:sz w:val="17"/>
              </w:rPr>
            </w:r>
          </w:p>
        </w:tc>
        <w:tc>
          <w:tcPr>
            <w:tcW w:type="dxa" w:w="3456"/>
            <w:shd w:fill="D9EAF7"/>
            <w:vAlign w:val="center"/>
          </w:tcPr>
          <w:p>
            <w:pPr>
              <w:spacing w:before="0" w:after="0" w:line="252" w:lineRule="auto"/>
              <w:jc w:val="center"/>
            </w:pPr>
            <w:r>
              <w:t>评估方法</w:t>
            </w:r>
            <w:r>
              <w:rPr>
                <w:rFonts w:eastAsia="Noto Sans CJK SC" w:ascii="Calibri" w:hAnsi="Calibri"/>
                <w:b/>
                <w:color w:val="2E74B5"/>
                <w:sz w:val="17"/>
              </w:rPr>
            </w:r>
          </w:p>
        </w:tc>
      </w:tr>
      <w:tr>
        <w:trPr>
          <w:cantSplit/>
        </w:trPr>
        <w:tc>
          <w:tcPr>
            <w:tcW w:type="dxa" w:w="1944"/>
            <w:vAlign w:val="center"/>
          </w:tcPr>
          <w:p>
            <w:pPr>
              <w:spacing w:before="0" w:after="0" w:line="252" w:lineRule="auto"/>
              <w:jc w:val="left"/>
            </w:pPr>
            <w:r>
              <w:t>内容自动标注</w:t>
            </w:r>
            <w:r>
              <w:rPr>
                <w:rFonts w:eastAsia="Noto Sans CJK SC" w:ascii="Calibri" w:hAnsi="Calibri"/>
                <w:b/>
                <w:color w:val="263746"/>
                <w:sz w:val="14"/>
              </w:rPr>
            </w:r>
          </w:p>
        </w:tc>
        <w:tc>
          <w:tcPr>
            <w:tcW w:type="dxa" w:w="3960"/>
            <w:vAlign w:val="center"/>
          </w:tcPr>
          <w:p>
            <w:pPr>
              <w:spacing w:before="0" w:after="0" w:line="252" w:lineRule="auto"/>
              <w:jc w:val="left"/>
            </w:pPr>
            <w:r>
              <w:t>知识点多标签 Macro-F1 / Hierarchical F1；技能 Macro-F1；Bloom 加权 Kappa；思维品质 Macro-F1；专家接受率；ECE；自动通过率与人工修改率。</w:t>
            </w:r>
            <w:r>
              <w:rPr>
                <w:rFonts w:eastAsia="Noto Sans CJK SC" w:ascii="Calibri" w:hAnsi="Calibri"/>
                <w:b w:val="0"/>
                <w:color w:val="263746"/>
                <w:sz w:val="14"/>
              </w:rPr>
            </w:r>
          </w:p>
        </w:tc>
        <w:tc>
          <w:tcPr>
            <w:tcW w:type="dxa" w:w="3456"/>
            <w:vAlign w:val="center"/>
          </w:tcPr>
          <w:p>
            <w:pPr>
              <w:spacing w:before="0" w:after="0" w:line="252" w:lineRule="auto"/>
              <w:jc w:val="left"/>
            </w:pPr>
            <w:r>
              <w:t>构建双人独立标注并裁决的金标准集；按标签、年级和内容类型分层测试，并持续抽检高置信样本。</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BKT 知识追踪</w:t>
            </w:r>
            <w:r>
              <w:rPr>
                <w:rFonts w:eastAsia="Noto Sans CJK SC" w:ascii="Calibri" w:hAnsi="Calibri"/>
                <w:b/>
                <w:color w:val="263746"/>
                <w:sz w:val="14"/>
              </w:rPr>
            </w:r>
          </w:p>
        </w:tc>
        <w:tc>
          <w:tcPr>
            <w:tcW w:type="dxa" w:w="3960"/>
            <w:vAlign w:val="center"/>
          </w:tcPr>
          <w:p>
            <w:pPr>
              <w:spacing w:before="0" w:after="0" w:line="252" w:lineRule="auto"/>
              <w:jc w:val="left"/>
            </w:pPr>
            <w:r>
              <w:t>Brier Score / Log Loss、掌握概率校准、预测下一次表现、状态稳定性、教师一致率。</w:t>
            </w:r>
            <w:r>
              <w:rPr>
                <w:rFonts w:eastAsia="Noto Sans CJK SC" w:ascii="Calibri" w:hAnsi="Calibri"/>
                <w:b w:val="0"/>
                <w:color w:val="263746"/>
                <w:sz w:val="14"/>
              </w:rPr>
            </w:r>
          </w:p>
        </w:tc>
        <w:tc>
          <w:tcPr>
            <w:tcW w:type="dxa" w:w="3456"/>
            <w:vAlign w:val="center"/>
          </w:tcPr>
          <w:p>
            <w:pPr>
              <w:spacing w:before="0" w:after="0" w:line="252" w:lineRule="auto"/>
              <w:jc w:val="left"/>
            </w:pPr>
            <w:r>
              <w:t>按学生与时间切分历史交互，与正确率规则和静态掌握基线比较；按知识点、证据量和时间窗口分析。</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IRT 能力—难度测量</w:t>
            </w:r>
            <w:r>
              <w:rPr>
                <w:rFonts w:eastAsia="Noto Sans CJK SC" w:ascii="Calibri" w:hAnsi="Calibri"/>
                <w:b/>
                <w:color w:val="263746"/>
                <w:sz w:val="14"/>
              </w:rPr>
            </w:r>
          </w:p>
        </w:tc>
        <w:tc>
          <w:tcPr>
            <w:tcW w:type="dxa" w:w="3960"/>
            <w:vAlign w:val="center"/>
          </w:tcPr>
          <w:p>
            <w:pPr>
              <w:spacing w:before="0" w:after="0" w:line="252" w:lineRule="auto"/>
              <w:jc w:val="left"/>
            </w:pPr>
            <w:r>
              <w:t>项目拟合、参数稳定性、能力标准误、θ-b 匹配率、项目/测试信息量、差异项表现。</w:t>
            </w:r>
            <w:r>
              <w:rPr>
                <w:rFonts w:eastAsia="Noto Sans CJK SC" w:ascii="Calibri" w:hAnsi="Calibri"/>
                <w:b w:val="0"/>
                <w:color w:val="263746"/>
                <w:sz w:val="14"/>
              </w:rPr>
            </w:r>
          </w:p>
        </w:tc>
        <w:tc>
          <w:tcPr>
            <w:tcW w:type="dxa" w:w="3456"/>
            <w:vAlign w:val="center"/>
          </w:tcPr>
          <w:p>
            <w:pPr>
              <w:spacing w:before="0" w:after="0" w:line="252" w:lineRule="auto"/>
              <w:jc w:val="left"/>
            </w:pPr>
            <w:r>
              <w:t>基于试点作答矩阵分批校准；检查项目特征曲线、参数置信区间和不同学生群体下的适用性。</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Bloom 与思维品质</w:t>
            </w:r>
            <w:r>
              <w:rPr>
                <w:rFonts w:eastAsia="Noto Sans CJK SC" w:ascii="Calibri" w:hAnsi="Calibri"/>
                <w:b/>
                <w:color w:val="263746"/>
                <w:sz w:val="14"/>
              </w:rPr>
            </w:r>
          </w:p>
        </w:tc>
        <w:tc>
          <w:tcPr>
            <w:tcW w:type="dxa" w:w="3960"/>
            <w:vAlign w:val="center"/>
          </w:tcPr>
          <w:p>
            <w:pPr>
              <w:spacing w:before="0" w:after="0" w:line="252" w:lineRule="auto"/>
              <w:jc w:val="left"/>
            </w:pPr>
            <w:r>
              <w:t>Bloom 层级加权 Kappa；三维思维品质 QWK/ICC；量规内部一致性和证据覆盖。</w:t>
            </w:r>
            <w:r>
              <w:rPr>
                <w:rFonts w:eastAsia="Noto Sans CJK SC" w:ascii="Calibri" w:hAnsi="Calibri"/>
                <w:b w:val="0"/>
                <w:color w:val="263746"/>
                <w:sz w:val="14"/>
              </w:rPr>
            </w:r>
          </w:p>
        </w:tc>
        <w:tc>
          <w:tcPr>
            <w:tcW w:type="dxa" w:w="3456"/>
            <w:vAlign w:val="center"/>
          </w:tcPr>
          <w:p>
            <w:pPr>
              <w:spacing w:before="0" w:after="0" w:line="252" w:lineRule="auto"/>
              <w:jc w:val="left"/>
            </w:pPr>
            <w:r>
              <w:t>由两名以上英语教师独立标注开放任务，比较系统评分与专家评分并裁决分歧。</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规则推荐</w:t>
            </w:r>
            <w:r>
              <w:rPr>
                <w:rFonts w:eastAsia="Noto Sans CJK SC" w:ascii="Calibri" w:hAnsi="Calibri"/>
                <w:b/>
                <w:color w:val="263746"/>
                <w:sz w:val="14"/>
              </w:rPr>
            </w:r>
          </w:p>
        </w:tc>
        <w:tc>
          <w:tcPr>
            <w:tcW w:type="dxa" w:w="3960"/>
            <w:vAlign w:val="center"/>
          </w:tcPr>
          <w:p>
            <w:pPr>
              <w:spacing w:before="0" w:after="0" w:line="252" w:lineRule="auto"/>
              <w:jc w:val="left"/>
            </w:pPr>
            <w:r>
              <w:t>规则覆盖率、冲突率、回退率、Path Lint 通过率、教师采纳/覆盖率、难度匹配、重复率、学习增益。</w:t>
            </w:r>
            <w:r>
              <w:rPr>
                <w:rFonts w:eastAsia="Noto Sans CJK SC" w:ascii="Calibri" w:hAnsi="Calibri"/>
                <w:b w:val="0"/>
                <w:color w:val="263746"/>
                <w:sz w:val="14"/>
              </w:rPr>
            </w:r>
          </w:p>
        </w:tc>
        <w:tc>
          <w:tcPr>
            <w:tcW w:type="dxa" w:w="3456"/>
            <w:vAlign w:val="center"/>
          </w:tcPr>
          <w:p>
            <w:pPr>
              <w:spacing w:before="0" w:after="0" w:line="252" w:lineRule="auto"/>
              <w:jc w:val="left"/>
            </w:pPr>
            <w:r>
              <w:t>离线回放与规则单元/回归测试；与分数驱动、错题同类推荐、无 IRT、无思维规则和无 Verifier 版本比较。</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教师可审计解释</w:t>
            </w:r>
            <w:r>
              <w:rPr>
                <w:rFonts w:eastAsia="Noto Sans CJK SC" w:ascii="Calibri" w:hAnsi="Calibri"/>
                <w:b/>
                <w:color w:val="263746"/>
                <w:sz w:val="14"/>
              </w:rPr>
            </w:r>
          </w:p>
        </w:tc>
        <w:tc>
          <w:tcPr>
            <w:tcW w:type="dxa" w:w="3960"/>
            <w:vAlign w:val="center"/>
          </w:tcPr>
          <w:p>
            <w:pPr>
              <w:spacing w:before="0" w:after="0" w:line="252" w:lineRule="auto"/>
              <w:jc w:val="left"/>
            </w:pPr>
            <w:r>
              <w:t>证据完整率、规则可重放率、版本可追溯率、候选排除可解释率、教师理解度、审计通过率。</w:t>
            </w:r>
            <w:r>
              <w:rPr>
                <w:rFonts w:eastAsia="Noto Sans CJK SC" w:ascii="Calibri" w:hAnsi="Calibri"/>
                <w:b w:val="0"/>
                <w:color w:val="263746"/>
                <w:sz w:val="14"/>
              </w:rPr>
            </w:r>
          </w:p>
        </w:tc>
        <w:tc>
          <w:tcPr>
            <w:tcW w:type="dxa" w:w="3456"/>
            <w:vAlign w:val="center"/>
          </w:tcPr>
          <w:p>
            <w:pPr>
              <w:spacing w:before="0" w:after="0" w:line="252" w:lineRule="auto"/>
              <w:jc w:val="left"/>
            </w:pPr>
            <w:r>
              <w:t>由另一位教师基于同一快照复现推荐结论；检查解释与 Decision Trace 一致性及教师修改原因。</w:t>
            </w:r>
            <w:r>
              <w:rPr>
                <w:rFonts w:eastAsia="Noto Sans CJK SC" w:ascii="Calibri" w:hAnsi="Calibri"/>
                <w:b w:val="0"/>
                <w:color w:val="263746"/>
                <w:sz w:val="14"/>
              </w:rPr>
            </w:r>
          </w:p>
        </w:tc>
      </w:tr>
      <w:tr>
        <w:trPr>
          <w:cantSplit/>
        </w:trPr>
        <w:tc>
          <w:tcPr>
            <w:tcW w:type="dxa" w:w="1944"/>
            <w:vAlign w:val="center"/>
          </w:tcPr>
          <w:p>
            <w:pPr>
              <w:spacing w:before="0" w:after="0" w:line="252" w:lineRule="auto"/>
              <w:jc w:val="left"/>
            </w:pPr>
            <w:r>
              <w:t>学习结果</w:t>
            </w:r>
            <w:r>
              <w:rPr>
                <w:rFonts w:eastAsia="Noto Sans CJK SC" w:ascii="Calibri" w:hAnsi="Calibri"/>
                <w:b/>
                <w:color w:val="263746"/>
                <w:sz w:val="14"/>
              </w:rPr>
            </w:r>
          </w:p>
        </w:tc>
        <w:tc>
          <w:tcPr>
            <w:tcW w:type="dxa" w:w="3960"/>
            <w:vAlign w:val="center"/>
          </w:tcPr>
          <w:p>
            <w:pPr>
              <w:spacing w:before="0" w:after="0" w:line="252" w:lineRule="auto"/>
              <w:jc w:val="left"/>
            </w:pPr>
            <w:r>
              <w:t>任务完成率、知识掌握增益、延迟保持、错误复发率、思维量规提升。</w:t>
            </w:r>
            <w:r>
              <w:rPr>
                <w:rFonts w:eastAsia="Noto Sans CJK SC" w:ascii="Calibri" w:hAnsi="Calibri"/>
                <w:b w:val="0"/>
                <w:color w:val="263746"/>
                <w:sz w:val="14"/>
              </w:rPr>
            </w:r>
          </w:p>
        </w:tc>
        <w:tc>
          <w:tcPr>
            <w:tcW w:type="dxa" w:w="3456"/>
            <w:vAlign w:val="center"/>
          </w:tcPr>
          <w:p>
            <w:pPr>
              <w:spacing w:before="0" w:after="0" w:line="252" w:lineRule="auto"/>
              <w:jc w:val="left"/>
            </w:pPr>
            <w:r>
              <w:t>单元前测—路径学习—后测—延迟测；必要时使用班级或学生内对照。</w:t>
            </w:r>
            <w:r>
              <w:rPr>
                <w:rFonts w:eastAsia="Noto Sans CJK SC" w:ascii="Calibri" w:hAnsi="Calibri"/>
                <w:b w:val="0"/>
                <w:color w:val="263746"/>
                <w:sz w:val="14"/>
              </w:rPr>
            </w:r>
          </w:p>
        </w:tc>
      </w:tr>
      <w:tr>
        <w:tc>
          <w:tcPr>
            <w:tcW w:type="dxa" w:w="3120"/>
            <w:vAlign w:val="center"/>
          </w:tcPr>
          <w:p>
            <w:pPr>
              <w:spacing w:after="0" w:line="240" w:lineRule="auto"/>
              <w:jc w:val="left"/>
            </w:pPr>
            <w:r>
              <w:t>Agent 可靠性</w:t>
            </w:r>
            <w:r>
              <w:rPr>
                <w:rFonts w:ascii="Arial" w:hAnsi="Arial" w:eastAsia="Noto Sans CJK SC"/>
                <w:b w:val="0"/>
                <w:i w:val="0"/>
                <w:color w:val="25313C"/>
                <w:sz w:val="16"/>
              </w:rPr>
            </w:r>
          </w:p>
        </w:tc>
        <w:tc>
          <w:tcPr>
            <w:tcW w:type="dxa" w:w="3120"/>
            <w:vAlign w:val="center"/>
          </w:tcPr>
          <w:p>
            <w:pPr>
              <w:spacing w:after="0" w:line="240" w:lineRule="auto"/>
              <w:jc w:val="left"/>
            </w:pPr>
            <w:r>
              <w:t>意图路由准确率、工具调用成功率、流程完成率、无效资源率、决策轨迹完整率。</w:t>
            </w:r>
            <w:r>
              <w:rPr>
                <w:rFonts w:ascii="Arial" w:hAnsi="Arial" w:eastAsia="Noto Sans CJK SC"/>
                <w:b w:val="0"/>
                <w:i w:val="0"/>
                <w:color w:val="25313C"/>
                <w:sz w:val="16"/>
              </w:rPr>
            </w:r>
          </w:p>
        </w:tc>
        <w:tc>
          <w:tcPr>
            <w:tcW w:type="dxa" w:w="3120"/>
            <w:vAlign w:val="center"/>
          </w:tcPr>
          <w:p>
            <w:pPr>
              <w:spacing w:after="0" w:line="240" w:lineRule="auto"/>
              <w:jc w:val="left"/>
            </w:pPr>
            <w:r>
              <w:t>自动化测试、异常注入、日志审计和失败案例复盘。</w:t>
            </w:r>
            <w:r>
              <w:rPr>
                <w:rFonts w:ascii="Arial" w:hAnsi="Arial" w:eastAsia="Noto Sans CJK SC"/>
                <w:b w:val="0"/>
                <w:i w:val="0"/>
                <w:color w:val="25313C"/>
                <w:sz w:val="16"/>
              </w:rPr>
            </w:r>
          </w:p>
        </w:tc>
      </w:tr>
      <w:tr>
        <w:tc>
          <w:tcPr>
            <w:tcW w:type="dxa" w:w="3120"/>
            <w:vAlign w:val="center"/>
          </w:tcPr>
          <w:p>
            <w:pPr>
              <w:spacing w:after="0" w:line="240" w:lineRule="auto"/>
              <w:jc w:val="left"/>
            </w:pPr>
            <w:r>
              <w:t>用户与效率</w:t>
            </w:r>
            <w:r>
              <w:rPr>
                <w:rFonts w:ascii="Arial" w:hAnsi="Arial" w:eastAsia="Noto Sans CJK SC"/>
                <w:b w:val="0"/>
                <w:i w:val="0"/>
                <w:color w:val="25313C"/>
                <w:sz w:val="16"/>
              </w:rPr>
            </w:r>
          </w:p>
        </w:tc>
        <w:tc>
          <w:tcPr>
            <w:tcW w:type="dxa" w:w="3120"/>
            <w:vAlign w:val="center"/>
          </w:tcPr>
          <w:p>
            <w:pPr>
              <w:spacing w:after="0" w:line="240" w:lineRule="auto"/>
              <w:jc w:val="left"/>
            </w:pPr>
            <w:r>
              <w:t>教师采纳率、覆盖率、人工修改率、教师节省时间、SUS/信任度、P95 延迟、单路径和单条标注成本。</w:t>
            </w:r>
            <w:r>
              <w:rPr>
                <w:rFonts w:ascii="Arial" w:hAnsi="Arial" w:eastAsia="Noto Sans CJK SC"/>
                <w:b w:val="0"/>
                <w:i w:val="0"/>
                <w:color w:val="25313C"/>
                <w:sz w:val="16"/>
              </w:rPr>
            </w:r>
          </w:p>
        </w:tc>
        <w:tc>
          <w:tcPr>
            <w:tcW w:type="dxa" w:w="3120"/>
            <w:vAlign w:val="center"/>
          </w:tcPr>
          <w:p>
            <w:pPr>
              <w:spacing w:after="0" w:line="240" w:lineRule="auto"/>
              <w:jc w:val="left"/>
            </w:pPr>
            <w:r>
              <w:t>教师试用日志、任务分析、问卷访谈、性能与成本监控。</w:t>
            </w:r>
            <w:r>
              <w:rPr>
                <w:rFonts w:ascii="Arial" w:hAnsi="Arial" w:eastAsia="Noto Sans CJK SC"/>
                <w:b w:val="0"/>
                <w:i w:val="0"/>
                <w:color w:val="25313C"/>
                <w:sz w:val="16"/>
              </w:rPr>
            </w:r>
          </w:p>
        </w:tc>
      </w:tr>
      <w:tr>
        <w:tc>
          <w:tcPr>
            <w:tcW w:type="dxa" w:w="3120"/>
          </w:tcPr>
          <w:p>
            <w:r>
              <w:t>研究证据治理</w:t>
            </w:r>
          </w:p>
        </w:tc>
        <w:tc>
          <w:tcPr>
            <w:tcW w:type="dxa" w:w="3120"/>
          </w:tcPr>
          <w:p>
            <w:r>
              <w:t>主张证据覆盖率、权威来源占比、引用元数据正确率、主张—证据支持准确率、Citation Lint 召回率、专家接受率、过度外推检出率。</w:t>
            </w:r>
          </w:p>
        </w:tc>
        <w:tc>
          <w:tcPr>
            <w:tcW w:type="dxa" w:w="3120"/>
          </w:tcPr>
          <w:p>
            <w:r>
              <w:t>对抽样 Claim–Evidence Matrix 进行双人专家盲审；核验引用真实性、结论强度、适用条件与局限，并记录审查分歧。</w:t>
            </w:r>
          </w:p>
        </w:tc>
      </w:tr>
      <w:tr>
        <w:tc>
          <w:tcPr>
            <w:tcW w:type="dxa" w:w="3120"/>
          </w:tcPr>
          <w:p>
            <w:r>
              <w:t>Lint 与质量门禁</w:t>
            </w:r>
          </w:p>
        </w:tc>
        <w:tc>
          <w:tcPr>
            <w:tcW w:type="dxa" w:w="3120"/>
          </w:tcPr>
          <w:p>
            <w:r>
              <w:t>各类 Lint Precision/Recall、误报率、漏检率、AUTO_FIX 正确率、REVIEW/BLOCK 命中率、阻断逃逸率、人工处理时长、规则冲突率。</w:t>
            </w:r>
          </w:p>
        </w:tc>
        <w:tc>
          <w:tcPr>
            <w:tcW w:type="dxa" w:w="3120"/>
          </w:tcPr>
          <w:p>
            <w:r>
              <w:t>建立包含真实缺陷和对抗样本的质量集；按内容、路径、输出、数据和引用分别回测，并持续复盘教师/专家覆写结果。</w:t>
            </w:r>
          </w:p>
        </w:tc>
      </w:tr>
    </w:tbl>
    <w:p>
      <w:pPr>
        <w:pStyle w:val="Heading2"/>
        <w:keepNext/>
        <w:spacing w:before="140" w:after="80"/>
      </w:pPr>
      <w:r>
        <w:t>15.2 验证设计</w:t>
      </w:r>
    </w:p>
    <w:p>
      <w:pPr>
        <w:pStyle w:val="ListBullet"/>
      </w:pPr>
      <w:r>
        <w:t>离线回测：以学生和时间为边界切分数据，避免同一学生未来信息泄漏；比较“分数/正确率基线、无思维诊断、无 Verifier、完整系统”等版本。</w:t>
      </w:r>
    </w:p>
    <w:p>
      <w:pPr>
        <w:pStyle w:val="ListBullet"/>
      </w:pPr>
      <w:r>
        <w:rPr>
          <w:rFonts w:eastAsia="Noto Sans CJK SC" w:ascii="Calibri" w:hAnsi="Calibri"/>
        </w:rPr>
        <w:t>专家评审：由至少两名初中英语教师独立标注代表性内容，形成知识/技能/Bloom/思维品质金标准并对分歧裁决；同时盲评学生诊断、推荐路径适切性和解释清晰度。</w:t>
      </w:r>
    </w:p>
    <w:p>
      <w:pPr>
        <w:pStyle w:val="ListBullet"/>
      </w:pPr>
      <w:r>
        <w:t>小规模试点：以一个年级、一个单元为范围进行 4–8 周验证，记录教师采纳、学生完成、前后测增益、时间成本和失败类型。</w:t>
      </w:r>
    </w:p>
    <w:p>
      <w:pPr>
        <w:pStyle w:val="ListBullet"/>
      </w:pPr>
      <w:r>
        <w:t>消融与对照分析：分别移除思维品质诊断、Bloom 推进约束、BKT、IRT 难度匹配、关键规则组或 Verifier，并与“正确率驱动”“无教师审计解释”等基线比较，量化各模块对推荐质量、教师决策和学习效果的贡献。</w:t>
      </w:r>
    </w:p>
    <w:p>
      <w:pPr>
        <w:pStyle w:val="ListBullet"/>
      </w:pPr>
      <w:r>
        <w:t>持续监控：上线后按模型版本、年级、单元和学生群体监控偏差、延迟、成本、资源有效性与教师覆盖操作。</w:t>
      </w:r>
    </w:p>
    <w:p>
      <w:pPr>
        <w:pStyle w:val="Heading2"/>
        <w:keepNext/>
        <w:spacing w:before="140" w:after="80"/>
      </w:pPr>
      <w:r>
        <w:t>15.3 MVP 优先验证指标</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936"/>
            <w:shd w:fill="D9EAF7"/>
            <w:vAlign w:val="center"/>
          </w:tcPr>
          <w:p>
            <w:pPr>
              <w:spacing w:before="0" w:after="0" w:line="252" w:lineRule="auto"/>
              <w:jc w:val="center"/>
            </w:pPr>
            <w:r>
              <w:t>优先级</w:t>
            </w:r>
            <w:r>
              <w:rPr>
                <w:rFonts w:eastAsia="Noto Sans CJK SC" w:ascii="Calibri" w:hAnsi="Calibri"/>
                <w:b/>
                <w:color w:val="2E74B5"/>
                <w:sz w:val="17"/>
              </w:rPr>
            </w:r>
          </w:p>
        </w:tc>
        <w:tc>
          <w:tcPr>
            <w:tcW w:type="dxa" w:w="2376"/>
            <w:shd w:fill="D9EAF7"/>
            <w:vAlign w:val="center"/>
          </w:tcPr>
          <w:p>
            <w:pPr>
              <w:spacing w:before="0" w:after="0" w:line="252" w:lineRule="auto"/>
              <w:jc w:val="center"/>
            </w:pPr>
            <w:r>
              <w:t>指标</w:t>
            </w:r>
            <w:r>
              <w:rPr>
                <w:rFonts w:eastAsia="Noto Sans CJK SC" w:ascii="Calibri" w:hAnsi="Calibri"/>
                <w:b/>
                <w:color w:val="2E74B5"/>
                <w:sz w:val="17"/>
              </w:rPr>
            </w:r>
          </w:p>
        </w:tc>
        <w:tc>
          <w:tcPr>
            <w:tcW w:type="dxa" w:w="6048"/>
            <w:shd w:fill="D9EAF7"/>
            <w:vAlign w:val="center"/>
          </w:tcPr>
          <w:p>
            <w:pPr>
              <w:spacing w:before="0" w:after="0" w:line="252" w:lineRule="auto"/>
              <w:jc w:val="center"/>
            </w:pPr>
            <w:r>
              <w:t>定义与目标方向</w:t>
            </w:r>
            <w:r>
              <w:rPr>
                <w:rFonts w:eastAsia="Noto Sans CJK SC" w:ascii="Calibri" w:hAnsi="Calibri"/>
                <w:b/>
                <w:color w:val="2E74B5"/>
                <w:sz w:val="17"/>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内容标注专家接受率</w:t>
            </w:r>
            <w:r>
              <w:rPr>
                <w:rFonts w:eastAsia="Noto Sans CJK SC" w:ascii="Calibri" w:hAnsi="Calibri"/>
                <w:b w:val="0"/>
                <w:color w:val="263746"/>
                <w:sz w:val="14"/>
              </w:rPr>
            </w:r>
          </w:p>
        </w:tc>
        <w:tc>
          <w:tcPr>
            <w:tcW w:type="dxa" w:w="6048"/>
            <w:vAlign w:val="center"/>
          </w:tcPr>
          <w:p>
            <w:pPr>
              <w:spacing w:before="0" w:after="0" w:line="252" w:lineRule="auto"/>
              <w:jc w:val="left"/>
            </w:pPr>
            <w:r>
              <w:t>高置信自动标注在抽检中被专家直接接受或仅轻微修改的比例；同时按标签类型分析错误。</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资源有效率</w:t>
            </w:r>
            <w:r>
              <w:rPr>
                <w:rFonts w:eastAsia="Noto Sans CJK SC" w:ascii="Calibri" w:hAnsi="Calibri"/>
                <w:b w:val="0"/>
                <w:color w:val="263746"/>
                <w:sz w:val="14"/>
              </w:rPr>
            </w:r>
          </w:p>
        </w:tc>
        <w:tc>
          <w:tcPr>
            <w:tcW w:type="dxa" w:w="6048"/>
            <w:vAlign w:val="center"/>
          </w:tcPr>
          <w:p>
            <w:pPr>
              <w:spacing w:before="0" w:after="0" w:line="252" w:lineRule="auto"/>
              <w:jc w:val="left"/>
            </w:pPr>
            <w:r>
              <w:t>推荐任务必须真实存在、可访问、已通过标注质量门槛并符合年级与课程范围；目标方向为接近 100%。</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BKT 掌握概率校准</w:t>
            </w:r>
            <w:r>
              <w:rPr>
                <w:rFonts w:eastAsia="Noto Sans CJK SC" w:ascii="Calibri" w:hAnsi="Calibri"/>
                <w:b w:val="0"/>
                <w:color w:val="263746"/>
                <w:sz w:val="14"/>
              </w:rPr>
            </w:r>
          </w:p>
        </w:tc>
        <w:tc>
          <w:tcPr>
            <w:tcW w:type="dxa" w:w="6048"/>
            <w:vAlign w:val="center"/>
          </w:tcPr>
          <w:p>
            <w:pPr>
              <w:spacing w:before="0" w:after="0" w:line="252" w:lineRule="auto"/>
              <w:jc w:val="left"/>
            </w:pPr>
            <w:r>
              <w:t>P(L) 与后续作答/教师判断的一致性，重点监控 Brier/Log Loss、置信区间和低证据知识点。</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IRT 能力—难度匹配</w:t>
            </w:r>
            <w:r>
              <w:rPr>
                <w:rFonts w:eastAsia="Noto Sans CJK SC" w:ascii="Calibri" w:hAnsi="Calibri"/>
                <w:b w:val="0"/>
                <w:color w:val="263746"/>
                <w:sz w:val="14"/>
              </w:rPr>
            </w:r>
          </w:p>
        </w:tc>
        <w:tc>
          <w:tcPr>
            <w:tcW w:type="dxa" w:w="6048"/>
            <w:vAlign w:val="center"/>
          </w:tcPr>
          <w:p>
            <w:pPr>
              <w:spacing w:before="0" w:after="0" w:line="252" w:lineRule="auto"/>
              <w:jc w:val="left"/>
            </w:pPr>
            <w:r>
              <w:t>θ 与推荐任务 b 的匹配率、能力标准误和项目参数稳定性；不输出超出数据支持的精确结论。</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规则路径可重放率</w:t>
            </w:r>
            <w:r>
              <w:rPr>
                <w:rFonts w:eastAsia="Noto Sans CJK SC" w:ascii="Calibri" w:hAnsi="Calibri"/>
                <w:b w:val="0"/>
                <w:color w:val="263746"/>
                <w:sz w:val="14"/>
              </w:rPr>
            </w:r>
          </w:p>
        </w:tc>
        <w:tc>
          <w:tcPr>
            <w:tcW w:type="dxa" w:w="6048"/>
            <w:vAlign w:val="center"/>
          </w:tcPr>
          <w:p>
            <w:pPr>
              <w:spacing w:before="0" w:after="0" w:line="252" w:lineRule="auto"/>
              <w:jc w:val="left"/>
            </w:pPr>
            <w:r>
              <w:t>相同状态快照、规则版本与教师约束应得到相同的候选排除、规则命中和路径结果。</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教师采纳/覆盖率</w:t>
            </w:r>
            <w:r>
              <w:rPr>
                <w:rFonts w:eastAsia="Noto Sans CJK SC" w:ascii="Calibri" w:hAnsi="Calibri"/>
                <w:b w:val="0"/>
                <w:color w:val="263746"/>
                <w:sz w:val="14"/>
              </w:rPr>
            </w:r>
          </w:p>
        </w:tc>
        <w:tc>
          <w:tcPr>
            <w:tcW w:type="dxa" w:w="6048"/>
            <w:vAlign w:val="center"/>
          </w:tcPr>
          <w:p>
            <w:pPr>
              <w:spacing w:before="0" w:after="0" w:line="252" w:lineRule="auto"/>
              <w:jc w:val="left"/>
            </w:pPr>
            <w:r>
              <w:t>教师直接接受、修改或拒绝推荐的比例；重点分析拒绝、覆盖和规则冲突原因。</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任务完成率与难度反馈</w:t>
            </w:r>
            <w:r>
              <w:rPr>
                <w:rFonts w:eastAsia="Noto Sans CJK SC" w:ascii="Calibri" w:hAnsi="Calibri"/>
                <w:b w:val="0"/>
                <w:color w:val="263746"/>
                <w:sz w:val="14"/>
              </w:rPr>
            </w:r>
          </w:p>
        </w:tc>
        <w:tc>
          <w:tcPr>
            <w:tcW w:type="dxa" w:w="6048"/>
            <w:vAlign w:val="center"/>
          </w:tcPr>
          <w:p>
            <w:pPr>
              <w:spacing w:before="0" w:after="0" w:line="252" w:lineRule="auto"/>
              <w:jc w:val="left"/>
            </w:pPr>
            <w:r>
              <w:t>学生能否在预计时间内完成，任务是否过难或过易，并与 IRT 匹配结果交叉分析。</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知识掌握增益</w:t>
            </w:r>
            <w:r>
              <w:rPr>
                <w:rFonts w:eastAsia="Noto Sans CJK SC" w:ascii="Calibri" w:hAnsi="Calibri"/>
                <w:b w:val="0"/>
                <w:color w:val="263746"/>
                <w:sz w:val="14"/>
              </w:rPr>
            </w:r>
          </w:p>
        </w:tc>
        <w:tc>
          <w:tcPr>
            <w:tcW w:type="dxa" w:w="6048"/>
            <w:vAlign w:val="center"/>
          </w:tcPr>
          <w:p>
            <w:pPr>
              <w:spacing w:before="0" w:after="0" w:line="252" w:lineRule="auto"/>
              <w:jc w:val="left"/>
            </w:pPr>
            <w:r>
              <w:t>推荐前后目标节点 P(L)、后测成绩和错误复发率的变化。</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P0</w:t>
            </w:r>
            <w:r>
              <w:rPr>
                <w:rFonts w:eastAsia="Noto Sans CJK SC" w:ascii="Calibri" w:hAnsi="Calibri"/>
                <w:b/>
                <w:color w:val="263746"/>
                <w:sz w:val="14"/>
              </w:rPr>
            </w:r>
          </w:p>
        </w:tc>
        <w:tc>
          <w:tcPr>
            <w:tcW w:type="dxa" w:w="2376"/>
            <w:vAlign w:val="center"/>
          </w:tcPr>
          <w:p>
            <w:pPr>
              <w:spacing w:before="0" w:after="0" w:line="252" w:lineRule="auto"/>
              <w:jc w:val="left"/>
            </w:pPr>
            <w:r>
              <w:t>教师审计解释完整率</w:t>
            </w:r>
            <w:r>
              <w:rPr>
                <w:rFonts w:eastAsia="Noto Sans CJK SC" w:ascii="Calibri" w:hAnsi="Calibri"/>
                <w:b w:val="0"/>
                <w:color w:val="263746"/>
                <w:sz w:val="14"/>
              </w:rPr>
            </w:r>
          </w:p>
        </w:tc>
        <w:tc>
          <w:tcPr>
            <w:tcW w:type="dxa" w:w="6048"/>
            <w:vAlign w:val="center"/>
          </w:tcPr>
          <w:p>
            <w:pPr>
              <w:spacing w:before="0" w:after="0" w:line="252" w:lineRule="auto"/>
              <w:jc w:val="left"/>
            </w:pPr>
            <w:r>
              <w:t>教师版解释必须包含证据、BKT/IRT 状态、规则命中/排除、版本、Lint/Verifier 和教师操作记录。</w:t>
            </w:r>
            <w:r>
              <w:rPr>
                <w:rFonts w:eastAsia="Noto Sans CJK SC" w:ascii="Calibri" w:hAnsi="Calibri"/>
                <w:b w:val="0"/>
                <w:color w:val="263746"/>
                <w:sz w:val="14"/>
              </w:rPr>
            </w:r>
          </w:p>
        </w:tc>
      </w:tr>
      <w:tr>
        <w:trPr>
          <w:cantSplit/>
        </w:trPr>
        <w:tc>
          <w:tcPr>
            <w:tcW w:type="dxa" w:w="936"/>
            <w:vAlign w:val="center"/>
          </w:tcPr>
          <w:p>
            <w:pPr>
              <w:spacing w:before="0" w:after="0" w:line="252" w:lineRule="auto"/>
              <w:jc w:val="left"/>
            </w:pPr>
            <w:r>
              <w:t>P1</w:t>
            </w:r>
            <w:r>
              <w:rPr>
                <w:rFonts w:eastAsia="Noto Sans CJK SC" w:ascii="Calibri" w:hAnsi="Calibri"/>
                <w:b/>
                <w:color w:val="263746"/>
                <w:sz w:val="14"/>
              </w:rPr>
            </w:r>
          </w:p>
        </w:tc>
        <w:tc>
          <w:tcPr>
            <w:tcW w:type="dxa" w:w="2376"/>
            <w:vAlign w:val="center"/>
          </w:tcPr>
          <w:p>
            <w:pPr>
              <w:spacing w:before="0" w:after="0" w:line="252" w:lineRule="auto"/>
              <w:jc w:val="left"/>
            </w:pPr>
            <w:r>
              <w:t>思维品质评分一致性</w:t>
            </w:r>
            <w:r>
              <w:rPr>
                <w:rFonts w:eastAsia="Noto Sans CJK SC" w:ascii="Calibri" w:hAnsi="Calibri"/>
                <w:b w:val="0"/>
                <w:color w:val="263746"/>
                <w:sz w:val="14"/>
              </w:rPr>
            </w:r>
          </w:p>
        </w:tc>
        <w:tc>
          <w:tcPr>
            <w:tcW w:type="dxa" w:w="6048"/>
            <w:vAlign w:val="center"/>
          </w:tcPr>
          <w:p>
            <w:pPr>
              <w:spacing w:before="0" w:after="0" w:line="252" w:lineRule="auto"/>
              <w:jc w:val="left"/>
            </w:pPr>
            <w:r>
              <w:t>系统与专家在三个课标维度上的加权一致性。</w:t>
            </w:r>
            <w:r>
              <w:rPr>
                <w:rFonts w:eastAsia="Noto Sans CJK SC" w:ascii="Calibri" w:hAnsi="Calibri"/>
                <w:b w:val="0"/>
                <w:color w:val="263746"/>
                <w:sz w:val="14"/>
              </w:rPr>
            </w:r>
          </w:p>
        </w:tc>
      </w:tr>
      <w:tr>
        <w:tc>
          <w:tcPr>
            <w:tcW w:type="dxa" w:w="3120"/>
            <w:vAlign w:val="center"/>
          </w:tcPr>
          <w:p>
            <w:pPr>
              <w:spacing w:after="0" w:line="240" w:lineRule="auto"/>
              <w:jc w:val="left"/>
            </w:pPr>
            <w:r>
              <w:t>P1</w:t>
            </w:r>
            <w:r>
              <w:rPr>
                <w:rFonts w:ascii="Arial" w:hAnsi="Arial" w:eastAsia="Noto Sans CJK SC"/>
                <w:b w:val="0"/>
                <w:i w:val="0"/>
                <w:color w:val="25313C"/>
                <w:sz w:val="16"/>
              </w:rPr>
            </w:r>
          </w:p>
        </w:tc>
        <w:tc>
          <w:tcPr>
            <w:tcW w:type="dxa" w:w="3120"/>
            <w:vAlign w:val="center"/>
          </w:tcPr>
          <w:p>
            <w:pPr>
              <w:spacing w:after="0" w:line="240" w:lineRule="auto"/>
              <w:jc w:val="left"/>
            </w:pPr>
            <w:r>
              <w:t>规则覆盖率与冲突率</w:t>
            </w:r>
            <w:r>
              <w:rPr>
                <w:rFonts w:ascii="Arial" w:hAnsi="Arial" w:eastAsia="Noto Sans CJK SC"/>
                <w:b w:val="0"/>
                <w:i w:val="0"/>
                <w:color w:val="25313C"/>
                <w:sz w:val="16"/>
              </w:rPr>
            </w:r>
          </w:p>
        </w:tc>
        <w:tc>
          <w:tcPr>
            <w:tcW w:type="dxa" w:w="3120"/>
            <w:vAlign w:val="center"/>
          </w:tcPr>
          <w:p>
            <w:pPr>
              <w:spacing w:after="0" w:line="240" w:lineRule="auto"/>
              <w:jc w:val="left"/>
            </w:pPr>
            <w:r>
              <w:t>主要试点场景是否有规则覆盖，冲突、回退和人工复核比例是否可控。</w:t>
            </w:r>
            <w:r>
              <w:rPr>
                <w:rFonts w:ascii="Arial" w:hAnsi="Arial" w:eastAsia="Noto Sans CJK SC"/>
                <w:b w:val="0"/>
                <w:i w:val="0"/>
                <w:color w:val="25313C"/>
                <w:sz w:val="16"/>
              </w:rPr>
            </w:r>
          </w:p>
        </w:tc>
      </w:tr>
      <w:tr>
        <w:tc>
          <w:tcPr>
            <w:tcW w:type="dxa" w:w="3120"/>
            <w:vAlign w:val="center"/>
          </w:tcPr>
          <w:p>
            <w:pPr>
              <w:spacing w:after="0" w:line="240" w:lineRule="auto"/>
              <w:jc w:val="left"/>
            </w:pPr>
            <w:r>
              <w:t>P1</w:t>
            </w:r>
            <w:r>
              <w:rPr>
                <w:rFonts w:ascii="Arial" w:hAnsi="Arial" w:eastAsia="Noto Sans CJK SC"/>
                <w:b w:val="0"/>
                <w:i w:val="0"/>
                <w:color w:val="25313C"/>
                <w:sz w:val="16"/>
              </w:rPr>
            </w:r>
          </w:p>
        </w:tc>
        <w:tc>
          <w:tcPr>
            <w:tcW w:type="dxa" w:w="3120"/>
            <w:vAlign w:val="center"/>
          </w:tcPr>
          <w:p>
            <w:pPr>
              <w:spacing w:after="0" w:line="240" w:lineRule="auto"/>
              <w:jc w:val="left"/>
            </w:pPr>
            <w:r>
              <w:t>标注校准与人工修改率</w:t>
            </w:r>
            <w:r>
              <w:rPr>
                <w:rFonts w:ascii="Arial" w:hAnsi="Arial" w:eastAsia="Noto Sans CJK SC"/>
                <w:b w:val="0"/>
                <w:i w:val="0"/>
                <w:color w:val="25313C"/>
                <w:sz w:val="16"/>
              </w:rPr>
            </w:r>
          </w:p>
        </w:tc>
        <w:tc>
          <w:tcPr>
            <w:tcW w:type="dxa" w:w="3120"/>
            <w:vAlign w:val="center"/>
          </w:tcPr>
          <w:p>
            <w:pPr>
              <w:spacing w:after="0" w:line="240" w:lineRule="auto"/>
              <w:jc w:val="left"/>
            </w:pPr>
            <w:r>
              <w:t>不同置信区间的真实准确率是否匹配；低置信分流是否覆盖主要错误样本。</w:t>
            </w:r>
            <w:r>
              <w:rPr>
                <w:rFonts w:ascii="Arial" w:hAnsi="Arial" w:eastAsia="Noto Sans CJK SC"/>
                <w:b w:val="0"/>
                <w:i w:val="0"/>
                <w:color w:val="25313C"/>
                <w:sz w:val="16"/>
              </w:rPr>
            </w:r>
          </w:p>
        </w:tc>
      </w:tr>
      <w:tr>
        <w:tc>
          <w:tcPr>
            <w:tcW w:type="dxa" w:w="3120"/>
            <w:vAlign w:val="center"/>
          </w:tcPr>
          <w:p>
            <w:pPr>
              <w:spacing w:after="0" w:line="240" w:lineRule="auto"/>
              <w:jc w:val="left"/>
            </w:pPr>
            <w:r>
              <w:t>P1</w:t>
            </w:r>
            <w:r>
              <w:rPr>
                <w:rFonts w:ascii="Arial" w:hAnsi="Arial" w:eastAsia="Noto Sans CJK SC"/>
                <w:b w:val="0"/>
                <w:i w:val="0"/>
                <w:color w:val="25313C"/>
                <w:sz w:val="16"/>
              </w:rPr>
            </w:r>
          </w:p>
        </w:tc>
        <w:tc>
          <w:tcPr>
            <w:tcW w:type="dxa" w:w="3120"/>
            <w:vAlign w:val="center"/>
          </w:tcPr>
          <w:p>
            <w:pPr>
              <w:spacing w:after="0" w:line="240" w:lineRule="auto"/>
              <w:jc w:val="left"/>
            </w:pPr>
            <w:r>
              <w:t>Verifier 修订率</w:t>
            </w:r>
            <w:r>
              <w:rPr>
                <w:rFonts w:ascii="Arial" w:hAnsi="Arial" w:eastAsia="Noto Sans CJK SC"/>
                <w:b w:val="0"/>
                <w:i w:val="0"/>
                <w:color w:val="25313C"/>
                <w:sz w:val="16"/>
              </w:rPr>
            </w:r>
          </w:p>
        </w:tc>
        <w:tc>
          <w:tcPr>
            <w:tcW w:type="dxa" w:w="3120"/>
            <w:vAlign w:val="center"/>
          </w:tcPr>
          <w:p>
            <w:pPr>
              <w:spacing w:after="0" w:line="240" w:lineRule="auto"/>
              <w:jc w:val="left"/>
            </w:pPr>
            <w:r>
              <w:t>候选路径被拒绝、重排或降级的比例及原因；用于识别规则、IRT 参数或内容标签缺陷。</w:t>
            </w:r>
            <w:r>
              <w:rPr>
                <w:rFonts w:ascii="Arial" w:hAnsi="Arial" w:eastAsia="Noto Sans CJK SC"/>
                <w:b w:val="0"/>
                <w:i w:val="0"/>
                <w:color w:val="25313C"/>
                <w:sz w:val="16"/>
              </w:rPr>
            </w:r>
          </w:p>
        </w:tc>
      </w:tr>
      <w:tr>
        <w:tc>
          <w:tcPr>
            <w:tcW w:type="dxa" w:w="3120"/>
          </w:tcPr>
          <w:p>
            <w:r>
              <w:t>P1</w:t>
            </w:r>
          </w:p>
        </w:tc>
        <w:tc>
          <w:tcPr>
            <w:tcW w:type="dxa" w:w="3120"/>
          </w:tcPr>
          <w:p>
            <w:r>
              <w:t>教师节省时间</w:t>
            </w:r>
          </w:p>
        </w:tc>
        <w:tc>
          <w:tcPr>
            <w:tcW w:type="dxa" w:w="3120"/>
          </w:tcPr>
          <w:p>
            <w:r>
              <w:t>完成内容审核、学生诊断和路径规划所需时间相对人工流程的变化。</w:t>
            </w:r>
          </w:p>
        </w:tc>
      </w:tr>
      <w:tr>
        <w:tc>
          <w:tcPr>
            <w:tcW w:type="dxa" w:w="3120"/>
          </w:tcPr>
          <w:p>
            <w:r>
              <w:t>P2</w:t>
            </w:r>
          </w:p>
        </w:tc>
        <w:tc>
          <w:tcPr>
            <w:tcW w:type="dxa" w:w="3120"/>
          </w:tcPr>
          <w:p>
            <w:r>
              <w:t>延迟与成本</w:t>
            </w:r>
          </w:p>
        </w:tc>
        <w:tc>
          <w:tcPr>
            <w:tcW w:type="dxa" w:w="3120"/>
          </w:tcPr>
          <w:p>
            <w:r>
              <w:t>P50/P95 响应时间、每条自动标注、每次诊断和每条路径的模型调用与云资源成本。</w:t>
            </w:r>
          </w:p>
        </w:tc>
      </w:tr>
      <w:tr>
        <w:tc>
          <w:tcPr>
            <w:tcW w:type="dxa" w:w="3120"/>
          </w:tcPr>
          <w:p>
            <w:r>
              <w:t>P0</w:t>
            </w:r>
          </w:p>
        </w:tc>
        <w:tc>
          <w:tcPr>
            <w:tcW w:type="dxa" w:w="3120"/>
          </w:tcPr>
          <w:p>
            <w:r>
              <w:t>学生端输出安全通过率</w:t>
            </w:r>
          </w:p>
        </w:tc>
        <w:tc>
          <w:tcPr>
            <w:tcW w:type="dxa" w:w="3120"/>
          </w:tcPr>
          <w:p>
            <w:r>
              <w:t>学生可见解释必须通过 Output Lint，不出现标签化评价、无证据结论、答案泄露、敏感信息或不适龄内容。</w:t>
            </w:r>
          </w:p>
        </w:tc>
      </w:tr>
      <w:tr>
        <w:tc>
          <w:tcPr>
            <w:tcW w:type="dxa" w:w="3120"/>
          </w:tcPr>
          <w:p>
            <w:r>
              <w:t>P1</w:t>
            </w:r>
          </w:p>
        </w:tc>
        <w:tc>
          <w:tcPr>
            <w:tcW w:type="dxa" w:w="3120"/>
          </w:tcPr>
          <w:p>
            <w:r>
              <w:t>引用真实性与主张支持准确率</w:t>
            </w:r>
          </w:p>
        </w:tc>
        <w:tc>
          <w:tcPr>
            <w:tcW w:type="dxa" w:w="3120"/>
          </w:tcPr>
          <w:p>
            <w:r>
              <w:t>Research Agent 输出的引用必须真实存在，且能够支持对应主张；同时统计条件性结论和过度外推检出情况。</w:t>
            </w:r>
          </w:p>
        </w:tc>
      </w:tr>
      <w:tr>
        <w:tc>
          <w:tcPr>
            <w:tcW w:type="dxa" w:w="3120"/>
          </w:tcPr>
          <w:p>
            <w:r>
              <w:t>P1</w:t>
            </w:r>
          </w:p>
        </w:tc>
        <w:tc>
          <w:tcPr>
            <w:tcW w:type="dxa" w:w="3120"/>
          </w:tcPr>
          <w:p>
            <w:r>
              <w:t>Lint 阻断逃逸率与误报率</w:t>
            </w:r>
          </w:p>
        </w:tc>
        <w:tc>
          <w:tcPr>
            <w:tcW w:type="dxa" w:w="3120"/>
          </w:tcPr>
          <w:p>
            <w:r>
              <w:t>应被 BLOCK 的问题不得进入发布/推荐/状态更新；同时控制过高误报导致的教师负担。</w:t>
            </w:r>
          </w:p>
        </w:tc>
      </w:tr>
    </w:tbl>
    <w:tbl>
      <w:tblPr>
        <w:tblStyle w:val="TableGrid"/>
        <w:tblW w:type="auto" w:w="0"/>
        <w:jc w:val="center"/>
        <w:tblLook w:firstColumn="1" w:firstRow="1" w:lastColumn="0" w:lastRow="0" w:noHBand="0" w:noVBand="1" w:val="04A0"/>
      </w:tblPr>
      <w:tblGrid>
        <w:gridCol w:w="9360"/>
      </w:tblGrid>
      <w:tr>
        <w:trPr>
          <w:cantSplit/>
          <w:tblHeader/>
        </w:trPr>
        <w:tc>
          <w:tcPr>
            <w:tcW w:type="dxa" w:w="9360"/>
            <w:shd w:fill="E4F1E8"/>
            <w:tcBorders>
              <w:top w:val="single" w:sz="5" w:space="0" w:color="A9C3D8"/>
              <w:left w:val="single" w:sz="5" w:space="0" w:color="A9C3D8"/>
              <w:bottom w:val="single" w:sz="5" w:space="0" w:color="A9C3D8"/>
              <w:right w:val="single" w:sz="5" w:space="0" w:color="A9C3D8"/>
              <w:insideH w:val="single" w:sz="5" w:space="0" w:color="A9C3D8"/>
              <w:insideV w:val="single" w:sz="5" w:space="0" w:color="A9C3D8"/>
            </w:tcBorders>
          </w:tcPr>
          <w:p>
            <w:pPr>
              <w:spacing w:after="40"/>
            </w:pPr>
            <w:r/>
            <w:r>
              <w:rPr>
                <w:rFonts w:ascii="Calibri" w:hAnsi="Calibri" w:eastAsia="Noto Sans CJK SC"/>
                <w:b/>
                <w:i w:val="0"/>
                <w:color w:val="2E74B5"/>
                <w:sz w:val="20"/>
              </w:rPr>
              <w:t>目标值设定原则</w:t>
            </w:r>
          </w:p>
          <w:p>
            <w:pPr>
              <w:spacing w:after="0" w:line="259" w:lineRule="auto"/>
            </w:pPr>
            <w:r>
              <w:rPr>
                <w:rFonts w:ascii="Calibri" w:hAnsi="Calibri" w:eastAsia="Noto Sans CJK SC"/>
                <w:b w:val="0"/>
                <w:i w:val="0"/>
                <w:color w:val="263746"/>
                <w:sz w:val="18"/>
              </w:rPr>
              <w:t>MVP 阶段不在缺少基线数据时承诺任意绝对指标。先完成 30–50 名学生或等价模拟数据的基线测量，再根据年级、单元、任务类型分别设定阈值；评估报告必须同时给出均值、分布和典型失败案例。</w:t>
            </w:r>
          </w:p>
        </w:tc>
      </w:tr>
    </w:tbl>
    <w:p>
      <w:pPr>
        <w:pStyle w:val="Heading1"/>
        <w:keepNext/>
        <w:spacing w:before="200" w:after="80"/>
      </w:pPr>
      <w:r>
        <w:t>16. 商业价值与应用价值</w:t>
      </w:r>
    </w:p>
    <w:p>
      <w:pPr>
        <w:pStyle w:val="Heading2"/>
        <w:keepNext/>
        <w:spacing w:before="140" w:after="80"/>
      </w:pPr>
      <w:r>
        <w:t>16.1 对学校的价值</w:t>
      </w:r>
    </w:p>
    <w:p>
      <w:pPr>
        <w:pStyle w:val="ListBullet"/>
        <w:spacing w:after="60" w:line="264" w:lineRule="auto"/>
      </w:pPr>
      <w:r>
        <w:rPr>
          <w:rFonts w:ascii="Calibri" w:hAnsi="Calibri" w:eastAsia="Noto Sans CJK SC"/>
        </w:rPr>
        <w:t>支持因材施教：在大班教学中识别不同学生的发展水平。</w:t>
      </w:r>
    </w:p>
    <w:p>
      <w:pPr>
        <w:pStyle w:val="ListBullet"/>
        <w:spacing w:after="60" w:line="264" w:lineRule="auto"/>
      </w:pPr>
      <w:r>
        <w:rPr>
          <w:rFonts w:ascii="Calibri" w:hAnsi="Calibri" w:eastAsia="Noto Sans CJK SC"/>
        </w:rPr>
        <w:t>支持课标落地：将英语课程标准中的知识、技能、思维品质转化为可计算指标。</w:t>
      </w:r>
    </w:p>
    <w:p>
      <w:pPr>
        <w:pStyle w:val="ListBullet"/>
        <w:spacing w:after="60" w:line="264" w:lineRule="auto"/>
      </w:pPr>
      <w:r>
        <w:rPr>
          <w:rFonts w:ascii="Calibri" w:hAnsi="Calibri" w:eastAsia="Noto Sans CJK SC"/>
        </w:rPr>
        <w:t>支持智慧校园建设：可作为 AI 学习诊断与个性化学习模块接入现有平台。</w:t>
      </w:r>
    </w:p>
    <w:p>
      <w:pPr>
        <w:pStyle w:val="ListBullet"/>
        <w:spacing w:after="60" w:line="264" w:lineRule="auto"/>
      </w:pPr>
      <w:r>
        <w:rPr>
          <w:rFonts w:ascii="Calibri" w:hAnsi="Calibri" w:eastAsia="Noto Sans CJK SC"/>
        </w:rPr>
        <w:t>提升教学决策质量：教师可以基于知识缺口和思维状态调整教学。</w:t>
      </w:r>
    </w:p>
    <w:p>
      <w:pPr>
        <w:pStyle w:val="ListBullet"/>
        <w:spacing w:after="60" w:line="264" w:lineRule="auto"/>
      </w:pPr>
      <w:r>
        <w:rPr>
          <w:rFonts w:ascii="Calibri" w:hAnsi="Calibri" w:eastAsia="Noto Sans CJK SC"/>
        </w:rPr>
        <w:t>沉淀数据资产：将作业、错题、活动和行为数据转化为学生成长画像。</w:t>
      </w:r>
    </w:p>
    <w:p>
      <w:pPr>
        <w:pStyle w:val="ListBullet"/>
      </w:pPr>
      <w:r>
        <w:rPr>
          <w:rFonts w:eastAsia="Noto Sans CJK SC" w:ascii="Calibri" w:hAnsi="Calibri"/>
        </w:rPr>
        <w:t>降低内容治理成本：通过 LLM 自动标注、置信度分流和抽检机制，提升教材、试题和活动的结构化效率，并减少逐条人工标注工作。</w:t>
      </w:r>
    </w:p>
    <w:p>
      <w:pPr>
        <w:pStyle w:val="Heading2"/>
        <w:keepNext/>
        <w:spacing w:before="140" w:after="80"/>
      </w:pPr>
      <w:r>
        <w:t>16.2 对教师与学生的价值</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1728"/>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对象</w:t>
            </w:r>
          </w:p>
        </w:tc>
        <w:tc>
          <w:tcPr>
            <w:tcW w:type="dxa" w:w="7632"/>
            <w:vAlign w:val="center"/>
            <w:tcMar>
              <w:top w:w="80" w:type="dxa"/>
              <w:start w:w="120" w:type="dxa"/>
              <w:bottom w:w="80" w:type="dxa"/>
              <w:end w:w="120" w:type="dxa"/>
            </w:tcMar>
            <w:shd w:fill="F2F4F7"/>
          </w:tcPr>
          <w:p>
            <w:pPr>
              <w:spacing w:after="0"/>
            </w:pPr>
            <w:r>
              <w:rPr>
                <w:rFonts w:ascii="Calibri" w:hAnsi="Calibri" w:eastAsia="Noto Sans CJK SC"/>
                <w:b/>
                <w:color w:val="1F4D78"/>
                <w:sz w:val="21"/>
              </w:rPr>
              <w:t>价值</w:t>
            </w:r>
          </w:p>
        </w:tc>
      </w:tr>
      <w:tr>
        <w:trPr>
          <w:cantSplit/>
        </w:trPr>
        <w:tc>
          <w:tcPr>
            <w:tcW w:type="dxa" w:w="1728"/>
          </w:tcPr>
          <w:p>
            <w:pPr>
              <w:spacing w:after="0" w:line="264" w:lineRule="auto"/>
            </w:pPr>
            <w:r>
              <w:rPr>
                <w:rFonts w:ascii="Calibri" w:hAnsi="Calibri" w:eastAsia="Noto Sans CJK SC"/>
                <w:sz w:val="20"/>
              </w:rPr>
              <w:t>教师</w:t>
            </w:r>
          </w:p>
        </w:tc>
        <w:tc>
          <w:tcPr>
            <w:tcW w:type="dxa" w:w="7632"/>
          </w:tcPr>
          <w:p>
            <w:pPr>
              <w:spacing w:after="0" w:line="264" w:lineRule="auto"/>
            </w:pPr>
            <w:r>
              <w:rPr>
                <w:rFonts w:ascii="Calibri" w:hAnsi="Calibri" w:eastAsia="Noto Sans CJK SC"/>
                <w:sz w:val="20"/>
              </w:rPr>
              <w:t>减轻诊断负担，辅助分层教学，获得可解释推荐依据，发现隐性学习问题，支持教研改进。</w:t>
            </w:r>
          </w:p>
        </w:tc>
      </w:tr>
      <w:tr>
        <w:trPr>
          <w:cantSplit/>
        </w:trPr>
        <w:tc>
          <w:tcPr>
            <w:tcW w:type="dxa" w:w="1728"/>
          </w:tcPr>
          <w:p>
            <w:pPr>
              <w:spacing w:after="0" w:line="264" w:lineRule="auto"/>
            </w:pPr>
            <w:r>
              <w:rPr>
                <w:rFonts w:ascii="Calibri" w:hAnsi="Calibri" w:eastAsia="Noto Sans CJK SC"/>
                <w:sz w:val="20"/>
              </w:rPr>
              <w:t>学生</w:t>
            </w:r>
          </w:p>
        </w:tc>
        <w:tc>
          <w:tcPr>
            <w:tcW w:type="dxa" w:w="7632"/>
          </w:tcPr>
          <w:p>
            <w:pPr>
              <w:spacing w:after="0" w:line="264" w:lineRule="auto"/>
            </w:pPr>
            <w:r>
              <w:rPr>
                <w:rFonts w:ascii="Calibri" w:hAnsi="Calibri" w:eastAsia="Noto Sans CJK SC"/>
                <w:sz w:val="20"/>
              </w:rPr>
              <w:t>知道自己哪里薄弱、掌握到什么层次、下一步怎么学；减少盲目刷题，发展学习策略和思维品质。</w:t>
            </w:r>
          </w:p>
        </w:tc>
      </w:tr>
      <w:tr>
        <w:trPr>
          <w:cantSplit/>
        </w:trPr>
        <w:tc>
          <w:tcPr>
            <w:tcW w:type="dxa" w:w="1728"/>
          </w:tcPr>
          <w:p>
            <w:pPr>
              <w:spacing w:after="0" w:line="264" w:lineRule="auto"/>
            </w:pPr>
            <w:r>
              <w:rPr>
                <w:rFonts w:ascii="Calibri" w:hAnsi="Calibri" w:eastAsia="Noto Sans CJK SC"/>
                <w:sz w:val="20"/>
              </w:rPr>
              <w:t>教育公平</w:t>
            </w:r>
          </w:p>
        </w:tc>
        <w:tc>
          <w:tcPr>
            <w:tcW w:type="dxa" w:w="7632"/>
          </w:tcPr>
          <w:p>
            <w:pPr>
              <w:spacing w:after="0" w:line="264" w:lineRule="auto"/>
            </w:pPr>
            <w:r>
              <w:rPr>
                <w:rFonts w:ascii="Calibri" w:hAnsi="Calibri" w:eastAsia="Noto Sans CJK SC"/>
                <w:sz w:val="20"/>
              </w:rPr>
              <w:t>让普通公立学校也能获得个性化学习能力，减少对高价商业辅导的依赖。</w:t>
            </w:r>
          </w:p>
        </w:tc>
      </w:tr>
    </w:tbl>
    <w:p/>
    <w:p>
      <w:pPr>
        <w:pStyle w:val="Heading1"/>
        <w:keepNext/>
        <w:spacing w:before="200" w:after="80"/>
      </w:pPr>
      <w:r>
        <w:t>17. 落地路径与试点方案</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vAlign w:val="center"/>
            <w:tcMar>
              <w:top w:w="80" w:type="dxa"/>
              <w:start w:w="120" w:type="dxa"/>
              <w:bottom w:w="80" w:type="dxa"/>
              <w:end w:w="120" w:type="dxa"/>
            </w:tcMar>
            <w:shd w:fill="E8EEF5"/>
          </w:tcPr>
          <w:p>
            <w:pPr>
              <w:spacing w:after="0"/>
            </w:pPr>
            <w:r>
              <w:rPr>
                <w:rFonts w:ascii="Calibri" w:hAnsi="Calibri" w:eastAsia="Noto Sans CJK SC"/>
                <w:b/>
                <w:color w:val="1F4D78"/>
                <w:sz w:val="21"/>
              </w:rPr>
              <w:t>阶段</w:t>
            </w:r>
          </w:p>
        </w:tc>
        <w:tc>
          <w:tcPr>
            <w:tcW w:type="dxa" w:w="3528"/>
            <w:vAlign w:val="center"/>
            <w:tcMar>
              <w:top w:w="80" w:type="dxa"/>
              <w:start w:w="120" w:type="dxa"/>
              <w:bottom w:w="80" w:type="dxa"/>
              <w:end w:w="120" w:type="dxa"/>
            </w:tcMar>
            <w:shd w:fill="E8EEF5"/>
          </w:tcPr>
          <w:p>
            <w:pPr>
              <w:spacing w:after="0"/>
            </w:pPr>
            <w:r>
              <w:rPr>
                <w:rFonts w:ascii="Calibri" w:hAnsi="Calibri" w:eastAsia="Noto Sans CJK SC"/>
                <w:b/>
                <w:color w:val="1F4D78"/>
                <w:sz w:val="21"/>
              </w:rPr>
              <w:t>目标</w:t>
            </w:r>
          </w:p>
        </w:tc>
        <w:tc>
          <w:tcPr>
            <w:tcW w:type="dxa" w:w="3744"/>
            <w:vAlign w:val="center"/>
            <w:tcMar>
              <w:top w:w="80" w:type="dxa"/>
              <w:start w:w="120" w:type="dxa"/>
              <w:bottom w:w="80" w:type="dxa"/>
              <w:end w:w="120" w:type="dxa"/>
            </w:tcMar>
            <w:shd w:fill="E8EEF5"/>
          </w:tcPr>
          <w:p>
            <w:pPr>
              <w:spacing w:after="0"/>
            </w:pPr>
            <w:r>
              <w:rPr>
                <w:rFonts w:ascii="Calibri" w:hAnsi="Calibri" w:eastAsia="Noto Sans CJK SC"/>
                <w:b/>
                <w:color w:val="1F4D78"/>
                <w:sz w:val="21"/>
              </w:rPr>
              <w:t>关键产出</w:t>
            </w:r>
          </w:p>
        </w:tc>
      </w:tr>
      <w:tr>
        <w:trPr>
          <w:cantSplit/>
        </w:trPr>
        <w:tc>
          <w:tcPr>
            <w:tcW w:type="dxa" w:w="2088"/>
          </w:tcPr>
          <w:p>
            <w:pPr>
              <w:spacing w:after="0" w:line="264" w:lineRule="auto"/>
            </w:pPr>
            <w:r>
              <w:rPr>
                <w:rFonts w:ascii="Calibri" w:hAnsi="Calibri" w:eastAsia="Noto Sans CJK SC"/>
                <w:sz w:val="20"/>
              </w:rPr>
              <w:t>Phase 1：MVP 原型</w:t>
            </w:r>
          </w:p>
        </w:tc>
        <w:tc>
          <w:tcPr>
            <w:tcW w:type="dxa" w:w="3528"/>
            <w:vAlign w:val="center"/>
          </w:tcPr>
          <w:p>
            <w:pPr>
              <w:spacing w:before="0" w:after="0" w:line="252" w:lineRule="auto"/>
              <w:jc w:val="left"/>
            </w:pPr>
            <w:r>
              <w:t>聚焦一个年级、一个单元和一个英语知识图谱子集，打通内容自动标注、BKT/IRT、规则推荐、教师审计、管理中台、学生端和自适应后端。</w:t>
            </w:r>
            <w:r>
              <w:rPr>
                <w:rFonts w:eastAsia="Noto Sans CJK SC" w:ascii="Calibri" w:hAnsi="Calibri"/>
                <w:b w:val="0"/>
                <w:color w:val="263746"/>
                <w:sz w:val="16"/>
              </w:rPr>
            </w:r>
          </w:p>
        </w:tc>
        <w:tc>
          <w:tcPr>
            <w:tcW w:type="dxa" w:w="3744"/>
            <w:vAlign w:val="center"/>
          </w:tcPr>
          <w:p>
            <w:pPr>
              <w:spacing w:after="0" w:line="240" w:lineRule="auto"/>
              <w:jc w:val="left"/>
            </w:pPr>
            <w:r>
              <w:t>LLM 自动标注工作台、受控标签体系、五类优先 Lint、Task Repository、学生画像、BKT 服务、IRT 初始能力/难度参数、规则库、教师审计视图、Dashboard、Research Agent 原型、Evidence Registry 和学生学习闭环。</w:t>
            </w:r>
            <w:r>
              <w:rPr>
                <w:rFonts w:ascii="Arial" w:hAnsi="Arial" w:eastAsia="Noto Sans CJK SC"/>
                <w:b w:val="0"/>
                <w:i w:val="0"/>
                <w:color w:val="25313C"/>
                <w:sz w:val="16"/>
              </w:rPr>
            </w:r>
          </w:p>
        </w:tc>
      </w:tr>
      <w:tr>
        <w:trPr>
          <w:cantSplit/>
        </w:trPr>
        <w:tc>
          <w:tcPr>
            <w:tcW w:type="dxa" w:w="2088"/>
          </w:tcPr>
          <w:p>
            <w:pPr>
              <w:spacing w:after="0" w:line="264" w:lineRule="auto"/>
            </w:pPr>
            <w:r>
              <w:rPr>
                <w:rFonts w:ascii="Calibri" w:hAnsi="Calibri" w:eastAsia="Noto Sans CJK SC"/>
                <w:sz w:val="20"/>
              </w:rPr>
              <w:t>Phase 2：班级试点</w:t>
            </w:r>
          </w:p>
        </w:tc>
        <w:tc>
          <w:tcPr>
            <w:tcW w:type="dxa" w:w="3528"/>
          </w:tcPr>
          <w:p>
            <w:pPr>
              <w:spacing w:after="0" w:line="264" w:lineRule="auto"/>
            </w:pPr>
            <w:r>
              <w:rPr>
                <w:rFonts w:ascii="Calibri" w:hAnsi="Calibri" w:eastAsia="Noto Sans CJK SC"/>
                <w:sz w:val="20"/>
              </w:rPr>
              <w:t>在真实或模拟班级数据上校准 BKT/IRT 参数，验证规则推荐和教师审计体验。</w:t>
            </w:r>
          </w:p>
        </w:tc>
        <w:tc>
          <w:tcPr>
            <w:tcW w:type="dxa" w:w="3744"/>
            <w:vAlign w:val="center"/>
          </w:tcPr>
          <w:p>
            <w:pPr>
              <w:spacing w:after="0" w:line="240" w:lineRule="auto"/>
              <w:jc w:val="left"/>
            </w:pPr>
            <w:r>
              <w:t>BKT/IRT 校准指标、规则覆盖率与冲突率、教师采纳/覆盖率、任务完成率、学习增益、标注/Lint 专家接受率和典型失败案例。</w:t>
            </w:r>
            <w:r>
              <w:rPr>
                <w:rFonts w:ascii="Arial" w:hAnsi="Arial" w:eastAsia="Noto Sans CJK SC"/>
                <w:b w:val="0"/>
                <w:i w:val="0"/>
                <w:color w:val="25313C"/>
                <w:sz w:val="16"/>
              </w:rPr>
            </w:r>
          </w:p>
        </w:tc>
      </w:tr>
      <w:tr>
        <w:trPr>
          <w:cantSplit/>
        </w:trPr>
        <w:tc>
          <w:tcPr>
            <w:tcW w:type="dxa" w:w="2088"/>
          </w:tcPr>
          <w:p>
            <w:pPr>
              <w:spacing w:after="0" w:line="264" w:lineRule="auto"/>
            </w:pPr>
            <w:r>
              <w:rPr>
                <w:rFonts w:ascii="Calibri" w:hAnsi="Calibri" w:eastAsia="Noto Sans CJK SC"/>
                <w:sz w:val="20"/>
              </w:rPr>
              <w:t>Phase 3：平台化扩展</w:t>
            </w:r>
          </w:p>
        </w:tc>
        <w:tc>
          <w:tcPr>
            <w:tcW w:type="dxa" w:w="3528"/>
          </w:tcPr>
          <w:p>
            <w:pPr>
              <w:spacing w:after="0" w:line="264" w:lineRule="auto"/>
            </w:pPr>
            <w:r>
              <w:rPr>
                <w:rFonts w:ascii="Calibri" w:hAnsi="Calibri" w:eastAsia="Noto Sans CJK SC"/>
                <w:sz w:val="20"/>
              </w:rPr>
              <w:t>扩展到更多单元、年级和学校平台接入。</w:t>
            </w:r>
          </w:p>
        </w:tc>
        <w:tc>
          <w:tcPr>
            <w:tcW w:type="dxa" w:w="3744"/>
          </w:tcPr>
          <w:p>
            <w:pPr>
              <w:spacing w:after="0" w:line="264" w:lineRule="auto"/>
            </w:pPr>
            <w:r>
              <w:rPr>
                <w:rFonts w:ascii="Calibri" w:hAnsi="Calibri" w:eastAsia="Noto Sans CJK SC"/>
                <w:sz w:val="20"/>
              </w:rPr>
              <w:t>API 接入、权限管理、数据治理、规则/参数版本管理、跨单元校准和区域教研分析。</w:t>
            </w:r>
          </w:p>
        </w:tc>
      </w:tr>
      <w:tr>
        <w:trPr>
          <w:cantSplit/>
        </w:trPr>
        <w:tc>
          <w:tcPr>
            <w:tcW w:type="dxa" w:w="2088"/>
          </w:tcPr>
          <w:p>
            <w:pPr>
              <w:spacing w:after="0" w:line="264" w:lineRule="auto"/>
            </w:pPr>
            <w:r>
              <w:rPr>
                <w:rFonts w:ascii="Calibri" w:hAnsi="Calibri" w:eastAsia="Noto Sans CJK SC"/>
                <w:sz w:val="20"/>
              </w:rPr>
              <w:t>Phase 4：测量与规则持续优化</w:t>
            </w:r>
          </w:p>
        </w:tc>
        <w:tc>
          <w:tcPr>
            <w:tcW w:type="dxa" w:w="3528"/>
          </w:tcPr>
          <w:p>
            <w:pPr>
              <w:spacing w:after="0" w:line="264" w:lineRule="auto"/>
            </w:pPr>
            <w:r>
              <w:rPr>
                <w:rFonts w:ascii="Calibri" w:hAnsi="Calibri" w:eastAsia="Noto Sans CJK SC"/>
                <w:sz w:val="20"/>
              </w:rPr>
              <w:t>基于长期试点证据迭代 BKT/IRT 参数、规则优先级、冲突回退和审计解释模板。</w:t>
            </w:r>
          </w:p>
        </w:tc>
        <w:tc>
          <w:tcPr>
            <w:tcW w:type="dxa" w:w="3744"/>
          </w:tcPr>
          <w:p>
            <w:pPr>
              <w:spacing w:after="0" w:line="264" w:lineRule="auto"/>
            </w:pPr>
            <w:r>
              <w:rPr>
                <w:rFonts w:ascii="Calibri" w:hAnsi="Calibri" w:eastAsia="Noto Sans CJK SC"/>
                <w:sz w:val="20"/>
              </w:rPr>
              <w:t>规则回归测试、参数版本对比、长期校准、教师覆盖原因治理、跨单元迁移验证和 Evidence Registry 更新。</w:t>
            </w:r>
          </w:p>
        </w:tc>
      </w:tr>
    </w:tbl>
    <w:p/>
    <w:p>
      <w:pPr>
        <w:pStyle w:val="Heading1"/>
        <w:keepNext/>
        <w:spacing w:before="200" w:after="80"/>
      </w:pPr>
      <w:r>
        <w:t>18. 风险与应对</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664"/>
            <w:vAlign w:val="center"/>
            <w:tcMar>
              <w:top w:w="80" w:type="dxa"/>
              <w:start w:w="120" w:type="dxa"/>
              <w:bottom w:w="80" w:type="dxa"/>
              <w:end w:w="120" w:type="dxa"/>
            </w:tcMar>
            <w:shd w:fill="F2F4F7"/>
          </w:tcPr>
          <w:p>
            <w:pPr>
              <w:spacing w:after="0"/>
            </w:pPr>
            <w:r>
              <w:rPr>
                <w:rFonts w:ascii="Calibri" w:hAnsi="Calibri" w:eastAsia="Noto Sans CJK SC"/>
                <w:b/>
                <w:color w:val="1F4D78"/>
                <w:sz w:val="21"/>
              </w:rPr>
              <w:t>风险</w:t>
            </w:r>
          </w:p>
        </w:tc>
        <w:tc>
          <w:tcPr>
            <w:tcW w:type="dxa" w:w="6696"/>
            <w:vAlign w:val="center"/>
            <w:tcMar>
              <w:top w:w="80" w:type="dxa"/>
              <w:start w:w="120" w:type="dxa"/>
              <w:bottom w:w="80" w:type="dxa"/>
              <w:end w:w="120" w:type="dxa"/>
            </w:tcMar>
            <w:shd w:fill="F2F4F7"/>
          </w:tcPr>
          <w:p>
            <w:pPr>
              <w:spacing w:after="0"/>
            </w:pPr>
            <w:r>
              <w:rPr>
                <w:rFonts w:ascii="Calibri" w:hAnsi="Calibri" w:eastAsia="Noto Sans CJK SC"/>
                <w:b/>
                <w:color w:val="1F4D78"/>
                <w:sz w:val="21"/>
              </w:rPr>
              <w:t>应对策略</w:t>
            </w:r>
          </w:p>
        </w:tc>
      </w:tr>
      <w:tr>
        <w:trPr>
          <w:cantSplit/>
        </w:trPr>
        <w:tc>
          <w:tcPr>
            <w:tcW w:type="dxa" w:w="2664"/>
          </w:tcPr>
          <w:p>
            <w:pPr>
              <w:spacing w:after="0" w:line="264" w:lineRule="auto"/>
            </w:pPr>
            <w:r>
              <w:rPr>
                <w:rFonts w:ascii="Calibri" w:hAnsi="Calibri" w:eastAsia="Noto Sans CJK SC"/>
                <w:sz w:val="20"/>
              </w:rPr>
              <w:t>数据安全与隐私</w:t>
            </w:r>
          </w:p>
        </w:tc>
        <w:tc>
          <w:tcPr>
            <w:tcW w:type="dxa" w:w="6696"/>
          </w:tcPr>
          <w:p>
            <w:pPr>
              <w:spacing w:after="0" w:line="264" w:lineRule="auto"/>
            </w:pPr>
            <w:r>
              <w:rPr>
                <w:rFonts w:ascii="Calibri" w:hAnsi="Calibri" w:eastAsia="Noto Sans CJK SC"/>
                <w:sz w:val="20"/>
              </w:rPr>
              <w:t>采用最小化采集、权限控制、脱敏处理、学校本地化部署选项和可配置数据保留周期。</w:t>
            </w:r>
          </w:p>
        </w:tc>
      </w:tr>
      <w:tr>
        <w:trPr>
          <w:cantSplit/>
        </w:trPr>
        <w:tc>
          <w:tcPr>
            <w:tcW w:type="dxa" w:w="2664"/>
          </w:tcPr>
          <w:p>
            <w:pPr>
              <w:spacing w:after="0" w:line="264" w:lineRule="auto"/>
            </w:pPr>
            <w:r>
              <w:rPr>
                <w:rFonts w:ascii="Calibri" w:hAnsi="Calibri" w:eastAsia="Noto Sans CJK SC"/>
                <w:sz w:val="20"/>
              </w:rPr>
              <w:t>教师负担增加</w:t>
            </w:r>
          </w:p>
        </w:tc>
        <w:tc>
          <w:tcPr>
            <w:tcW w:type="dxa" w:w="6696"/>
          </w:tcPr>
          <w:p>
            <w:pPr>
              <w:spacing w:after="0" w:line="264" w:lineRule="auto"/>
            </w:pPr>
            <w:r>
              <w:rPr>
                <w:rFonts w:ascii="Calibri" w:hAnsi="Calibri" w:eastAsia="Noto Sans CJK SC"/>
                <w:sz w:val="20"/>
              </w:rPr>
              <w:t>将系统定位为诊断辅助和推荐草案，保留教师确认、调整和覆盖入口，并监控审核时长。</w:t>
            </w:r>
          </w:p>
        </w:tc>
      </w:tr>
      <w:tr>
        <w:trPr>
          <w:cantSplit/>
        </w:trPr>
        <w:tc>
          <w:tcPr>
            <w:tcW w:type="dxa" w:w="2664"/>
          </w:tcPr>
          <w:p>
            <w:pPr>
              <w:spacing w:after="0" w:line="264" w:lineRule="auto"/>
            </w:pPr>
            <w:r>
              <w:rPr>
                <w:rFonts w:ascii="Calibri" w:hAnsi="Calibri" w:eastAsia="Noto Sans CJK SC"/>
                <w:sz w:val="20"/>
              </w:rPr>
              <w:t>推荐依据不透明</w:t>
            </w:r>
          </w:p>
        </w:tc>
        <w:tc>
          <w:tcPr>
            <w:tcW w:type="dxa" w:w="6696"/>
          </w:tcPr>
          <w:p>
            <w:pPr>
              <w:spacing w:after="0" w:line="269" w:lineRule="auto"/>
            </w:pPr>
            <w:r>
              <w:rPr>
                <w:rFonts w:ascii="Calibri" w:hAnsi="Calibri" w:eastAsia="Noto Sans CJK SC"/>
                <w:b w:val="0"/>
                <w:i w:val="0"/>
                <w:color w:val="263746"/>
                <w:sz w:val="18"/>
              </w:rPr>
              <w:t>采用 BKT + IRT + 规则推荐，向教师展示证据、参数状态、规则命中、候选排除、版本和校验结果。</w:t>
            </w:r>
          </w:p>
        </w:tc>
      </w:tr>
      <w:tr>
        <w:trPr>
          <w:cantSplit/>
        </w:trPr>
        <w:tc>
          <w:tcPr>
            <w:tcW w:type="dxa" w:w="2664"/>
          </w:tcPr>
          <w:p>
            <w:pPr>
              <w:spacing w:after="0" w:line="264" w:lineRule="auto"/>
            </w:pPr>
            <w:r>
              <w:rPr>
                <w:rFonts w:ascii="Calibri" w:hAnsi="Calibri" w:eastAsia="Noto Sans CJK SC"/>
                <w:sz w:val="20"/>
              </w:rPr>
              <w:t>BKT/IRT 参数不稳定或样本不足</w:t>
            </w:r>
          </w:p>
        </w:tc>
        <w:tc>
          <w:tcPr>
            <w:tcW w:type="dxa" w:w="6696"/>
          </w:tcPr>
          <w:p>
            <w:pPr>
              <w:spacing w:after="0" w:line="264" w:lineRule="auto"/>
            </w:pPr>
            <w:r>
              <w:rPr>
                <w:rFonts w:ascii="Calibri" w:hAnsi="Calibri" w:eastAsia="Noto Sans CJK SC"/>
                <w:sz w:val="20"/>
              </w:rPr>
              <w:t>MVP 采用保守先验和专家初始难度；分批校准并展示标准误、置信度和适用范围，数据不足时不输出过度精确结论。</w:t>
            </w:r>
          </w:p>
        </w:tc>
      </w:tr>
      <w:tr>
        <w:trPr>
          <w:cantSplit/>
        </w:trPr>
        <w:tc>
          <w:tcPr>
            <w:tcW w:type="dxa" w:w="2664"/>
          </w:tcPr>
          <w:p>
            <w:pPr>
              <w:spacing w:after="0" w:line="264" w:lineRule="auto"/>
            </w:pPr>
            <w:r>
              <w:rPr>
                <w:rFonts w:ascii="Calibri" w:hAnsi="Calibri" w:eastAsia="Noto Sans CJK SC"/>
                <w:sz w:val="20"/>
              </w:rPr>
              <w:t>规则冲突或覆盖不足</w:t>
            </w:r>
          </w:p>
        </w:tc>
        <w:tc>
          <w:tcPr>
            <w:tcW w:type="dxa" w:w="6696"/>
          </w:tcPr>
          <w:p>
            <w:pPr>
              <w:spacing w:after="0" w:line="264" w:lineRule="auto"/>
            </w:pPr>
            <w:r>
              <w:rPr>
                <w:rFonts w:ascii="Calibri" w:hAnsi="Calibri" w:eastAsia="Noto Sans CJK SC"/>
                <w:sz w:val="20"/>
              </w:rPr>
              <w:t>建立规则优先级、互斥组、冲突检测、默认回退和回归测试；将教师覆盖原因回流到规则治理，不自动改写生产规则。</w:t>
            </w:r>
          </w:p>
        </w:tc>
      </w:tr>
      <w:tr>
        <w:trPr>
          <w:cantSplit/>
        </w:trPr>
        <w:tc>
          <w:tcPr>
            <w:tcW w:type="dxa" w:w="4680"/>
            <w:vAlign w:val="center"/>
          </w:tcPr>
          <w:p>
            <w:pPr>
              <w:spacing w:before="0" w:after="0" w:line="252" w:lineRule="auto"/>
              <w:jc w:val="left"/>
            </w:pPr>
            <w:r>
              <w:t>变成刷题系统</w:t>
            </w:r>
            <w:r>
              <w:rPr>
                <w:rFonts w:eastAsia="Noto Sans CJK SC" w:ascii="Calibri" w:hAnsi="Calibri"/>
                <w:b/>
                <w:color w:val="263746"/>
                <w:sz w:val="16"/>
              </w:rPr>
            </w:r>
          </w:p>
        </w:tc>
        <w:tc>
          <w:tcPr>
            <w:tcW w:type="dxa" w:w="4680"/>
            <w:vAlign w:val="center"/>
          </w:tcPr>
          <w:p>
            <w:pPr>
              <w:spacing w:before="0" w:after="0" w:line="252" w:lineRule="auto"/>
              <w:jc w:val="left"/>
            </w:pPr>
            <w:r>
              <w:t>引入 Bloom 层级和三维思维品质目标，推荐知识修复、技能应用、思维挑战、反思和再评估的组合路径。</w:t>
            </w:r>
            <w:r>
              <w:rPr>
                <w:rFonts w:eastAsia="Noto Sans CJK SC" w:ascii="Calibri" w:hAnsi="Calibri"/>
                <w:b w:val="0"/>
                <w:color w:val="263746"/>
                <w:sz w:val="16"/>
              </w:rPr>
            </w:r>
          </w:p>
        </w:tc>
      </w:tr>
      <w:tr>
        <w:tc>
          <w:tcPr>
            <w:tcW w:type="dxa" w:w="4680"/>
            <w:vAlign w:val="center"/>
          </w:tcPr>
          <w:p>
            <w:pPr>
              <w:spacing w:after="0" w:line="240" w:lineRule="auto"/>
              <w:jc w:val="left"/>
            </w:pPr>
            <w:r>
              <w:t>LLM 标注错误、标签漂移与体系失控</w:t>
            </w:r>
            <w:r>
              <w:rPr>
                <w:rFonts w:ascii="Arial" w:hAnsi="Arial" w:eastAsia="Noto Sans CJK SC"/>
                <w:b w:val="0"/>
                <w:i w:val="0"/>
                <w:color w:val="25313C"/>
                <w:sz w:val="16"/>
              </w:rPr>
            </w:r>
          </w:p>
        </w:tc>
        <w:tc>
          <w:tcPr>
            <w:tcW w:type="dxa" w:w="4680"/>
            <w:vAlign w:val="center"/>
          </w:tcPr>
          <w:p>
            <w:pPr>
              <w:spacing w:after="0" w:line="240" w:lineRule="auto"/>
              <w:jc w:val="left"/>
            </w:pPr>
            <w:r>
              <w:t>采用受控 Taxonomy、候选检索、证据强制输出、一致性 QC、置信度分流、专家抽检、金标准回测和标签/模型版本控制；新正式标签必须经教研审核。</w:t>
            </w:r>
            <w:r>
              <w:rPr>
                <w:rFonts w:ascii="Arial" w:hAnsi="Arial" w:eastAsia="Noto Sans CJK SC"/>
                <w:b w:val="0"/>
                <w:i w:val="0"/>
                <w:color w:val="25313C"/>
                <w:sz w:val="16"/>
              </w:rPr>
            </w:r>
          </w:p>
        </w:tc>
      </w:tr>
      <w:tr>
        <w:tc>
          <w:tcPr>
            <w:tcW w:type="dxa" w:w="4680"/>
            <w:vAlign w:val="center"/>
          </w:tcPr>
          <w:p>
            <w:pPr>
              <w:spacing w:after="0" w:line="240" w:lineRule="auto"/>
              <w:jc w:val="left"/>
            </w:pPr>
            <w:r>
              <w:t>Research Agent 引用幻觉、证据错配与过度外推</w:t>
            </w:r>
            <w:r>
              <w:rPr>
                <w:rFonts w:ascii="Arial" w:hAnsi="Arial" w:eastAsia="Noto Sans CJK SC"/>
                <w:b w:val="0"/>
                <w:i w:val="0"/>
                <w:color w:val="25313C"/>
                <w:sz w:val="16"/>
              </w:rPr>
            </w:r>
          </w:p>
        </w:tc>
        <w:tc>
          <w:tcPr>
            <w:tcW w:type="dxa" w:w="4680"/>
            <w:vAlign w:val="center"/>
          </w:tcPr>
          <w:p>
            <w:pPr>
              <w:spacing w:after="0" w:line="240" w:lineRule="auto"/>
              <w:jc w:val="left"/>
            </w:pPr>
            <w:r>
              <w:t>采用受控来源优先级、引用元数据核验、Citation &amp; Evidence Lint、主张—证据逐项映射、撤稿/更正检查、专家审批和 Evidence Registry 版本控制；不得由 Agent 独立宣告有效性。</w:t>
            </w:r>
            <w:r>
              <w:rPr>
                <w:rFonts w:ascii="Arial" w:hAnsi="Arial" w:eastAsia="Noto Sans CJK SC"/>
                <w:b w:val="0"/>
                <w:i w:val="0"/>
                <w:color w:val="25313C"/>
                <w:sz w:val="16"/>
              </w:rPr>
            </w:r>
          </w:p>
        </w:tc>
      </w:tr>
      <w:tr>
        <w:tc>
          <w:tcPr>
            <w:tcW w:type="dxa" w:w="4680"/>
          </w:tcPr>
          <w:p>
            <w:r>
              <w:t>Lint 误报、漏检、规则冲突或自动修复破坏原意</w:t>
            </w:r>
          </w:p>
        </w:tc>
        <w:tc>
          <w:tcPr>
            <w:tcW w:type="dxa" w:w="4680"/>
          </w:tcPr>
          <w:p>
            <w:r>
              <w:t>规则分级、黄金样本回测、AUTO_FIX 差异预览、REVIEW/BLOCK 人工处理、例外审批、Lint Profile 版本化和教师反馈闭环；高风险语义问题不允许仅靠规则自动通过。</w:t>
            </w:r>
          </w:p>
        </w:tc>
      </w:tr>
      <w:tr>
        <w:tc>
          <w:tcPr>
            <w:tcW w:type="dxa" w:w="4680"/>
          </w:tcPr>
          <w:p>
            <w:r>
              <w:t>教师审计解释与 Decision Trace 不一致</w:t>
            </w:r>
          </w:p>
        </w:tc>
        <w:tc>
          <w:tcPr>
            <w:tcW w:type="dxa" w:w="4680"/>
          </w:tcPr>
          <w:p>
            <w:r>
              <w:t>解释只能从结构化 Trace 生成；上线前执行可重放测试，记录生成模板/模型版本，教师修改与最终决定必须回写 Trace。</w:t>
            </w:r>
          </w:p>
        </w:tc>
      </w:tr>
    </w:tbl>
    <w:p/>
    <w:p>
      <w:pPr>
        <w:pStyle w:val="Heading1"/>
        <w:keepNext/>
        <w:pageBreakBefore w:val="0"/>
        <w:spacing w:before="200" w:after="80"/>
      </w:pPr>
      <w:r>
        <w:t>19. 项目总结</w:t>
      </w:r>
    </w:p>
    <w:p>
      <w:pPr>
        <w:spacing w:after="120" w:line="264" w:lineRule="auto"/>
      </w:pPr>
      <w:r>
        <w:rPr>
          <w:rFonts w:ascii="Arial" w:hAnsi="Arial" w:eastAsia="Noto Sans CJK SC"/>
          <w:b w:val="0"/>
        </w:rPr>
        <w:t>AdaptLearn Copilot 的核心价值在于：它把初中英语学习从“成绩记录”和“错题推荐”推进到“内容智能化、认知状态建模、思维品质诊断、研究证据治理和全链路质量门禁”。系统用 LLM 自动标注流水线低成本构建任务元数据，用知识图谱作为受控坐标系，用 Bloom 描述节点掌握深度，用课标三维模型描述思维品质，以 BKT 追踪知识掌握、IRT 建模能力与任务难度、规则推荐形成透明学习路径，并通过教师可审计解释、Learning Path Lint、Verifier、Student-facing Output Lint 和教师治理确保结果可用。Research Agent 则让关键架构、算法和量规的依据可核验、可分级、可审计。</w:t>
      </w:r>
    </w:p>
    <w:p>
      <w:pPr>
        <w:spacing w:after="120" w:line="264" w:lineRule="auto"/>
      </w:pPr>
      <w:r>
        <w:rPr>
          <w:rFonts w:ascii="Arial" w:hAnsi="Arial" w:eastAsia="Noto Sans CJK SC"/>
          <w:b w:val="0"/>
        </w:rPr>
        <w:t>管理中台、学生学习端和智能学习后端形成完整产品闭环；Research Evidence Review、Evidence Registry、Lint &amp; Quality Gate、内容标注治理、BKT/IRT 状态建模、规则推荐、Intent Routing、教师可审计 Decision Trace 和多层评估体系，使项目具备可测试、可校准、可解释、可审计、可迭代和成本可控的工程基础。它不是教育 chatbot，不是黑箱推荐系统，也不是补习机构工具，而是面向公立学校教学场景的可解释、可治理、证据驱动的个性化学习规划 Copilot。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Noto Sans CJK SC"/>
        <w:color w:val="555555"/>
        <w:sz w:val="18"/>
      </w:rPr>
      <w:t>AdaptLearn Copilot 项目方案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AdaptLearn Copilot 项目方案（Research Agent 与 Lint 质量治理版）</dc:title>
  <dc:subject>面向 K12 公立学校初中英语的认知诊断与个性化学习规划多智能体系统</dc:subject>
  <dc:creator>python-docx</dc:creator>
  <cp:keywords/>
  <dc:description>在内容智能架构版基础上增加 Research &amp; Evidence Review Agent、Evidence Registry 与全链路 Lint Quality Gates。</dc:description>
  <cp:lastModifiedBy/>
  <cp:revision>1</cp:revision>
  <dcterms:created xsi:type="dcterms:W3CDTF">2013-12-23T23:15:00Z</dcterms:created>
  <dcterms:modified xsi:type="dcterms:W3CDTF">2013-12-23T23:15:00Z</dcterms:modified>
  <cp:category/>
</cp:coreProperties>
</file>