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UMLTitle"/>
        <w:spacing w:before="1160"/>
        <w:jc w:val="center"/>
      </w:pPr>
      <w:r>
        <w:t>AdaptLearn Copilot</w:t>
        <w:br/>
        <w:t>UML 建模说明书</w:t>
      </w:r>
    </w:p>
    <w:p>
      <w:pPr>
        <w:spacing w:before="200"/>
        <w:jc w:val="center"/>
      </w:pPr>
      <w:r>
        <w:rPr>
          <w:color w:val="526474"/>
          <w:sz w:val="30"/>
        </w:rPr>
        <w:t>面向 K12 公立学校初中英语的认知诊断与个性化学习规划多智能体系统</w:t>
      </w:r>
    </w:p>
    <w:p>
      <w:pPr>
        <w:spacing w:before="440"/>
        <w:jc w:val="center"/>
      </w:pPr>
      <w:r>
        <w:rPr>
          <w:b/>
          <w:color w:val="6B4F9B"/>
          <w:sz w:val="24"/>
        </w:rPr>
        <w:t>建模范围：用例图 · 活动图 · 类图 · 时序图 · 状态图</w:t>
      </w:r>
    </w:p>
    <w:p>
      <w:pPr>
        <w:spacing w:before="680"/>
        <w:jc w:val="center"/>
      </w:pPr>
      <w:r>
        <w:t>建模依据：AdaptLearn Copilot 项目方案（融合版）</w:t>
        <w:br/>
        <w:t>算法主链：BKT + IRT + 规则推荐 + 教师可审计解释</w:t>
        <w:br/>
        <w:t>治理体系：Research &amp; Evidence Review Agent + Lint Quality Gates</w:t>
        <w:br/>
        <w:t>版本：4.0　日期：2026-06-22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建模范围与融合方案约束</w:t>
      </w:r>
    </w:p>
    <w:p>
      <w:pPr>
        <w:spacing w:after="80" w:line="276" w:lineRule="auto"/>
      </w:pPr>
      <w:r>
        <w:t>本说明书以融合项目方案为建模基线，将“管理中台—学生学习端—智能学习后端”三域架构、LLM 内容自动标注、BKT/IRT 状态测量、确定性规则推荐、教师可审计解释、Research &amp; Evidence Review Agent 以及跨链路 Lint &amp; Quality Gate 纳入统一 UML 模型。模型同时描述用户可见业务、Agent 协作、算法工具、质量门禁、人工治理和核心数据对象。</w:t>
      </w:r>
    </w:p>
    <w:p>
      <w:pPr>
        <w:pStyle w:val="ListBullet"/>
        <w:spacing w:after="40"/>
      </w:pPr>
      <w:r>
        <w:t>确定性业务流程、Agentic 学习流程和研究证据治理流程分离：内容 CRUD / 组装 / 发布由业务服务承担；诊断、推荐、验证和解释由受控 Agent 工作流承担；研究证据审查为异步治理流程。</w:t>
      </w:r>
    </w:p>
    <w:p>
      <w:pPr>
        <w:pStyle w:val="ListBullet"/>
        <w:spacing w:after="40"/>
      </w:pPr>
      <w:r>
        <w:t>BKT、IRT、规则推荐、Lint、任务检索、量规评分与 Decision Trace 均建模为可测试服务或领域对象，而不是自由自治 Agent。</w:t>
      </w:r>
    </w:p>
    <w:p>
      <w:pPr>
        <w:pStyle w:val="ListBullet"/>
        <w:spacing w:after="40"/>
      </w:pPr>
      <w:r>
        <w:t>LLM 用于候选内容标注、诊断摘要、审计说明和适龄表达，不直接决定任务排序，也不能绕过 Lint 或自动创建正式标签节点。</w:t>
      </w:r>
    </w:p>
    <w:p>
      <w:pPr>
        <w:pStyle w:val="ListBullet"/>
        <w:spacing w:after="40"/>
      </w:pPr>
      <w:r>
        <w:t>任务认知要求与学生实际掌握严格分离：TaskAnnotation 描述任务要求；BKTKnowledgeState、IRTAbilityState、BloomMasteryState 与 ThinkingQualityProfile 描述学生状态。</w:t>
      </w:r>
    </w:p>
    <w:p>
      <w:pPr>
        <w:pStyle w:val="ListBullet"/>
        <w:spacing w:after="40"/>
      </w:pPr>
      <w:r>
        <w:t>质量链遵循“Lint 硬门禁 → QC / Verifier 综合判断 → 教师 / 教研 / 专家最终治理”。REVIEW/BLOCK 必须形成 ReviewCase 和审计记录。</w:t>
      </w:r>
    </w:p>
    <w:p>
      <w:pPr>
        <w:pStyle w:val="ListBullet"/>
        <w:spacing w:after="40"/>
      </w:pPr>
      <w:r>
        <w:t>DecisionTrace 记录证据、模型与规则版本、规则命中、候选排除、Lint / Verifier 结果和人工操作，不保存不受控的隐性推理链。</w:t>
      </w:r>
    </w:p>
    <w:p>
      <w:pPr>
        <w:pStyle w:val="ListBullet"/>
        <w:spacing w:after="40"/>
      </w:pPr>
      <w:r>
        <w:t>IRT 学生能力可随合格证据更新；IRT 项目参数必须按批次校准和版本发布，不由单次 Agent 调用直接改写生产参数。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92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模型视图</w:t>
            </w:r>
          </w:p>
        </w:tc>
        <w:tc>
          <w:tcPr>
            <w:tcW w:type="dxa" w:w="7030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本版本建模重点</w:t>
            </w:r>
          </w:p>
        </w:tc>
        <w:tc>
          <w:tcPr>
            <w:tcW w:type="dxa" w:w="481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用例模型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三域角色、内容治理、学习闭环、Research/Lint 与 BKT/IRT/规则推荐用例。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总体用例图 + 学习路径用例细化图</w:t>
            </w:r>
          </w:p>
        </w:tc>
      </w:tr>
      <w:tr>
        <w:tc>
          <w:tcPr>
            <w:tcW w:type="dxa" w:w="192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活动模型</w:t>
            </w:r>
          </w:p>
        </w:tc>
        <w:tc>
          <w:tcPr>
            <w:tcW w:type="dxa" w:w="703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内容生产、学习路径、研究证据三条完整流程及人工复核分支。</w:t>
            </w:r>
          </w:p>
        </w:tc>
        <w:tc>
          <w:tcPr>
            <w:tcW w:type="dxa" w:w="481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3 张跨泳道活动图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类模型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内容、学习者状态、路径决策、Agent/服务、Lint 与研究证据对象。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5 张分域类图</w:t>
            </w:r>
          </w:p>
        </w:tc>
      </w:tr>
      <w:tr>
        <w:tc>
          <w:tcPr>
            <w:tcW w:type="dxa" w:w="192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时序模型</w:t>
            </w:r>
          </w:p>
        </w:tc>
        <w:tc>
          <w:tcPr>
            <w:tcW w:type="dxa" w:w="703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内容标注发布、在线学习路径、异步研究审查的消息顺序与有限循环。</w:t>
            </w:r>
          </w:p>
        </w:tc>
        <w:tc>
          <w:tcPr>
            <w:tcW w:type="dxa" w:w="481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3 张时序图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状态模型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内容版本、学习路径、研究审查案例的门禁、审批、版本与终止状态。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3 张状态图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2. 参与者、系统边界与权限模型</w:t>
      </w:r>
    </w:p>
    <w:p>
      <w:pPr>
        <w:spacing w:after="80" w:line="276" w:lineRule="auto"/>
      </w:pPr>
      <w:r>
        <w:t>系统参与者包括学生、英语教师、教研/学术专家、系统管理员、学校教务/LMS 以及课程标准/学术来源。教师对具体学生路径拥有最终确认和覆盖权；专家对高风险内容和研究证据结论拥有最终治理权；管理员维护平台配置，但不得覆盖学科或证据专业结论。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70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参与者</w:t>
            </w:r>
          </w:p>
        </w:tc>
        <w:tc>
          <w:tcPr>
            <w:tcW w:type="dxa" w:w="600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职责与目标</w:t>
            </w:r>
          </w:p>
        </w:tc>
        <w:tc>
          <w:tcPr>
            <w:tcW w:type="dxa" w:w="6236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关键权限 / 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学生</w:t>
            </w:r>
          </w:p>
        </w:tc>
        <w:tc>
          <w:tcPr>
            <w:tcW w:type="dxa" w:w="60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接收个性化路径、完成任务、查看适龄解释、反思与自评。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仅访问本人数据；提交学习证据；可请求解释或重新规划。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英语教师</w:t>
            </w:r>
          </w:p>
        </w:tc>
        <w:tc>
          <w:tcPr>
            <w:tcW w:type="dxa" w:w="600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查看学生/班级诊断，审计 BKT/IRT 与规则依据，批准、修改、拒绝或重规划学习路径。</w:t>
            </w:r>
          </w:p>
        </w:tc>
        <w:tc>
          <w:tcPr>
            <w:tcW w:type="dxa" w:w="623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访问所授班级；配置教学约束；处理 Path/Output ReviewCase；操作写入 Trace。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教研 / 学术专家</w:t>
            </w:r>
          </w:p>
        </w:tc>
        <w:tc>
          <w:tcPr>
            <w:tcW w:type="dxa" w:w="60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管理课标、标签、量规、内容与金标准；审查低置信内容、价值风险和研究证据。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批准/条件批准/拒绝内容或 EvidenceReviewCase；专家结论不可被普通管理员覆盖。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系统管理员</w:t>
            </w:r>
          </w:p>
        </w:tc>
        <w:tc>
          <w:tcPr>
            <w:tcW w:type="dxa" w:w="600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管理身份、权限、工作流、模型/规则/Lint 版本与运营监控。</w:t>
            </w:r>
          </w:p>
        </w:tc>
        <w:tc>
          <w:tcPr>
            <w:tcW w:type="dxa" w:w="623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全局配置与回滚；不直接修改学生诊断、教师决定或专家证据结论。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学校教务 / LMS</w:t>
            </w:r>
          </w:p>
        </w:tc>
        <w:tc>
          <w:tcPr>
            <w:tcW w:type="dxa" w:w="600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同步学生、班级、课程、作业、阶段测和发布任务。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仅通过授权 API / 事件流交换数据；遵守学校数据范围与幂等规则。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课程标准 / 学术来源</w:t>
            </w:r>
          </w:p>
        </w:tc>
        <w:tc>
          <w:tcPr>
            <w:tcW w:type="dxa" w:w="600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提供课标、政策、论文、专著和官方技术文档。</w:t>
            </w:r>
          </w:p>
        </w:tc>
        <w:tc>
          <w:tcPr>
            <w:tcW w:type="dxa" w:w="623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只读证据来源；保留出处、版本、全文定位和引用状态。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3. 用例模型：总体系统边界</w:t>
      </w:r>
    </w:p>
    <w:p>
      <w:pPr>
        <w:spacing w:after="80" w:line="276" w:lineRule="auto"/>
      </w:pPr>
      <w:r>
        <w:t>总体视图将系统能力划分为内容/课程治理、教师与学生学习、智能核心、研究证据治理和平台运营五个子域；只保留关键关联和 include / extend，以确保边界清晰。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4944087"/>
            <wp:docPr id="1" name="Picture 1" descr="总体用例图，展示学生、教师、教研专家、管理员、LMS 和学术来源与内容治理、学习闭环、智能核心、研究治理及平台管理用例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_总体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94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1A  AdaptLearn Copilot 总体用例图（融合版）</w:t>
      </w:r>
    </w:p>
    <w:p>
      <w:r>
        <w:br w:type="page"/>
      </w:r>
    </w:p>
    <w:p>
      <w:pPr>
        <w:pStyle w:val="Heading2"/>
        <w:keepNext/>
        <w:spacing w:before="100" w:after="80"/>
      </w:pPr>
      <w:r>
        <w:t>3.1 个性化学习路径用例细化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4485497"/>
            <wp:docPr id="2" name="Picture 2" descr="个性化学习路径用例图，展示请求与路由、BKT/IRT 和双轴诊断、规则推荐、Path Lint、Verifier、教师决策、交付与反馈更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学习路径用例细化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48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1B  个性化学习路径用例细化图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3.2 核心用例规约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850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175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 / 前置</w:t>
            </w:r>
          </w:p>
        </w:tc>
        <w:tc>
          <w:tcPr>
            <w:tcW w:type="dxa" w:w="4762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主成功场景</w:t>
            </w:r>
          </w:p>
        </w:tc>
        <w:tc>
          <w:tcPr>
            <w:tcW w:type="dxa" w:w="413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 / 扩展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内容导入与前置 Lint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教研导入教材/试题/素材；来源和版本可识别。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解析→Schema/Editorial/Language Lint→安全自动修复→形成 ContentVersion。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REVIEW/BLOCK 建立 ReviewCase；缺来源或版权信息时禁止发布。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UC-02</w:t>
            </w:r>
          </w:p>
        </w:tc>
        <w:tc>
          <w:tcPr>
            <w:tcW w:type="dxa" w:w="238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LLM 自动标注与专家分流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Taxonomy 已发布；内容前置门禁通过。</w:t>
            </w:r>
          </w:p>
        </w:tc>
        <w:tc>
          <w:tcPr>
            <w:tcW w:type="dxa" w:w="476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候选标签检索→Pass1 知识/技能→Pass2 Bloom/思维/证据→Annotation/Pedagogical/Values Lint→置信度分流。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低置信、冲突、新标签和高风险内容进入专家复核；LLM 不直接创建正式节点。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组装并发布课程任务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任务版本已批准入库。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组装课程包/教案/练习计划→Assembly Lint→审批→锁定版本并建立索引。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目标不一致、题量/时长失衡、资源失效或引用未审核时阻断。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UC-04</w:t>
            </w:r>
          </w:p>
        </w:tc>
        <w:tc>
          <w:tcPr>
            <w:tcW w:type="dxa" w:w="238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生成学生/班级诊断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存在通过 Data Lint 的证据和有效模型状态。</w:t>
            </w:r>
          </w:p>
        </w:tc>
        <w:tc>
          <w:tcPr>
            <w:tcW w:type="dxa" w:w="476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更新/读取 BKT 掌握、IRT 能力与项目参数→认知/思维并行诊断→结构化状态与置信度。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证据不足时返回不确定性并建议补充诊断任务。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生成个性化学习路径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学生/教师发起；目标和合格任务库明确。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候选检索→规则硬过滤→规则评分与组装→Path Lint→Verifier→审计解释→Output Lint→教师治理→交付。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规则冲突或校验失败触发有限重规划；超限、低置信或高风险转人工。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UC-06</w:t>
            </w:r>
          </w:p>
        </w:tc>
        <w:tc>
          <w:tcPr>
            <w:tcW w:type="dxa" w:w="238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教师审计、修改与覆盖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路径待审核或学校策略要求人工治理。</w:t>
            </w:r>
          </w:p>
        </w:tc>
        <w:tc>
          <w:tcPr>
            <w:tcW w:type="dxa" w:w="476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查看证据、BKT/IRT、规则命中、候选排除、Lint/Verifier 与版本→批准/修改/拒绝。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任何人工改变记录原因、责任人和版本；拒绝可触发重规划或取消。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UC-07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学生完成任务并更新状态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路径已发布且资源有效。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作答/反思→Evidence/Data Lint→证据入库→BKT/IRT/行为/思维证据更新→下一轮规划。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重复、异常时长、版本错配、隐私或低信息证据隔离，不污染模型状态。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UC-08</w:t>
            </w:r>
          </w:p>
        </w:tc>
        <w:tc>
          <w:tcPr>
            <w:tcW w:type="dxa" w:w="238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研究证据审查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架构、算法、量规或指标新增/变更。</w:t>
            </w:r>
          </w:p>
        </w:tc>
        <w:tc>
          <w:tcPr>
            <w:tcW w:type="dxa" w:w="476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提取 Claims→检索权威来源→质量/适用性评估→Claim–Evidence Matrix→Citation Lint→专家审批→Registry。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证据不足、冲突或过度外推时标记 Conditional/Experimental/Insufficient/Contradicted。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UC-09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管理 Lint、规则与例外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管理员/教研维护门禁或推荐规则。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编辑版本→回归测试→审批发布→监控误报/漏检/规则冲突→例外审批或回滚。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规则冲突、自动修复不安全或关键指标恶化时禁止发布或回滚。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4. 活动模型 A：内容生产、自动标注与发布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8822204" cy="5166360"/>
            <wp:docPr id="3" name="Picture 3" descr="跨泳道活动图，展示内容导入、前置 Lint、受控 Taxonomy 检索、两阶段 LLM 标注、语义门禁、专家分流、Assembly Lint 和版本发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内容生产活动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2204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2A  内容生产、LLM 自动标注与发布质量门禁活动图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4.1 活动模型 B：个性化学习路径与反馈闭环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8771400" cy="5166360"/>
            <wp:docPr id="4" name="Picture 4" descr="跨泳道活动图，展示角色路由、Data Lint、BKT/IRT、双轴诊断、规则推荐、Path Lint、Verifier、教师决策、交付和状态更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学习路径活动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140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2B  BKT + IRT + 规则推荐、教师审计与反馈闭环活动图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4.2 活动模型 C：Research &amp; Evidence Review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5028025"/>
            <wp:docPr id="5" name="Picture 5" descr="研究证据活动图，展示主张提取、权威来源检索、质量和适用性评估、Claim–Evidence Matrix、Citation Lint、专家审批与 Evidence Registry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研究证据活动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02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2C  Research &amp; Evidence Review 活动图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4.3 活动阶段与质量门禁总结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36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26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12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关键活动</w:t>
            </w:r>
          </w:p>
        </w:tc>
        <w:tc>
          <w:tcPr>
            <w:tcW w:type="dxa" w:w="5216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 / 治理结果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解析与前置质量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解析结构、来源、版权、年级、单元；Schema/Editorial/Language Lint。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AUTO_FIX 后重检；REVIEW/BLOCK 进入 ReviewCase。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 A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自动标注与语义 QC</w:t>
            </w:r>
          </w:p>
        </w:tc>
        <w:tc>
          <w:tcPr>
            <w:tcW w:type="dxa" w:w="612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候选标签检索；知识/技能与 Bloom/思维分阶段标注；强制证据。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Annotation/Pedagogical/Values Lint；高置信自动通过，其余专家分流。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组装与发布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课程包、教材教案、练习计划组装和版本锁定。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Assembly Lint；通过后建立检索索引和发布。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状态准备与诊断</w:t>
            </w:r>
          </w:p>
        </w:tc>
        <w:tc>
          <w:tcPr>
            <w:tcW w:type="dxa" w:w="612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Data Lint；BKT 掌握、IRT 能力/难度；认知和思维诊断。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证据不足返回不确定性，不虚构确定结论。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透明推荐与验证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任务检索；规则硬过滤/评分/序列组装；Path Lint；Verifier。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FAIL/REVIEW 受限重规划或人工升级。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解释、交付与回流</w:t>
            </w:r>
          </w:p>
        </w:tc>
        <w:tc>
          <w:tcPr>
            <w:tcW w:type="dxa" w:w="612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教师审计解释、学生适龄说明、教师决定、学习完成和数据回流。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Output Lint；教师最终决定；合格 Evidence 更新模型状态。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 C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主张与证据检索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提取 ResearchClaim，检索权威来源，评估质量和场景适用性。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形成来源去重、EvidenceSource 和质量评分。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 C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证据矩阵与引用治理</w:t>
            </w:r>
          </w:p>
        </w:tc>
        <w:tc>
          <w:tcPr>
            <w:tcW w:type="dxa" w:w="612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建立 ClaimEvidence、支持/冲突/空白与局限；Citation Lint。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专家批准、条件批准、要求本地试验或拒绝；登记 Registry。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5. 类模型 A：内容、课程与受控标注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4118380"/>
            <wp:docPr id="6" name="Picture 6" descr="展示 ContentAsset/Version、LearningTask、TaskAnnotation、KnowledgeNode、TaxonomyVersion、CoursePackage、LintResult 和 ReviewCase 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_内容课程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11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3A  内容、课程与受控标注领域类图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5.1 类模型 B：学习者状态、BKT/IRT 与双轴诊断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4975758"/>
            <wp:docPr id="7" name="Picture 7" descr="展示 LearnerProfile、LearningEvidence、BKTKnowledgeState、IRTAbilityState/ItemParameter、BloomMasteryState、ThinkingQualityProfile、BehaviorFeature 和 CognitiveStat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学习者状态类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97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3B  学习者状态、测量与双轴诊断类图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5.2 类模型 C：学习路径、规则决策与可审计解释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3971885"/>
            <wp:docPr id="8" name="Picture 8" descr="展示 LearningPath/PathStep、RecommendationRule/RuleEvaluation、VerificationResult、双版本解释、TeacherDecision 与 DecisionTrac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路径决策类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9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3C  学习路径、规则决策与教师可审计解释类图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5.3 类模型 D：路由、编排、Agent 与算法工具服务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4196506"/>
            <wp:docPr id="9" name="Picture 9" descr="展示 RoleIntentRouter、WorkflowRegistry、Orchestrator、五个 Learning Agents，以及 BKT、IRT、规则引擎、任务检索、量规、行为、审计和 Trace 服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D_Agent服务类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19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3D  路由、编排、Learning Agents 与算法工具服务类图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5.4 类模型 E：Lint、人工复核与研究证据治理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8421465" cy="5166360"/>
            <wp:docPr id="10" name="Picture 10" descr="展示 LintProfile/Rule/Result、ReviewCase、ResearchAgent、ResearchClaim、EvidenceSource、ClaimEvidence、EvidenceReviewReport 和 EvidenceRegistry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E_质量研究治理类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21465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3E  Lint、人工复核与 Research Evidence 治理类图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5.5 核心类职责与领域约束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757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领域包</w:t>
            </w:r>
          </w:p>
        </w:tc>
        <w:tc>
          <w:tcPr>
            <w:tcW w:type="dxa" w:w="566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核心类</w:t>
            </w:r>
          </w:p>
        </w:tc>
        <w:tc>
          <w:tcPr>
            <w:tcW w:type="dxa" w:w="7427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 / 不变量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用户与权限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Student / Teacher / ResearchExpert / Admin / PermissionPolicy</w:t>
            </w:r>
          </w:p>
        </w:tc>
        <w:tc>
          <w:tcPr>
            <w:tcW w:type="dxa" w:w="74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控制数据范围、教学决策和证据治理权限；专家结论与教师决定不可被普通管理员静默覆盖。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内容与课程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ContentAsset / ContentVersion / LearningTask / TaskAnnotation / KnowledgeNode / TaxonomyVersion / CoursePackage</w:t>
            </w:r>
          </w:p>
        </w:tc>
        <w:tc>
          <w:tcPr>
            <w:tcW w:type="dxa" w:w="742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保存受控标签、任务认知要求、来源、版本和发布状态；未通过门禁的版本不得进入候选。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学习者状态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LearnerProfile / LearningEvidence / BKTKnowledgeState / IRTAbilityState / IRTItemParameter / BloomMasteryState / ThinkingQualityProfile / CognitiveState</w:t>
            </w:r>
          </w:p>
        </w:tc>
        <w:tc>
          <w:tcPr>
            <w:tcW w:type="dxa" w:w="74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原始证据、模型状态、项目参数和综合快照分离；所有状态带版本、时间与置信度。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路径与决策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LearningPath / PathStep / RecommendationRule / RuleEvaluation / VerificationResult / TeacherAuditExplanation / TeacherDecision / DecisionTrace</w:t>
            </w:r>
          </w:p>
        </w:tc>
        <w:tc>
          <w:tcPr>
            <w:tcW w:type="dxa" w:w="742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支持透明规则决策、路径聚合、独立校验、教师覆盖和可重放审计。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Agent 与模型服务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Router / Registry / Orchestrator / Diagnosis / Recommendation / Verifier / Explainer / BKT / IRT / Rule Engine</w:t>
            </w:r>
          </w:p>
        </w:tc>
        <w:tc>
          <w:tcPr>
            <w:tcW w:type="dxa" w:w="74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Agent 负责协调与综合；算法、规则和工具服务负责可测试测量与确定性决策。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Lint 与人工治理</w:t>
            </w:r>
          </w:p>
        </w:tc>
        <w:tc>
          <w:tcPr>
            <w:tcW w:type="dxa" w:w="56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LintProfile / LintRule / LintResult / ReviewCase</w:t>
            </w:r>
          </w:p>
        </w:tc>
        <w:tc>
          <w:tcPr>
            <w:tcW w:type="dxa" w:w="7427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统一 INFO/AUTO_FIX/WARN/REVIEW/BLOCK；保存修复差异、例外、责任人和版本。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研究证据治理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ResearchClaim / EvidenceSource / ClaimEvidence / EvidenceReviewReport / EvidenceRegistry</w:t>
            </w:r>
          </w:p>
        </w:tc>
        <w:tc>
          <w:tcPr>
            <w:tcW w:type="dxa" w:w="74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主张—证据逐项映射，保存证据等级、适用条件、局限、专家结论和版本替代。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LearningTask 只有在内容、标注、教学、价值、安全和发布门禁均未处于 BLOCK，且版本有效时，才能进入任务候选集。</w:t>
      </w:r>
    </w:p>
    <w:p>
      <w:pPr>
        <w:pStyle w:val="ListBullet"/>
        <w:spacing w:after="40"/>
      </w:pPr>
      <w:r>
        <w:t>TaskAnnotation.bloomRequirement 表示任务要求；BKTKnowledgeState.masteryProbability 表示知识掌握概率；IRTAbilityState.theta 与 IRTItemParameter.difficulty 表示能力—难度测量，三者不得共用字段。</w:t>
      </w:r>
    </w:p>
    <w:p>
      <w:pPr>
        <w:pStyle w:val="ListBullet"/>
        <w:spacing w:after="40"/>
      </w:pPr>
      <w:r>
        <w:t>ThinkingQualityProfile 必须由跨任务量规证据聚合，不能凭单道客观题升级；每个维度均保存证据覆盖和量规版本。</w:t>
      </w:r>
    </w:p>
    <w:p>
      <w:pPr>
        <w:pStyle w:val="ListBullet"/>
        <w:spacing w:after="40"/>
      </w:pPr>
      <w:r>
        <w:t>LearningPath 保存 RuleEvaluation[]、VerificationResult、LintResult、教师决定和 DecisionTrace；教师审计解释只能从这些结构化记录生成。</w:t>
      </w:r>
    </w:p>
    <w:p>
      <w:pPr>
        <w:pStyle w:val="ListBullet"/>
        <w:spacing w:after="40"/>
      </w:pPr>
      <w:r>
        <w:t>LearningEvidence 在 Evidence/Data Lint 通过前不得更新 LearnerProfile、BKT、IRT 或思维品质状态；IRT 项目参数按批次校准和审批发布。</w:t>
      </w:r>
    </w:p>
    <w:p>
      <w:pPr>
        <w:pStyle w:val="ListBullet"/>
        <w:spacing w:after="40"/>
      </w:pPr>
      <w:r>
        <w:t>Research Agent 只能生成 EvidenceReviewReport 草案，EvidenceRegistry 的治理状态必须来自专家决定；新证据通过新版本替代旧结论。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t>6. 时序模型 A：内容导入、自动标注与发布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8735090" cy="5166360"/>
            <wp:docPr id="11" name="Picture 11" descr="展示管理中台、内容 API、Lint、Taxonomy、LLM、专家审核、任务库和发布服务的交互及异常分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内容标注发布时序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509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4A  内容导入、LLM 自动标注与发布时序图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6.1 时序模型 B：在线个性化学习路径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072807" cy="5166360"/>
            <wp:docPr id="12" name="Picture 12" descr="展示 Router、Orchestrator、Data/Path/Output Lint、BKT、IRT、诊断、任务检索、规则引擎、Verifier、解释、教师审核和 Decision Trac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学习路径时序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72807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4B  BKT + IRT + 规则推荐与教师可审计解释时序图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6.2 时序模型 C：异步研究证据审查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09088" cy="5166360"/>
            <wp:docPr id="13" name="Picture 13" descr="展示研究主张、学术检索、质量评估、Citation Lint、专家审批、Evidence Registry 和 Trac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研究证据时序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09088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4C  Research &amp; Evidence Review 时序图</w:t>
      </w:r>
    </w:p>
    <w:p>
      <w:r>
        <w:br w:type="page"/>
      </w:r>
    </w:p>
    <w:p>
      <w:pPr>
        <w:pStyle w:val="Heading2"/>
        <w:keepNext/>
        <w:spacing w:before="100" w:after="80"/>
      </w:pPr>
      <w:r>
        <w:t>6.3 消息阶段与 Tool Contract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36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26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350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主要消息 / Tool Contract</w:t>
            </w:r>
          </w:p>
        </w:tc>
        <w:tc>
          <w:tcPr>
            <w:tcW w:type="dxa" w:w="498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解析与前置门禁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createContent → parse → run(pre-lint) → LintResult / AutoFix diff</w:t>
            </w:r>
          </w:p>
        </w:tc>
        <w:tc>
          <w:tcPr>
            <w:tcW w:type="dxa" w:w="498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在调用 LLM 前先解决结构、格式和语言硬问题。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 A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受控标注与分流</w:t>
            </w:r>
          </w:p>
        </w:tc>
        <w:tc>
          <w:tcPr>
            <w:tcW w:type="dxa" w:w="63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retrieveCandidateLabels → annotatePass1/2 → run(annotation/pedagogical/values) → expertReview</w:t>
            </w:r>
          </w:p>
        </w:tc>
        <w:tc>
          <w:tcPr>
            <w:tcW w:type="dxa" w:w="498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LLM 只在受控标签空间生成候选；低置信和高风险交专家。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路由与状态读取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route(role,intent,policy) → loadProfile/state → validateEvidence</w:t>
            </w:r>
          </w:p>
        </w:tc>
        <w:tc>
          <w:tcPr>
            <w:tcW w:type="dxa" w:w="498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结构化入口优先规则路由；先过滤无效证据。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BKT/IRT 与双轴诊断</w:t>
            </w:r>
          </w:p>
        </w:tc>
        <w:tc>
          <w:tcPr>
            <w:tcW w:type="dxa" w:w="63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get/update P(L)；get θ/SE/b；diagnose cognition/thinking</w:t>
            </w:r>
          </w:p>
        </w:tc>
        <w:tc>
          <w:tcPr>
            <w:tcW w:type="dxa" w:w="498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测量服务独立输出版本、置信度和适用范围。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规则推荐与校验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retrieveTasks → filter/score/assemble → Path Lint → Verifier</w:t>
            </w:r>
          </w:p>
        </w:tc>
        <w:tc>
          <w:tcPr>
            <w:tcW w:type="dxa" w:w="498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LLM 不决定排序；硬约束与教学适切性分离。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 B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解释与教师治理</w:t>
            </w:r>
          </w:p>
        </w:tc>
        <w:tc>
          <w:tcPr>
            <w:tcW w:type="dxa" w:w="63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appendTrace → buildAudit → Output Lint → TeacherDecision</w:t>
            </w:r>
          </w:p>
        </w:tc>
        <w:tc>
          <w:tcPr>
            <w:tcW w:type="dxa" w:w="498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解释可重放、适龄、无答案泄露；学校保持最终控制。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 C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证据获取与评估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extractClaims → searchSources → assessQuality → buildMatrix → Citation Lint</w:t>
            </w:r>
          </w:p>
        </w:tc>
        <w:tc>
          <w:tcPr>
            <w:tcW w:type="dxa" w:w="498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防止引用幻觉、因果误写和场景过度外推。</w:t>
            </w:r>
          </w:p>
        </w:tc>
      </w:tr>
      <w:tr>
        <w:tc>
          <w:tcPr>
            <w:tcW w:type="dxa" w:w="136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研究 C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专家登记</w:t>
            </w:r>
          </w:p>
        </w:tc>
        <w:tc>
          <w:tcPr>
            <w:tcW w:type="dxa" w:w="6350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EvidenceReviewReport → ExpertDecision → register / supersede</w:t>
            </w:r>
          </w:p>
        </w:tc>
        <w:tc>
          <w:tcPr>
            <w:tcW w:type="dxa" w:w="498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Research Agent 不直接批准；结论有版本和替代关系。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7. 状态模型 A：ContentVersion / TaskAnnotation 生命周期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1741910"/>
            <wp:docPr id="14" name="Picture 14" descr="展示草稿、解析、前置 Lint、LLM 标注、语义门禁、专家复核、批准入库、组装、发布、阻断与下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内容状态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174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5A  ContentVersion / TaskAnnotation 生命周期状态图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55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关键守卫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待专家复核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Lint=REVIEW、低置信、新标签或高风险。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批准继续；修改后重检；拒绝或 BLOCK。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已发布并锁定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内容、标注、教学、价值和 Assembly Lint 均通过。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只可下架或由新版本替代，不原地改写。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80"/>
      </w:pPr>
      <w:r>
        <w:t>7.1 状态模型 B：LearningPath 生命周期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1454313"/>
            <wp:docPr id="15" name="Picture 15" descr="展示状态准备、诊断、规则候选、Path Lint、Verifier、解释、Output Lint、教师审核、学习、数据门禁、状态更新和归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学习路径状态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145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5B  LearningPath 生命周期状态图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55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关键守卫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待教师审核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学校策略要求人工治理，或 Lint/Verifier=REVIEW。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批准发布；修改约束后重规划；拒绝/取消。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BKT/IRT 状态更新中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任务完成且 Evidence/Data Lint=PASS。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更新模型状态和 Trace；不合格证据隔离。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需调整 / 重规划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Path Lint=FAIL、Verifier 要求调整或教师修改。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受最大循环次数与预算约束，超限转人工。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80"/>
      </w:pPr>
      <w:r>
        <w:t>7.2 状态模型 C：ResearchReviewCase 生命周期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372600" cy="1945256"/>
            <wp:docPr id="16" name="Picture 16" descr="展示主张登记、检索、质量评估、证据矩阵、引用门禁、专家审核、证据等级和 Evidence Registry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_研究证据状态图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194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60"/>
        <w:jc w:val="center"/>
      </w:pPr>
      <w:r>
        <w:rPr>
          <w:i/>
        </w:rPr>
        <w:t>图 5C  ResearchReviewCase 生命周期状态图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55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关键守卫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待专家审核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Claim–Evidence Matrix 完成，Citation Lint 通过或需人工复核。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Supported / Conditional / Experimental / Insufficient / Contradicted。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已写入 Evidence Registry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专家结论、适用条件、版本和替代关系完整。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当前版本终态；新证据或变更触发新版本重审。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8. 融合方案需求—UML 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3402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融合方案需求</w:t>
            </w:r>
          </w:p>
        </w:tc>
        <w:tc>
          <w:tcPr>
            <w:tcW w:type="dxa" w:w="226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用例图</w:t>
            </w:r>
          </w:p>
        </w:tc>
        <w:tc>
          <w:tcPr>
            <w:tcW w:type="dxa" w:w="2041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活动图</w:t>
            </w:r>
          </w:p>
        </w:tc>
        <w:tc>
          <w:tcPr>
            <w:tcW w:type="dxa" w:w="3969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类图</w:t>
            </w:r>
          </w:p>
        </w:tc>
        <w:tc>
          <w:tcPr>
            <w:tcW w:type="dxa" w:w="209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时序图</w:t>
            </w:r>
          </w:p>
        </w:tc>
        <w:tc>
          <w:tcPr>
            <w:tcW w:type="dxa" w:w="2098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状态图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LLM 自动标注、受控 Taxonomy 与内容质量治理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1A；UC-01~03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3A / 3E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4A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5A</w:t>
            </w:r>
          </w:p>
        </w:tc>
      </w:tr>
      <w:tr>
        <w:tc>
          <w:tcPr>
            <w:tcW w:type="dxa" w:w="340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BKT + IRT + Bloom/思维双轴诊断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1B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2B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3B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4B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影响图 5B 状态准备与更新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确定性规则推荐与透明路径组装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1B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3C / 3D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4B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5B</w:t>
            </w:r>
          </w:p>
        </w:tc>
      </w:tr>
      <w:tr>
        <w:tc>
          <w:tcPr>
            <w:tcW w:type="dxa" w:w="340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教师可审计解释与最终决策权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1A/1B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2B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3C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4B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待教师审核→发布/重规划/取消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Research Agent、Citation Lint 与 Evidence Registry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2C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3E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4C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5C</w:t>
            </w:r>
          </w:p>
        </w:tc>
      </w:tr>
      <w:tr>
        <w:tc>
          <w:tcPr>
            <w:tcW w:type="dxa" w:w="340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全链路 Lint 与人工 ReviewCase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1A/1B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2A/2B/2C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3A / 3E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4A/4B/4C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三类状态图中的 REVIEW/BLOCK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三域架构、Intent Routing 与 Integration Workflow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1A/1B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3D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4B/4C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由业务对象状态机驱动</w:t>
            </w:r>
          </w:p>
        </w:tc>
      </w:tr>
      <w:tr>
        <w:tc>
          <w:tcPr>
            <w:tcW w:type="dxa" w:w="3402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学习证据回流、模型更新和持续治理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UC-07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2B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3B/3C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4B 后链路</w:t>
            </w:r>
          </w:p>
        </w:tc>
        <w:tc>
          <w:tcPr>
            <w:tcW w:type="dxa" w:w="2098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图 5B 完成→Data Lint→更新→归档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9. 实现映射与开发验收点</w:t>
      </w:r>
    </w:p>
    <w:p>
      <w:pPr>
        <w:spacing w:after="80" w:line="276" w:lineRule="auto"/>
      </w:pPr>
      <w:r>
        <w:t>UML 是 API、数据库、工作流和测试设计的上游输入。实现阶段需把每个用例和状态迁移映射到显式接口、事件、工具契约和测试断言，避免只实现“能跑的 Agent Demo”而缺少可治理的学校业务系统。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835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UML 元素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建议实现载体</w:t>
            </w:r>
          </w:p>
        </w:tc>
        <w:tc>
          <w:tcPr>
            <w:tcW w:type="dxa" w:w="5953"/>
            <w:shd w:fill="2F6B9A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最低验收点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RoleIntentRouter / WorkflowRegistry / Orchestrator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API Gateway + 规则路由 + 有状态工作流引擎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角色、权限、版本、超时、重试、人工暂停/恢复和幂等可测试。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BKTService / IRTService / RuleRecommendationEngine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独立 Python 服务或可测试模块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固定输入可重放；输出带版本和置信度；IRT 项目参数批次校准；规则命中与排除可解释。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Learning Agents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结构化输入输出的 Agent 节点 / 子图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严格 JSON Schema；只通过 Tool Calling 访问服务；不得直写数据库或绕过 Lint。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LintService / ReviewCase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规则引擎 + 语义检查 + 质量工作台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INFO/AUTO_FIX/WARN/REVIEW/BLOCK 完整；修复差异、例外、责任人和规则版本可审计。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DecisionTrace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追加式审计事件仓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保存输入快照、版本、规则评估、校验、教师/专家决定；支持回放和版本比较。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Research Evidence Workflow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异步工作流 + 来源注册表</w:t>
            </w:r>
          </w:p>
        </w:tc>
        <w:tc>
          <w:tcPr>
            <w:tcW w:type="dxa" w:w="5953"/>
            <w:shd w:fill="F8FAF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引用可核验；Claim–Evidence Matrix 完整；专家决定后才能登记。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三个状态机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数据库状态字段 + 事件/命令处理器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5313C"/>
                <w:sz w:val="17"/>
              </w:rPr>
              <w:t>非法迁移被拒绝；每次迁移有事件、操作者、时间和前后版本。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10. 建模结论</w:t>
      </w:r>
    </w:p>
    <w:p>
      <w:pPr>
        <w:spacing w:after="80" w:line="276" w:lineRule="auto"/>
      </w:pPr>
      <w:r>
        <w:t>本版本 UML 已与融合项目方案对齐：内容侧采用 LLM 自动预标注、受控标签与多层 Lint；学习侧采用 BKT 掌握追踪、IRT 能力—难度测量、确定性规则推荐、Path Lint、Verifier 和教师可审计解释；治理侧由 Research Agent、Citation Lint、Evidence Registry 与专家审批提供证据保证。三域产品架构、Intent Routing、Agent 编排、模型服务、人工治理和数据回流均在用例、活动、类、时序和状态视图中建立了对应关系。</w:t>
      </w:r>
    </w:p>
    <w:p>
      <w:pPr>
        <w:spacing w:after="80" w:line="276" w:lineRule="auto"/>
      </w:pPr>
      <w:r>
        <w:t>实现阶段须继续保持职责分离：BKT/IRT 负责测量，规则引擎负责透明候选与排序，Verifier 负责具体学生的教学适切性，Explainer 只从结构化 Trace 生成说明，Lint Service 执行规范与硬门禁，Research Agent 审查方案依据；教师、教研和专家保留高风险场景和学校教学决策的最终权力。</w:t>
      </w:r>
    </w:p>
    <w:sectPr w:rsidR="00FC693F" w:rsidRPr="0006063C" w:rsidSect="00034616">
      <w:footerReference w:type="default" r:id="rId9"/>
      <w:pgSz w:w="15840" w:h="12240" w:orient="landscape"/>
      <w:pgMar w:top="539" w:right="624" w:bottom="539" w:left="624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B7782"/>
        <w:sz w:val="16"/>
      </w:rPr>
      <w:t xml:space="preserve">Cognitive Pathfinders · AdaptLearn Copilot UML Model v4.0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531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5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MLTitle">
    <w:name w:val="UML Title"/>
    <w:rPr>
      <w:rFonts w:ascii="Noto Sans CJK SC" w:hAnsi="Noto Sans CJK SC" w:eastAsia="Noto Sans CJK SC"/>
      <w:b/>
      <w:color w:val="2F6B9A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