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特急</w:t>
      </w:r>
    </w:p>
    <w:p>
      <w:pPr>
        <w:spacing w:line="148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×政办发〔2026〕12号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××市人民政府办公室关于开展行政机关</w:t>
      </w:r>
    </w:p>
    <w:p>
      <w:pPr>
        <w:pStyle w:val="Title"/>
      </w:pPr>
      <w:r>
        <w:t xml:space="preserve">公文格式规范培训工作的通知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为规范公文格式，提高办文质量，现就开展行政机关公文格式规范培训有关事项通知如下。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培训内容</w:t>
      </w:r>
    </w:p>
    <w:p>
      <w:r>
        <w:t xml:space="preserve">公文版心与行字数、标题与正文用字、层次序数、附件说明、成文日期与页脚页码等要素的编排规则，以及常见格式差错案例。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各县（市、区）人民政府、市政府各部门负责公文处理工作的同志，每单位 1 至 2 人。</w:t>
      </w:r>
    </w:p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 年 10 月 20 日前将参训人员名单报送市政府办公室文书科；培训具体时间、地点另行通知。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185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（此件公开发布）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抄送：市委各部门，市人大常委会办公室，市政协办公室。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××市人民政府办公室关于开展行政机关公文格式规范培训工作的通知</dc:title>
  <dc:creator>gongwen-kit</dc:creator>
  <cp:lastModifiedBy>Un-named</cp:lastModifiedBy>
  <cp:revision>1</cp:revision>
  <dcterms:created xsi:type="dcterms:W3CDTF">2026-10-25T20:43:27.549Z</dcterms:created>
  <dcterms:modified xsi:type="dcterms:W3CDTF">2026-10-25T20:43:27.549Z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