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 w14:paraId="4A773B1F">
        <w:trPr>
          <w:trHeight w:val="1601" w:hRule="atLeast"/>
        </w:trPr>
        <w:tc>
          <w:tcPr>
            <w:tcW w:w="0" w:type="auto"/>
            <w:shd w:val="clear"/>
            <w:vAlign w:val="center"/>
          </w:tcPr>
          <w:tbl>
            <w:tblPr>
              <w:tblW w:w="5000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306"/>
            </w:tblGrid>
            <w:tr w14:paraId="7D54C9CF">
              <w:trPr>
                <w:trHeight w:val="1100" w:hRule="atLeast"/>
                <w:jc w:val="center"/>
              </w:trPr>
              <w:tc>
                <w:tcPr>
                  <w:tcW w:w="0" w:type="auto"/>
                  <w:shd w:val="clear"/>
                  <w:vAlign w:val="center"/>
                </w:tcPr>
                <w:p w14:paraId="423AEDB8"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color w:val="333333"/>
                      <w:sz w:val="32"/>
                      <w:szCs w:val="32"/>
                    </w:rPr>
                  </w:pPr>
                  <w:bookmarkStart w:id="0" w:name="_GoBack"/>
                  <w:r>
                    <w:rPr>
                      <w:rFonts w:hint="eastAsia" w:ascii="宋体" w:hAnsi="宋体" w:eastAsia="宋体" w:cs="宋体"/>
                      <w:color w:val="333333"/>
                      <w:sz w:val="32"/>
                      <w:szCs w:val="32"/>
                      <w:bdr w:val="none" w:color="auto" w:sz="0" w:space="0"/>
                    </w:rPr>
                    <w:t>人民银行玉树州分行：推进农村信用体系建设助力乡村振兴</w:t>
                  </w:r>
                </w:p>
              </w:tc>
            </w:tr>
            <w:bookmarkEnd w:id="0"/>
          </w:tbl>
          <w:p w14:paraId="1F7EEC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</w:rPr>
            </w:pPr>
          </w:p>
        </w:tc>
      </w:tr>
    </w:tbl>
    <w:p w14:paraId="6061D8DA">
      <w:pPr>
        <w:rPr>
          <w:vanish/>
          <w:sz w:val="24"/>
          <w:szCs w:val="24"/>
        </w:rPr>
      </w:pPr>
    </w:p>
    <w:tbl>
      <w:tblPr>
        <w:tblW w:w="4500" w:type="pct"/>
        <w:tblInd w:w="0" w:type="dxa"/>
        <w:tblBorders>
          <w:top w:val="single" w:color="CCCCCC" w:sz="8" w:space="0"/>
          <w:left w:val="none" w:color="auto" w:sz="0" w:space="0"/>
          <w:bottom w:val="single" w:color="CCCCCC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"/>
        <w:gridCol w:w="10"/>
        <w:gridCol w:w="3957"/>
        <w:gridCol w:w="3498"/>
      </w:tblGrid>
      <w:tr w14:paraId="57F260FD">
        <w:trPr>
          <w:trHeight w:val="520" w:hRule="atLeast"/>
        </w:trPr>
        <w:tc>
          <w:tcPr>
            <w:tcW w:w="0" w:type="auto"/>
            <w:shd w:val="clear"/>
            <w:vAlign w:val="center"/>
          </w:tcPr>
          <w:p w14:paraId="3EF5362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98F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EA1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文章来源：青海省分行</w:t>
            </w:r>
          </w:p>
        </w:tc>
        <w:tc>
          <w:tcPr>
            <w:tcW w:w="0" w:type="auto"/>
            <w:shd w:val="clear"/>
            <w:vAlign w:val="center"/>
          </w:tcPr>
          <w:p w14:paraId="6EE8B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66666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2024-10-12 11:07:52</w:t>
            </w:r>
          </w:p>
        </w:tc>
      </w:tr>
    </w:tbl>
    <w:p w14:paraId="79F3E758">
      <w:pPr>
        <w:rPr>
          <w:vanish/>
          <w:sz w:val="24"/>
          <w:szCs w:val="24"/>
        </w:rPr>
      </w:pPr>
    </w:p>
    <w:p w14:paraId="6A573298">
      <w:pPr>
        <w:rPr>
          <w:vanish/>
          <w:sz w:val="24"/>
          <w:szCs w:val="24"/>
        </w:rPr>
      </w:pPr>
    </w:p>
    <w:tbl>
      <w:tblPr>
        <w:tblW w:w="45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75"/>
      </w:tblGrid>
      <w:tr w14:paraId="0A7BDAB5">
        <w:tc>
          <w:tcPr>
            <w:tcW w:w="0" w:type="auto"/>
            <w:shd w:val="clear"/>
            <w:vAlign w:val="top"/>
          </w:tcPr>
          <w:p w14:paraId="2703C82B">
            <w:pPr>
              <w:pStyle w:val="3"/>
              <w:keepNext w:val="0"/>
              <w:keepLines w:val="0"/>
              <w:widowControl/>
              <w:suppressLineNumbers w:val="0"/>
              <w:spacing w:line="500" w:lineRule="atLeast"/>
              <w:ind w:left="0" w:firstLine="42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</w:rPr>
              <w:t>人民银行玉树州分行通过信用创评、动产与应收账款质押、金融诚信教育体系建设等方面持续发力，推进农村信用体系建设助力乡村振兴取得积极成效。</w:t>
            </w:r>
          </w:p>
          <w:p w14:paraId="77FF15C3">
            <w:pPr>
              <w:pStyle w:val="3"/>
              <w:keepNext w:val="0"/>
              <w:keepLines w:val="0"/>
              <w:widowControl/>
              <w:suppressLineNumbers w:val="0"/>
              <w:spacing w:line="500" w:lineRule="atLeast"/>
              <w:ind w:left="0" w:firstLine="42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</w:rPr>
              <w:t>人民银行玉树州分行制定《农村信用体系建设工作“提质扩面”年实施方案》，以信用建设为载体，以信用评价为手段，以构建激励惩戒机制为重点，建立“信用培育+信贷扶持+惠民政策”的工作机制，积极推进信用户、村、乡（镇）、县创建工作，继囊谦县完成省级信用县创建、治多县完成州级信用县创建后，玉树市、称多县、杂多县、曲麻莱县全面推进州级信用县创建工作，并完成称多县、曲麻莱县州级信用县创建，持续优化农村金融生态环境,助力乡村振兴。截至2024年8月末，玉树州累计创建信用户75520户，占玉树州总户数的78.69%；信用村223个，占行政村总数的86.43%；信用乡39个，占乡镇总数的86.67%；农户小额信用贷款累计投放5.56万笔、金额39.15亿元，同比分别增长14.76%、11.86%。</w:t>
            </w:r>
          </w:p>
          <w:p w14:paraId="4B53B76C">
            <w:pPr>
              <w:pStyle w:val="3"/>
              <w:keepNext w:val="0"/>
              <w:keepLines w:val="0"/>
              <w:widowControl/>
              <w:suppressLineNumbers w:val="0"/>
              <w:spacing w:line="500" w:lineRule="atLeast"/>
              <w:ind w:left="0" w:firstLine="42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</w:rPr>
              <w:t>为解决玉树州金融机构金融服务半径大、依靠人力发放贷款效率低等问题，玉树州农村信用体系建设工作依托“青信融”平台发挥线上融资服务优势，开展助企暖企业务，助力小微企业“能贷即贷”，服务银行“敢贷愿贷会贷”，实现融资服务降本增效，增加融资供需精准匹配。截至2024年8月末，玉树州个体工商户等普惠小微企业入驻平台1664家，其中255家获得贷款支持3.63亿元。</w:t>
            </w:r>
          </w:p>
          <w:p w14:paraId="4D21FEC3">
            <w:pPr>
              <w:pStyle w:val="3"/>
              <w:keepNext w:val="0"/>
              <w:keepLines w:val="0"/>
              <w:widowControl/>
              <w:suppressLineNumbers w:val="0"/>
              <w:spacing w:line="500" w:lineRule="atLeast"/>
              <w:ind w:left="0" w:firstLine="42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</w:rPr>
              <w:t>为缓解玉树州小微企业融资难融资贵、农牧户有信贷需求但农牧业抗风险能力差、涉农企业缺乏有效抵押物等困境，人民银行玉树州分行积极发挥农村信用体系建设牵头作用，依托动产与应收账款质押平台，组织金融机构建立以牛羊等为质押的新模式，积极围绕绿色有机农畜产品输出地建设，创新“牦牛贷”“三牲贷”等专属信贷产品，促进金融与实体经济良性互动发展，为三江源绿色经济发展提供新动能。截至2024年8月末，玉树州累计完成动产融资158笔、金额1.16亿元；完成应收账款融资10笔、金额7.058亿元。</w:t>
            </w:r>
          </w:p>
          <w:p w14:paraId="18F765A5">
            <w:pPr>
              <w:pStyle w:val="3"/>
              <w:keepNext w:val="0"/>
              <w:keepLines w:val="0"/>
              <w:widowControl/>
              <w:suppressLineNumbers w:val="0"/>
              <w:spacing w:line="500" w:lineRule="atLeast"/>
              <w:ind w:left="0" w:firstLine="42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bdr w:val="none" w:color="auto" w:sz="0" w:space="0"/>
              </w:rPr>
              <w:t>人民银行玉树州分行还联合玉树州教工委、州教育局、州发展改革委等四部门印发了《玉树州诚信教育巩固提升年活动实施方案》，明确将《幼儿诚信教育画册》纳入德育教育全过程，同时，组织各银行业金融机构与各市县教育局、教工委建立和深化诚信教育合作机制，签订银教信用培育合作协议，以征信教育进校园、征信知识进党校等活动，形成银行培育教师，教师辅导学生的传导机制，并通过创建金融诚信实践基地，为各中小学校师生提供课外诚信实践场所，促进一市五县98所中小学校及105所幼儿园创新教育“银教”合作实现全覆盖。</w:t>
            </w:r>
          </w:p>
        </w:tc>
      </w:tr>
    </w:tbl>
    <w:p w14:paraId="369BA1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C0218"/>
    <w:rsid w:val="BFDC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2025-12-09T15:30:00Z</dcterms:created>
  <dc:creator>QuandlFinance武利鑫</dc:creator>
  <cp:lastModifiedBy>QuandlFinance武利鑫</cp:lastModifiedBy>
  <dcterms:modified xsi:type="dcterms:W3CDTF">2025-12-09T15:31:13Z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2B609BA6E28E67D021D03769BC496A9F_41</vt:lpwstr>
  </property>
</Properties>
</file>