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071A2A59">
        <w:trPr>
          <w:trHeight w:val="1601" w:hRule="atLeast"/>
        </w:trPr>
        <w:tc>
          <w:tcPr>
            <w:tcW w:w="0" w:type="auto"/>
            <w:shd w:val="clear"/>
            <w:vAlign w:val="center"/>
          </w:tcPr>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733E60DA">
              <w:trPr>
                <w:trHeight w:val="1100" w:hRule="atLeast"/>
                <w:jc w:val="center"/>
              </w:trPr>
              <w:tc>
                <w:tcPr>
                  <w:tcW w:w="0" w:type="auto"/>
                  <w:shd w:val="clear"/>
                  <w:vAlign w:val="center"/>
                </w:tcPr>
                <w:p w14:paraId="1B4099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color w:val="333333"/>
                      <w:sz w:val="32"/>
                      <w:szCs w:val="32"/>
                    </w:rPr>
                  </w:pPr>
                  <w:r>
                    <w:rPr>
                      <w:rFonts w:hint="eastAsia" w:ascii="宋体" w:hAnsi="宋体" w:eastAsia="宋体" w:cs="宋体"/>
                      <w:color w:val="333333"/>
                      <w:sz w:val="32"/>
                      <w:szCs w:val="32"/>
                      <w:bdr w:val="none" w:color="auto" w:sz="0" w:space="0"/>
                    </w:rPr>
                    <w:t>国家外汇管</w:t>
                  </w:r>
                  <w:bookmarkStart w:id="0" w:name="_GoBack"/>
                  <w:bookmarkEnd w:id="0"/>
                  <w:r>
                    <w:rPr>
                      <w:rFonts w:hint="eastAsia" w:ascii="宋体" w:hAnsi="宋体" w:eastAsia="宋体" w:cs="宋体"/>
                      <w:color w:val="333333"/>
                      <w:sz w:val="32"/>
                      <w:szCs w:val="32"/>
                      <w:bdr w:val="none" w:color="auto" w:sz="0" w:space="0"/>
                    </w:rPr>
                    <w:t>理局玉树藏族自治州分局:三江源头落笔金融“五篇大文章”</w:t>
                  </w:r>
                </w:p>
              </w:tc>
            </w:tr>
          </w:tbl>
          <w:p w14:paraId="0F05921A">
            <w:pPr>
              <w:jc w:val="center"/>
              <w:rPr>
                <w:rFonts w:hint="eastAsia" w:ascii="宋体" w:hAnsi="宋体" w:eastAsia="宋体" w:cs="宋体"/>
                <w:i w:val="0"/>
                <w:iCs w:val="0"/>
                <w:caps w:val="0"/>
                <w:color w:val="666666"/>
                <w:spacing w:val="0"/>
                <w:sz w:val="24"/>
                <w:szCs w:val="24"/>
                <w:u w:val="none"/>
              </w:rPr>
            </w:pPr>
          </w:p>
        </w:tc>
      </w:tr>
    </w:tbl>
    <w:p w14:paraId="73D79666">
      <w:pPr>
        <w:rPr>
          <w:vanish/>
          <w:sz w:val="24"/>
          <w:szCs w:val="24"/>
        </w:rPr>
      </w:pPr>
    </w:p>
    <w:tbl>
      <w:tblPr>
        <w:tblW w:w="4500" w:type="pct"/>
        <w:tblInd w:w="0" w:type="dxa"/>
        <w:tblBorders>
          <w:top w:val="single" w:color="CCCCCC" w:sz="8" w:space="0"/>
          <w:left w:val="none" w:color="auto" w:sz="0" w:space="0"/>
          <w:bottom w:val="single" w:color="CCCCCC" w:sz="8"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
        <w:gridCol w:w="10"/>
        <w:gridCol w:w="3957"/>
        <w:gridCol w:w="3498"/>
      </w:tblGrid>
      <w:tr w14:paraId="007B5967">
        <w:trPr>
          <w:trHeight w:val="520" w:hRule="atLeast"/>
        </w:trPr>
        <w:tc>
          <w:tcPr>
            <w:tcW w:w="0" w:type="auto"/>
            <w:shd w:val="clear"/>
            <w:vAlign w:val="center"/>
          </w:tcPr>
          <w:p w14:paraId="69C1EC2C">
            <w:pPr>
              <w:jc w:val="left"/>
              <w:rPr>
                <w:rFonts w:hint="eastAsia" w:ascii="宋体" w:hAnsi="宋体" w:eastAsia="宋体" w:cs="宋体"/>
                <w:i w:val="0"/>
                <w:iCs w:val="0"/>
                <w:caps w:val="0"/>
                <w:color w:val="666666"/>
                <w:spacing w:val="0"/>
                <w:sz w:val="24"/>
                <w:szCs w:val="24"/>
                <w:u w:val="none"/>
              </w:rPr>
            </w:pPr>
          </w:p>
        </w:tc>
        <w:tc>
          <w:tcPr>
            <w:tcW w:w="0" w:type="auto"/>
            <w:shd w:val="clear"/>
            <w:vAlign w:val="center"/>
          </w:tcPr>
          <w:p w14:paraId="547B36B1">
            <w:pPr>
              <w:keepNext w:val="0"/>
              <w:keepLines w:val="0"/>
              <w:widowControl/>
              <w:suppressLineNumbers w:val="0"/>
              <w:spacing w:before="0" w:beforeAutospacing="0" w:after="0" w:afterAutospacing="0"/>
              <w:ind w:left="0" w:right="0"/>
              <w:jc w:val="left"/>
              <w:rPr>
                <w:rFonts w:hint="eastAsia" w:ascii="宋体" w:hAnsi="宋体" w:eastAsia="宋体" w:cs="宋体"/>
                <w:i w:val="0"/>
                <w:iCs w:val="0"/>
                <w:caps w:val="0"/>
                <w:color w:val="666666"/>
                <w:spacing w:val="0"/>
                <w:sz w:val="24"/>
                <w:szCs w:val="24"/>
                <w:u w:val="none"/>
              </w:rPr>
            </w:pPr>
          </w:p>
        </w:tc>
        <w:tc>
          <w:tcPr>
            <w:tcW w:w="0" w:type="auto"/>
            <w:shd w:val="clear"/>
            <w:vAlign w:val="center"/>
          </w:tcPr>
          <w:p w14:paraId="779AD13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666666"/>
                <w:spacing w:val="0"/>
                <w:sz w:val="24"/>
                <w:szCs w:val="24"/>
                <w:u w:val="none"/>
              </w:rPr>
            </w:pPr>
            <w:r>
              <w:rPr>
                <w:rFonts w:hint="eastAsia" w:ascii="宋体" w:hAnsi="宋体" w:eastAsia="宋体" w:cs="宋体"/>
                <w:i w:val="0"/>
                <w:iCs w:val="0"/>
                <w:caps w:val="0"/>
                <w:color w:val="666666"/>
                <w:spacing w:val="0"/>
                <w:kern w:val="0"/>
                <w:sz w:val="24"/>
                <w:szCs w:val="24"/>
                <w:u w:val="none"/>
                <w:bdr w:val="none" w:color="auto" w:sz="0" w:space="0"/>
                <w:lang w:val="en-US" w:eastAsia="zh-CN" w:bidi="ar"/>
              </w:rPr>
              <w:t>文章来源：青海省分行</w:t>
            </w:r>
          </w:p>
        </w:tc>
        <w:tc>
          <w:tcPr>
            <w:tcW w:w="0" w:type="auto"/>
            <w:shd w:val="clear"/>
            <w:vAlign w:val="center"/>
          </w:tcPr>
          <w:p w14:paraId="723E110C">
            <w:pPr>
              <w:keepNext w:val="0"/>
              <w:keepLines w:val="0"/>
              <w:widowControl/>
              <w:suppressLineNumbers w:val="0"/>
              <w:spacing w:before="0" w:beforeAutospacing="0" w:after="0" w:afterAutospacing="0"/>
              <w:ind w:left="0" w:right="0"/>
              <w:jc w:val="right"/>
              <w:rPr>
                <w:rFonts w:hint="eastAsia" w:ascii="宋体" w:hAnsi="宋体" w:eastAsia="宋体" w:cs="宋体"/>
                <w:i w:val="0"/>
                <w:iCs w:val="0"/>
                <w:caps w:val="0"/>
                <w:color w:val="666666"/>
                <w:spacing w:val="0"/>
                <w:sz w:val="24"/>
                <w:szCs w:val="24"/>
                <w:u w:val="none"/>
              </w:rPr>
            </w:pPr>
            <w:r>
              <w:rPr>
                <w:rFonts w:hint="eastAsia" w:ascii="宋体" w:hAnsi="宋体" w:eastAsia="宋体" w:cs="宋体"/>
                <w:i w:val="0"/>
                <w:iCs w:val="0"/>
                <w:caps w:val="0"/>
                <w:color w:val="666666"/>
                <w:spacing w:val="0"/>
                <w:kern w:val="0"/>
                <w:sz w:val="24"/>
                <w:szCs w:val="24"/>
                <w:u w:val="none"/>
                <w:bdr w:val="none" w:color="auto" w:sz="0" w:space="0"/>
                <w:lang w:val="en-US" w:eastAsia="zh-CN" w:bidi="ar"/>
              </w:rPr>
              <w:t>2025-08-22 16:07:00</w:t>
            </w:r>
          </w:p>
        </w:tc>
      </w:tr>
    </w:tbl>
    <w:p w14:paraId="36054F4C">
      <w:pPr>
        <w:rPr>
          <w:vanish/>
          <w:sz w:val="24"/>
          <w:szCs w:val="24"/>
        </w:rPr>
      </w:pPr>
    </w:p>
    <w:p w14:paraId="3BCE3187">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475"/>
      </w:tblGrid>
      <w:tr w14:paraId="797069DD">
        <w:tc>
          <w:tcPr>
            <w:tcW w:w="0" w:type="auto"/>
            <w:shd w:val="clear"/>
            <w:vAlign w:val="top"/>
          </w:tcPr>
          <w:p w14:paraId="4DA5DB31">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2025年以来，国家外汇管理局玉树藏族自治州分局夯基础、抓落实、强推动，靠前一步统领全州金融机构积极开展外汇金融服务。，顺利实现了外汇金融服务加持下全州金融“五篇大文章”工作开展更具质量、更有开放性。在外汇金融服务加持下，全州金融“五篇大文章”工作开展更具质量、更有开放性。</w:t>
            </w:r>
          </w:p>
          <w:p w14:paraId="1D8C6111">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积极开通外贸企业人民币服务“直通车”。该局召开“金融服务重点领域发展调度会”，制发跨境金融服务平台宣传册、跨境金融服务联络卡等宣传素材，组织全州金融机构聚焦外贸企业金融服务需求，强化金融优惠政策宣传，积极提供跨境人民币结算服务，助力优质外贸企业健康发展。2025年上半年，辖区金融机构为3家涉外主体办理跨境人民币业务3笔，涉及人民币200余万元，顺利实现了辖区跨境人民币业务办理“零突破”。</w:t>
            </w:r>
          </w:p>
          <w:p w14:paraId="07C3016E">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我们玉树有丰富多层的涉外经营主体，与尼泊尔、印度、阿根廷等国家在牛肉、冬虫夏草、佛像、藏毯、民族服装等领域有多年的外贸合作关系，以前，外贸企业只能在省级银行办理跨境人民币结算业务，十分不便我们州上的外贸企业只能在省级银行办理跨境人民币结算业务，这对我们造成了很大困难，自从国家外汇局玉树藏族自治州分局外汇局玉树州分局成立后，我们辖区的外贸企业就可以直接在本地银行办理涉外账户开立、资金结算、政策咨询等业务，这为我们开展外贸业务提供了方便这对我们企业以后开展外贸业务提供了方便，我自己的们企业也是在今年6月份通过中国银行玉树支行办理了1笔境外汇出业务，有了这些便利化条件，我们对以后的企业健康发展更有激情和信心”，玉树州尼泊尔商会会长洛松尼尕介绍到。</w:t>
            </w:r>
          </w:p>
          <w:p w14:paraId="00719E95">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国家外汇局玉树藏族自治州分局持续发挥金融对涉外企业的“输血造血”功能。外汇局玉树州分局联合玉树州财政局等部门联合印发了《玉树州做好金融“五篇大文章”实施方案》，要求全州金融机构积极落实优质企业贸易便利化政策措施，立足曲麻莱县“绿色金融”示范点建设持续加大绿色畜牧业企业信贷支持力度，积极助力全州“高原绿色有机农畜产品输出地”建设目标。在国家外汇局玉树藏族自治州分局外汇局玉树州分局的宏观指导下，辖区金融机构对玉树市塘隆雅卓商贸有限责任公司、玉树市现代雅鲁藏布进出口贸易有限公司、玉树卓梅仓药材贸易有限公司等15家涉外企业开展了金融服务专项走访对接，为8家涉外企业解决融资需求1807万元。</w:t>
            </w:r>
          </w:p>
          <w:p w14:paraId="006B28E9">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积极搭建全方位涉外金融服务新格局。该局紧紧围绕玉树州打造“国际生态旅游目的地”发展目标，建立了“线上+线下”“涉外酒店+银行网点”“州府所在地+县域”全方位服务格局，组织辖区金融机构积极利用中尼建交70周年商贸文化交流、玉树州传统赛马会、高原野生动物摄影展等活动提供个人经常项目结售汇服务，全力满足境外来华游客金融需求。截至目前，辖区金融机构为各类社会公众累计办理个人结售汇业务110余笔，涉及人民币150余万元。</w:t>
            </w:r>
          </w:p>
        </w:tc>
      </w:tr>
    </w:tbl>
    <w:p w14:paraId="6E26425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FF3794"/>
    <w:rsid w:val="DBFF3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2025-12-09T15:31:00Z</dcterms:created>
  <dc:creator>QuandlFinance武利鑫</dc:creator>
  <cp:lastModifiedBy>QuandlFinance武利鑫</cp:lastModifiedBy>
  <dcterms:modified xsi:type="dcterms:W3CDTF">2025-12-09T15:32:15Z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44BCA6DA468368F25CD03769A22FD09F_41</vt:lpwstr>
  </property>
</Properties>
</file>