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E0A92">
      <w:pPr>
        <w:autoSpaceDE w:val="0"/>
        <w:spacing w:line="480" w:lineRule="exact"/>
        <w:rPr>
          <w:rFonts w:ascii="Times New Roman" w:hAnsi="Times New Roman" w:eastAsia="方正仿宋" w:cs="Times New Roman"/>
          <w:sz w:val="32"/>
          <w:szCs w:val="32"/>
        </w:rPr>
      </w:pPr>
      <w:bookmarkStart w:id="0" w:name="_Hlk122363467"/>
      <w:bookmarkEnd w:id="0"/>
    </w:p>
    <w:p w14:paraId="1CA84248">
      <w:pPr>
        <w:keepNext/>
        <w:keepLines/>
        <w:autoSpaceDE w:val="0"/>
        <w:spacing w:before="340" w:after="330" w:line="480" w:lineRule="exact"/>
        <w:jc w:val="center"/>
        <w:outlineLvl w:val="0"/>
        <w:rPr>
          <w:rFonts w:ascii="方正小标宋简体" w:hAnsi="Times New Roman" w:eastAsia="方正小标宋简体" w:cs="Times New Roman"/>
          <w:sz w:val="44"/>
          <w:szCs w:val="44"/>
        </w:rPr>
      </w:pPr>
      <w:r>
        <w:rPr>
          <w:rFonts w:hint="eastAsia" w:ascii="方正小标宋简体" w:hAnsi="Times New Roman" w:eastAsia="方正小标宋简体" w:cs="Times New Roman"/>
          <w:sz w:val="44"/>
          <w:szCs w:val="44"/>
        </w:rPr>
        <w:t>青海民族大学</w:t>
      </w:r>
    </w:p>
    <w:p w14:paraId="7E038351">
      <w:pPr>
        <w:widowControl/>
        <w:autoSpaceDE w:val="0"/>
        <w:spacing w:line="480" w:lineRule="exact"/>
        <w:jc w:val="center"/>
        <w:rPr>
          <w:rFonts w:ascii="方正小标宋简体" w:hAnsi="Times New Roman" w:eastAsia="方正小标宋简体" w:cs="Times New Roman"/>
          <w:sz w:val="44"/>
          <w:szCs w:val="44"/>
        </w:rPr>
      </w:pPr>
      <w:r>
        <w:rPr>
          <w:rFonts w:hint="eastAsia" w:ascii="方正小标宋简体" w:hAnsi="Times New Roman" w:eastAsia="方正小标宋简体" w:cs="Times New Roman"/>
          <w:sz w:val="44"/>
          <w:szCs w:val="44"/>
        </w:rPr>
        <w:t>研究生课程论文/调研报告评分表</w:t>
      </w:r>
    </w:p>
    <w:p w14:paraId="67D1BF59">
      <w:pPr>
        <w:widowControl/>
        <w:autoSpaceDE w:val="0"/>
        <w:spacing w:line="480" w:lineRule="exact"/>
        <w:jc w:val="center"/>
        <w:rPr>
          <w:rFonts w:ascii="方正小标宋简体" w:hAnsi="Times New Roman" w:eastAsia="方正小标宋简体" w:cs="Times New Roman"/>
          <w:sz w:val="44"/>
          <w:szCs w:val="44"/>
        </w:rPr>
      </w:pPr>
      <w:r>
        <w:rPr>
          <w:rFonts w:hint="eastAsia" w:ascii="方正小标宋简体" w:hAnsi="Times New Roman" w:eastAsia="方正小标宋简体" w:cs="Times New Roman"/>
          <w:sz w:val="44"/>
          <w:szCs w:val="44"/>
        </w:rPr>
        <w:t xml:space="preserve"> </w:t>
      </w:r>
    </w:p>
    <w:p w14:paraId="74A69C29">
      <w:pPr>
        <w:widowControl/>
        <w:autoSpaceDE w:val="0"/>
        <w:spacing w:line="480" w:lineRule="exact"/>
        <w:rPr>
          <w:rFonts w:ascii="仿宋_GB2312" w:hAnsi="Times New Roman" w:eastAsia="仿宋_GB2312" w:cs="Times New Roman"/>
          <w:b/>
          <w:bCs/>
          <w:spacing w:val="6"/>
          <w:sz w:val="32"/>
          <w:szCs w:val="32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2"/>
          <w:szCs w:val="32"/>
        </w:rPr>
        <w:t>论</w:t>
      </w:r>
      <w:r>
        <w:rPr>
          <w:rFonts w:hint="eastAsia" w:ascii="仿宋_GB2312" w:hAnsi="Times New Roman" w:eastAsia="仿宋_GB2312" w:cs="Times New Roman"/>
          <w:b/>
          <w:bCs/>
          <w:spacing w:val="4"/>
          <w:sz w:val="32"/>
          <w:szCs w:val="32"/>
        </w:rPr>
        <w:t>文</w:t>
      </w:r>
      <w:r>
        <w:rPr>
          <w:rFonts w:hint="eastAsia" w:ascii="仿宋_GB2312" w:hAnsi="Times New Roman" w:eastAsia="仿宋_GB2312" w:cs="Times New Roman"/>
          <w:b/>
          <w:bCs/>
          <w:spacing w:val="-3"/>
          <w:sz w:val="32"/>
          <w:szCs w:val="32"/>
        </w:rPr>
        <w:t>/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</w:rPr>
        <w:t>调研报告题</w:t>
      </w:r>
      <w:r>
        <w:rPr>
          <w:rFonts w:hint="eastAsia" w:ascii="仿宋_GB2312" w:hAnsi="Times New Roman" w:eastAsia="仿宋_GB2312" w:cs="Times New Roman"/>
          <w:b/>
          <w:bCs/>
          <w:spacing w:val="6"/>
          <w:sz w:val="32"/>
          <w:szCs w:val="32"/>
        </w:rPr>
        <w:t>目</w:t>
      </w:r>
      <w:r>
        <w:rPr>
          <w:rFonts w:hint="eastAsia" w:ascii="仿宋_GB2312" w:hAnsi="Times New Roman" w:eastAsia="仿宋_GB2312" w:cs="Times New Roman"/>
          <w:b/>
          <w:bCs/>
          <w:spacing w:val="6"/>
          <w:sz w:val="32"/>
          <w:szCs w:val="32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pacing w:val="6"/>
          <w:sz w:val="32"/>
          <w:szCs w:val="32"/>
          <w:u w:val="single"/>
          <w:lang w:val="en-US" w:eastAsia="zh-CN"/>
        </w:rPr>
        <w:t xml:space="preserve"> 金融赋能产业转型与农牧民增收：基于玉树州2015–2023年数据的农牧区金融支持路径研究</w:t>
      </w:r>
      <w:r>
        <w:rPr>
          <w:rFonts w:ascii="仿宋_GB2312" w:hAnsi="Times New Roman" w:eastAsia="仿宋_GB2312" w:cs="Times New Roman"/>
          <w:b/>
          <w:bCs/>
          <w:spacing w:val="6"/>
          <w:sz w:val="32"/>
          <w:szCs w:val="32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pacing w:val="6"/>
          <w:sz w:val="32"/>
          <w:szCs w:val="32"/>
          <w:u w:val="single"/>
        </w:rPr>
        <w:t xml:space="preserve">                  </w:t>
      </w:r>
    </w:p>
    <w:p w14:paraId="36C1C123">
      <w:pPr>
        <w:widowControl/>
        <w:autoSpaceDE w:val="0"/>
        <w:spacing w:line="480" w:lineRule="exact"/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2"/>
          <w:szCs w:val="32"/>
        </w:rPr>
        <w:t>课程名称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           《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  <w:lang w:val="en-US" w:eastAsia="zh-CN"/>
        </w:rPr>
        <w:t>农村牧区金融》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      </w:t>
      </w:r>
      <w:r>
        <w:rPr>
          <w:rFonts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   </w:t>
      </w:r>
      <w:r>
        <w:rPr>
          <w:rFonts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</w:rPr>
        <w:t xml:space="preserve">  </w:t>
      </w:r>
    </w:p>
    <w:p w14:paraId="3F32F788">
      <w:pPr>
        <w:widowControl/>
        <w:autoSpaceDE w:val="0"/>
        <w:spacing w:line="480" w:lineRule="exact"/>
        <w:rPr>
          <w:rFonts w:hint="eastAsia" w:ascii="仿宋_GB2312" w:hAnsi="Times New Roman" w:eastAsia="仿宋_GB2312" w:cs="Times New Roman"/>
          <w:b/>
          <w:bCs/>
          <w:sz w:val="32"/>
          <w:szCs w:val="32"/>
          <w:u w:val="single"/>
          <w:lang w:eastAsia="zh-CN"/>
        </w:rPr>
      </w:pPr>
    </w:p>
    <w:tbl>
      <w:tblPr>
        <w:tblStyle w:val="8"/>
        <w:tblW w:w="0" w:type="auto"/>
        <w:tblInd w:w="1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2966"/>
        <w:gridCol w:w="1307"/>
        <w:gridCol w:w="3064"/>
      </w:tblGrid>
      <w:tr w14:paraId="2C82E8D1">
        <w:trPr>
          <w:trHeight w:val="386" w:hRule="atLeast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421B3973">
            <w:pPr>
              <w:autoSpaceDE w:val="0"/>
              <w:spacing w:line="480" w:lineRule="exact"/>
              <w:ind w:left="50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姓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2977D389">
            <w:pPr>
              <w:autoSpaceDE w:val="0"/>
              <w:spacing w:line="480" w:lineRule="exact"/>
              <w:ind w:right="1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pacing w:val="4"/>
                <w:sz w:val="32"/>
                <w:szCs w:val="32"/>
              </w:rPr>
              <w:t>名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 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>武利鑫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         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74FAF1AD">
            <w:pPr>
              <w:autoSpaceDE w:val="0"/>
              <w:spacing w:line="480" w:lineRule="exact"/>
              <w:ind w:right="69" w:firstLine="321" w:firstLineChars="100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学号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</w:tcPr>
          <w:p w14:paraId="5A1681EB">
            <w:pPr>
              <w:autoSpaceDE w:val="0"/>
              <w:spacing w:line="480" w:lineRule="exact"/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 xml:space="preserve">  2024360284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   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</w:p>
        </w:tc>
      </w:tr>
      <w:tr w14:paraId="7B7353CE">
        <w:trPr>
          <w:trHeight w:val="420" w:hRule="atLeast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352A689A">
            <w:pPr>
              <w:autoSpaceDE w:val="0"/>
              <w:spacing w:line="480" w:lineRule="exact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专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36FBAB25">
            <w:pPr>
              <w:autoSpaceDE w:val="0"/>
              <w:spacing w:line="480" w:lineRule="exact"/>
              <w:ind w:right="1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pacing w:val="4"/>
                <w:sz w:val="32"/>
                <w:szCs w:val="32"/>
              </w:rPr>
              <w:t>业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 xml:space="preserve">金融专硕  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6FE1840E">
            <w:pPr>
              <w:autoSpaceDE w:val="0"/>
              <w:spacing w:line="480" w:lineRule="exact"/>
              <w:ind w:right="69" w:firstLine="321" w:firstLineChars="100"/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年级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</w:tcPr>
          <w:p w14:paraId="3993F037">
            <w:pPr>
              <w:autoSpaceDE w:val="0"/>
              <w:spacing w:before="19" w:line="480" w:lineRule="exact"/>
              <w:ind w:left="70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   202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>4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级      </w:t>
            </w:r>
          </w:p>
        </w:tc>
      </w:tr>
      <w:tr w14:paraId="3917DB99">
        <w:trPr>
          <w:trHeight w:val="386" w:hRule="atLeast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12630046">
            <w:pPr>
              <w:autoSpaceDE w:val="0"/>
              <w:spacing w:line="480" w:lineRule="exact"/>
              <w:ind w:left="50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学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</w:tcPr>
          <w:p w14:paraId="7B0E2969">
            <w:pPr>
              <w:autoSpaceDE w:val="0"/>
              <w:spacing w:line="480" w:lineRule="exact"/>
              <w:ind w:right="1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pacing w:val="4"/>
                <w:sz w:val="32"/>
                <w:szCs w:val="32"/>
              </w:rPr>
              <w:t>院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经济与管理学院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695792E2">
            <w:pPr>
              <w:autoSpaceDE w:val="0"/>
              <w:spacing w:line="480" w:lineRule="exact"/>
              <w:ind w:right="69"/>
              <w:jc w:val="center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</w:rPr>
              <w:t>日期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</w:tcPr>
          <w:p w14:paraId="5FAADE1D">
            <w:pPr>
              <w:autoSpaceDE w:val="0"/>
              <w:spacing w:before="19" w:line="480" w:lineRule="exact"/>
              <w:ind w:left="70"/>
              <w:rPr>
                <w:rFonts w:ascii="仿宋_GB2312" w:hAnsi="Microsoft JhengHei" w:eastAsia="仿宋_GB2312" w:cs="Times New Roman"/>
                <w:b/>
                <w:sz w:val="32"/>
                <w:szCs w:val="32"/>
              </w:rPr>
            </w:pP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>202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>6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>年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>1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>月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  <w:lang w:val="en-US" w:eastAsia="zh-CN"/>
              </w:rPr>
              <w:t>4</w:t>
            </w:r>
            <w:r>
              <w:rPr>
                <w:rFonts w:hint="eastAsia"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>日</w:t>
            </w:r>
            <w:r>
              <w:rPr>
                <w:rFonts w:ascii="仿宋_GB2312" w:hAnsi="Microsoft JhengHei" w:eastAsia="仿宋_GB2312" w:cs="Times New Roman"/>
                <w:b/>
                <w:sz w:val="32"/>
                <w:szCs w:val="32"/>
                <w:u w:val="single"/>
              </w:rPr>
              <w:t xml:space="preserve">  </w:t>
            </w:r>
          </w:p>
        </w:tc>
      </w:tr>
    </w:tbl>
    <w:p w14:paraId="635046FC">
      <w:pPr>
        <w:autoSpaceDE w:val="0"/>
        <w:spacing w:line="480" w:lineRule="exact"/>
        <w:jc w:val="left"/>
        <w:rPr>
          <w:rFonts w:ascii="Times New Roman" w:hAnsi="Times New Roman" w:eastAsia="方正仿宋" w:cs="Times New Roman"/>
          <w:b/>
          <w:sz w:val="32"/>
          <w:szCs w:val="32"/>
        </w:rPr>
      </w:pPr>
      <w:r>
        <w:rPr>
          <w:rFonts w:ascii="Times New Roman" w:hAnsi="Times New Roman" w:eastAsia="方正仿宋" w:cs="Times New Roman"/>
          <w:b/>
          <w:sz w:val="32"/>
          <w:szCs w:val="32"/>
        </w:rPr>
        <w:t>.................................................</w:t>
      </w:r>
    </w:p>
    <w:p w14:paraId="19C0198D">
      <w:pPr>
        <w:widowControl/>
        <w:autoSpaceDE w:val="0"/>
        <w:spacing w:line="480" w:lineRule="exac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kern w:val="0"/>
          <w:sz w:val="30"/>
          <w:szCs w:val="30"/>
        </w:rPr>
        <w:t xml:space="preserve"> </w:t>
      </w:r>
    </w:p>
    <w:p w14:paraId="79A0EE31">
      <w:pPr>
        <w:autoSpaceDE w:val="0"/>
        <w:spacing w:before="18" w:after="11" w:line="480" w:lineRule="exact"/>
        <w:ind w:right="38"/>
        <w:jc w:val="center"/>
        <w:rPr>
          <w:rFonts w:ascii="宋体" w:hAnsi="Times New Roman" w:eastAsia="方正仿宋" w:cs="Times New Roman"/>
          <w:sz w:val="24"/>
          <w:szCs w:val="24"/>
        </w:rPr>
      </w:pPr>
      <w:r>
        <w:rPr>
          <w:rFonts w:ascii="宋体" w:hAnsi="宋体" w:eastAsia="方正仿宋" w:cs="Times New Roman"/>
          <w:sz w:val="24"/>
          <w:szCs w:val="24"/>
        </w:rPr>
        <w:t>(</w:t>
      </w:r>
      <w:r>
        <w:rPr>
          <w:rFonts w:hint="eastAsia" w:ascii="宋体" w:hAnsi="宋体" w:eastAsia="方正仿宋" w:cs="宋体"/>
          <w:sz w:val="24"/>
          <w:szCs w:val="24"/>
        </w:rPr>
        <w:t>以下内容由任课老师填写</w:t>
      </w:r>
      <w:r>
        <w:rPr>
          <w:rFonts w:ascii="宋体" w:hAnsi="宋体" w:eastAsia="方正仿宋" w:cs="Times New Roman"/>
          <w:sz w:val="24"/>
          <w:szCs w:val="24"/>
        </w:rPr>
        <w:t>)</w:t>
      </w:r>
    </w:p>
    <w:tbl>
      <w:tblPr>
        <w:tblStyle w:val="8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2"/>
      </w:tblGrid>
      <w:tr w14:paraId="55C30301">
        <w:trPr>
          <w:trHeight w:val="4400" w:hRule="atLeast"/>
        </w:trPr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EC1F1">
            <w:pPr>
              <w:widowControl/>
              <w:autoSpaceDE w:val="0"/>
              <w:spacing w:line="480" w:lineRule="exact"/>
              <w:ind w:firstLine="3600" w:firstLineChars="1200"/>
              <w:rPr>
                <w:rFonts w:ascii="仿宋_GB2312" w:hAnsi="Times New Roman"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30"/>
                <w:szCs w:val="30"/>
              </w:rPr>
              <w:t>（评语）</w:t>
            </w:r>
          </w:p>
        </w:tc>
      </w:tr>
      <w:tr w14:paraId="3E8902BB">
        <w:trPr>
          <w:trHeight w:val="560" w:hRule="atLeast"/>
        </w:trPr>
        <w:tc>
          <w:tcPr>
            <w:tcW w:w="4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73001">
            <w:pPr>
              <w:widowControl/>
              <w:autoSpaceDE w:val="0"/>
              <w:spacing w:line="480" w:lineRule="exact"/>
              <w:rPr>
                <w:rFonts w:ascii="仿宋_GB2312" w:hAnsi="Times New Roman" w:eastAsia="仿宋_GB2312" w:cs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color w:val="000000"/>
                <w:kern w:val="0"/>
                <w:sz w:val="30"/>
                <w:szCs w:val="30"/>
              </w:rPr>
              <w:t>评阅教师签名</w:t>
            </w:r>
          </w:p>
          <w:p w14:paraId="6CD96CC1">
            <w:pPr>
              <w:widowControl/>
              <w:autoSpaceDE w:val="0"/>
              <w:spacing w:line="480" w:lineRule="exact"/>
              <w:rPr>
                <w:rFonts w:ascii="仿宋_GB2312" w:hAnsi="Times New Roman"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color w:val="000000"/>
                <w:kern w:val="0"/>
                <w:sz w:val="30"/>
                <w:szCs w:val="30"/>
              </w:rPr>
              <w:t xml:space="preserve">               年  月  日</w:t>
            </w:r>
          </w:p>
        </w:tc>
        <w:tc>
          <w:tcPr>
            <w:tcW w:w="4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E1282">
            <w:pPr>
              <w:widowControl/>
              <w:autoSpaceDE w:val="0"/>
              <w:spacing w:line="480" w:lineRule="exact"/>
              <w:rPr>
                <w:rFonts w:ascii="仿宋_GB2312" w:hAnsi="Times New Roman"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color w:val="000000"/>
                <w:kern w:val="0"/>
                <w:sz w:val="30"/>
                <w:szCs w:val="30"/>
              </w:rPr>
              <w:t>得分：</w:t>
            </w:r>
          </w:p>
        </w:tc>
      </w:tr>
    </w:tbl>
    <w:p w14:paraId="293AA35D">
      <w:pPr>
        <w:widowControl/>
        <w:autoSpaceDE w:val="0"/>
        <w:spacing w:line="480" w:lineRule="exac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</w:p>
    <w:p w14:paraId="666CCB13">
      <w:pPr>
        <w:widowControl/>
        <w:spacing w:line="440" w:lineRule="exact"/>
        <w:rPr>
          <w:rFonts w:hint="eastAsia" w:ascii="仿宋_GB2312" w:eastAsia="仿宋_GB2312" w:cs="仿宋_GB2312"/>
          <w:color w:val="000000"/>
          <w:kern w:val="0"/>
          <w:sz w:val="30"/>
          <w:szCs w:val="30"/>
          <w:highlight w:val="red"/>
          <w:lang w:bidi="ar"/>
        </w:rPr>
      </w:pPr>
    </w:p>
    <w:p w14:paraId="42F5215A">
      <w:pPr>
        <w:widowControl/>
        <w:spacing w:line="440" w:lineRule="exact"/>
        <w:rPr>
          <w:rFonts w:hint="eastAsia" w:ascii="仿宋_GB2312" w:eastAsia="仿宋_GB2312" w:cs="仿宋_GB2312"/>
          <w:color w:val="000000"/>
          <w:kern w:val="0"/>
          <w:sz w:val="30"/>
          <w:szCs w:val="30"/>
          <w:lang w:bidi="ar"/>
        </w:rPr>
        <w:sectPr>
          <w:pgSz w:w="11906" w:h="16838"/>
          <w:pgMar w:top="1417" w:right="1701" w:bottom="1417" w:left="1701" w:header="851" w:footer="992" w:gutter="0"/>
          <w:cols w:space="425" w:num="1"/>
          <w:docGrid w:type="lines" w:linePitch="312" w:charSpace="0"/>
        </w:sectPr>
      </w:pPr>
    </w:p>
    <w:p w14:paraId="4D517FD4">
      <w:pPr>
        <w:widowControl/>
        <w:spacing w:line="440" w:lineRule="exact"/>
        <w:rPr>
          <w:rFonts w:hint="eastAsia" w:ascii="仿宋_GB2312" w:eastAsia="仿宋_GB2312" w:cs="仿宋_GB2312"/>
          <w:color w:val="000000"/>
          <w:kern w:val="0"/>
          <w:sz w:val="30"/>
          <w:szCs w:val="30"/>
          <w:lang w:bidi="ar"/>
        </w:rPr>
      </w:pPr>
    </w:p>
    <w:p w14:paraId="25553E0C">
      <w:pPr>
        <w:tabs>
          <w:tab w:val="left" w:pos="3393"/>
        </w:tabs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351494EF">
      <w:pPr>
        <w:tabs>
          <w:tab w:val="left" w:pos="3393"/>
        </w:tabs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75C94C11">
      <w:pPr>
        <w:tabs>
          <w:tab w:val="left" w:pos="3393"/>
        </w:tabs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286F6CBC">
      <w:pPr>
        <w:tabs>
          <w:tab w:val="left" w:pos="3393"/>
        </w:tabs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说明</w:t>
      </w:r>
    </w:p>
    <w:p w14:paraId="33E37601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1.课程论文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（设计）、调研（实验）报告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要有题目、作者姓名、摘要、关键词、正文及参考文献。格式规范可参考《青海民族大学研究生论文编写规范》。</w:t>
      </w:r>
    </w:p>
    <w:p w14:paraId="723467DD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2.课程论文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（设计）、调研（实验）报告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应为本人原创撰写，研究生院将随机抽查各学院课程论文并进行复制比检测，如发现论文是从网上下载或者抄袭剽窃他人文章的，按作弊处理，本门课程考核成绩计为0分，随下一年级重修。</w:t>
      </w:r>
    </w:p>
    <w:p w14:paraId="6E2F8D20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3.课程论文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（设计）、调研（实验）报告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应提交纸质版，任课教师进行评阅并打分后，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与其他考核材料一并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提交学院归档保存。</w:t>
      </w:r>
    </w:p>
    <w:p w14:paraId="77998136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4.课程论文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（设计）、调研（实验）报告</w:t>
      </w:r>
      <w:r>
        <w:rPr>
          <w:rFonts w:hint="eastAsia" w:ascii="仿宋_GB2312" w:hAnsi="仿宋_GB2312" w:eastAsia="仿宋_GB2312" w:cs="仿宋_GB2312"/>
          <w:sz w:val="32"/>
          <w:szCs w:val="32"/>
        </w:rPr>
        <w:t>题目、篇幅、内容等由任课教师做出具体要求。</w:t>
      </w:r>
    </w:p>
    <w:p w14:paraId="7B81994B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</w:p>
    <w:p w14:paraId="601A6076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</w:p>
    <w:p w14:paraId="6A343939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</w:p>
    <w:p w14:paraId="6D19FEBD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</w:p>
    <w:p w14:paraId="41C17D33">
      <w:pPr>
        <w:tabs>
          <w:tab w:val="left" w:pos="3393"/>
        </w:tabs>
        <w:rPr>
          <w:rFonts w:hint="eastAsia" w:ascii="仿宋_GB2312" w:hAnsi="仿宋_GB2312" w:eastAsia="仿宋_GB2312" w:cs="仿宋_GB2312"/>
          <w:sz w:val="32"/>
          <w:szCs w:val="32"/>
        </w:rPr>
      </w:pPr>
    </w:p>
    <w:p w14:paraId="7559DEF6">
      <w:pPr>
        <w:tabs>
          <w:tab w:val="left" w:pos="3393"/>
        </w:tabs>
        <w:rPr>
          <w:rFonts w:hint="eastAsia" w:ascii="仿宋_GB2312" w:hAnsi="仿宋_GB2312" w:eastAsia="仿宋_GB2312" w:cs="仿宋_GB2312"/>
          <w:szCs w:val="32"/>
        </w:rPr>
      </w:pPr>
    </w:p>
    <w:p w14:paraId="03082D0B">
      <w:pPr>
        <w:spacing w:line="360" w:lineRule="auto"/>
        <w:rPr>
          <w:rFonts w:hint="eastAsia" w:ascii="黑体" w:hAnsi="黑体" w:eastAsia="黑体" w:cs="黑体"/>
          <w:sz w:val="21"/>
          <w:szCs w:val="21"/>
        </w:rPr>
        <w:sectPr>
          <w:footerReference r:id="rId3" w:type="default"/>
          <w:pgSz w:w="11906" w:h="16838"/>
          <w:pgMar w:top="1417" w:right="1701" w:bottom="1417" w:left="1701" w:header="851" w:footer="992" w:gutter="0"/>
          <w:pgNumType w:start="1"/>
          <w:cols w:space="425" w:num="1"/>
          <w:docGrid w:type="lines" w:linePitch="312" w:charSpace="0"/>
        </w:sectPr>
      </w:pPr>
    </w:p>
    <w:p w14:paraId="0AAEFF10">
      <w:pPr>
        <w:spacing w:line="360" w:lineRule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摘要：</w:t>
      </w:r>
      <w:r>
        <w:rPr>
          <w:rFonts w:hint="eastAsia" w:ascii="宋体" w:hAnsi="宋体" w:eastAsia="宋体" w:cs="宋体"/>
          <w:sz w:val="21"/>
          <w:szCs w:val="21"/>
        </w:rPr>
        <w:t>本文基于玉树藏族自治州2015–2023年面板数据，聚焦“精准扶贫贷款、助业贷款、民生贷款”三类专项金融工具，系统检验其对农牧业转型升级与居民可支配收入的影响机制。研究发现：（1）金融支持的核心路径并非传统“第一产业向第二产业跃迁”，而是推动第一产业内部现代化——表现为牲畜商品化率提升、种植结构多元化与单产效率增长；（2）三类贷款存在显著协同效应，精准扶贫贷款解决“启动资金”瓶颈，助业贷款支撑“规模扩张”，民生贷款缓解“预防性储蓄”动机，三者合力使牧民人均可支配收入年均增长8.7%；（3）疫情冲击下，金融支持的逆周期调节作用凸显——贷款/GDP每提升1个百分点，可抵消疫情对产业升级速度的负面影响0.02个百分点。本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sz w:val="21"/>
          <w:szCs w:val="21"/>
        </w:rPr>
        <w:t>金融赋能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产业</w:t>
      </w:r>
      <w:r>
        <w:rPr>
          <w:rFonts w:hint="eastAsia" w:ascii="宋体" w:hAnsi="宋体" w:eastAsia="宋体" w:cs="宋体"/>
          <w:sz w:val="21"/>
          <w:szCs w:val="21"/>
        </w:rPr>
        <w:t>转型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与收入跃升路径进行研究</w:t>
      </w:r>
      <w:r>
        <w:rPr>
          <w:rFonts w:hint="eastAsia" w:ascii="宋体" w:hAnsi="宋体" w:eastAsia="宋体" w:cs="宋体"/>
          <w:sz w:val="21"/>
          <w:szCs w:val="21"/>
        </w:rPr>
        <w:t>，为高原生态功能区的乡村振兴提供新思路。</w:t>
      </w:r>
    </w:p>
    <w:p w14:paraId="3B4D4A4F">
      <w:p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关键词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金融支持；农牧业转型；商品化率；可支配收入；玉树州；乡村振兴</w:t>
      </w:r>
    </w:p>
    <w:p w14:paraId="4E9353FF">
      <w:pPr>
        <w:pStyle w:val="3"/>
        <w:bidi w:val="0"/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/>
          <w:b w:val="0"/>
          <w:bCs/>
          <w:sz w:val="28"/>
          <w:szCs w:val="22"/>
        </w:rPr>
        <w:t>一、引言</w:t>
      </w:r>
    </w:p>
    <w:p w14:paraId="34D003BA">
      <w:pPr>
        <w:spacing w:line="360" w:lineRule="auto"/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青藏高原是我国重要的生态安全屏障与战略资源储备基地，其可持续发展关乎国家全局。然而，受限于高寒缺氧、生态脆弱、产业单一等约束，高原牧区长期面临“生态保护”与“民生改善”的两难困境。2015年精准扶贫战略实施以来，金融支持被寄予厚望——通过信贷资源精准滴灌，激活内生发展动力。但一个关键问题尚未澄清：在生态红线约束下，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未来</w:t>
      </w:r>
      <w:r>
        <w:rPr>
          <w:rFonts w:hint="eastAsia" w:ascii="宋体" w:hAnsi="宋体" w:eastAsia="宋体" w:cs="宋体"/>
          <w:sz w:val="24"/>
          <w:szCs w:val="32"/>
        </w:rPr>
        <w:t>农牧区的“产业转型”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应该如何做？</w:t>
      </w:r>
    </w:p>
    <w:p w14:paraId="12D9B605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既有研究多沿袭经典发展经济学逻辑，将“产业升级”等同于“第一产业向第二、三产业跃迁”。这一范式在平原农区或具解释力，但在高原牧区却面临严峻挑战：一方面，大规模工业化违背《青藏高原生态保护法》的刚性约束；另一方面，牧民文化传统与生产技能高度依赖畜牧业，强行“非农转移”易导致生计脆弱性上升。</w:t>
      </w:r>
    </w:p>
    <w:p w14:paraId="29CF502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文以青海省玉树藏族自治州为研究样本，构建2015–2023年长面板数据，聚焦三类专项贷款（精准扶贫、助业、民生）的作用机制，提出并验证“金融赋能型内生转型”理论框架。该框架认为：高原牧区的产业转型，本质是在第一产业框架内，通过金融支持提升商品化率、技术效率与价值链地位，从而实现生态约束下的可持续增收。选择玉树州的依据在于：其一，作为三江源核心区，生态约束最为严格；其二，2015–2023年完整覆盖精准扶贫、疫情冲击、乡村振兴三阶段，政策实验价值突出；其三，数据可得性优于西藏同类地区，为实证分析提供可能。</w:t>
      </w:r>
    </w:p>
    <w:p w14:paraId="56712B6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相较于既有文献，本文贡献在于三方面：</w:t>
      </w:r>
    </w:p>
    <w:p w14:paraId="27FB0D89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第一，理论层面，修正“产业梯度转移”理论在高原的适用边界，提出“内生转型”新范式；</w:t>
      </w:r>
    </w:p>
    <w:p w14:paraId="2784CA93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第二，方法层面，结合事件研究法（ES）与中介效应模型，实证分离三类贷款的异质性效应；</w:t>
      </w:r>
    </w:p>
    <w:p w14:paraId="44C1718D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第三，政策层面，为生态功能区的金融政策设计提供精细化靶点——从“总量扩张”转向“结构优化”。</w:t>
      </w:r>
    </w:p>
    <w:p w14:paraId="057E94B5">
      <w:pPr>
        <w:pStyle w:val="3"/>
        <w:bidi w:val="0"/>
        <w:spacing w:line="360" w:lineRule="auto"/>
        <w:rPr>
          <w:rFonts w:hint="eastAsia"/>
          <w:b w:val="0"/>
          <w:bCs/>
          <w:sz w:val="28"/>
          <w:szCs w:val="22"/>
        </w:rPr>
      </w:pPr>
      <w:r>
        <w:rPr>
          <w:rFonts w:hint="eastAsia"/>
          <w:b w:val="0"/>
          <w:bCs/>
          <w:sz w:val="28"/>
          <w:szCs w:val="22"/>
        </w:rPr>
        <w:t>二、文献回顾与理论框架</w:t>
      </w:r>
    </w:p>
    <w:p w14:paraId="1509AFD7">
      <w:pPr>
        <w:pStyle w:val="4"/>
        <w:bidi w:val="0"/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（一）金融支持农牧民增收：三重演进脉络</w:t>
      </w:r>
    </w:p>
    <w:p w14:paraId="23396139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我国对高原民族地区金融支持的研究始于21世纪初，其演进可划分为三个阶段（见表1）。</w:t>
      </w:r>
    </w:p>
    <w:p w14:paraId="751010FA">
      <w:pPr>
        <w:rPr>
          <w:rFonts w:hint="eastAsia" w:ascii="宋体" w:hAnsi="宋体" w:eastAsia="宋体" w:cs="宋体"/>
          <w:sz w:val="24"/>
          <w:szCs w:val="32"/>
        </w:rPr>
      </w:pPr>
    </w:p>
    <w:p w14:paraId="45E0252D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奠基期（2005–2007）以西藏问题诊断为特征。刘伟兵（2005）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[1]</w:t>
      </w:r>
      <w:r>
        <w:rPr>
          <w:rFonts w:hint="eastAsia" w:ascii="宋体" w:hAnsi="宋体" w:eastAsia="宋体" w:cs="宋体"/>
          <w:sz w:val="24"/>
          <w:szCs w:val="32"/>
        </w:rPr>
        <w:t>、严思勃（2005）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[2]</w:t>
      </w:r>
      <w:r>
        <w:rPr>
          <w:rFonts w:hint="eastAsia" w:ascii="宋体" w:hAnsi="宋体" w:eastAsia="宋体" w:cs="宋体"/>
          <w:sz w:val="24"/>
          <w:szCs w:val="32"/>
        </w:rPr>
        <w:t>、旺堆（2005）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[4]</w:t>
      </w:r>
      <w:r>
        <w:rPr>
          <w:rFonts w:hint="eastAsia" w:ascii="宋体" w:hAnsi="宋体" w:eastAsia="宋体" w:cs="宋体"/>
          <w:sz w:val="24"/>
          <w:szCs w:val="32"/>
        </w:rPr>
        <w:t>等通过实地调研，揭示了“金融空白乡镇多、服务半径大、产品单一”三大痛点，并确立“金融可得性不足是制约增收主因”的研究范式。人民银行拉萨中心支行系列调研（2006–2007）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[5-7]</w:t>
      </w:r>
      <w:r>
        <w:rPr>
          <w:rFonts w:hint="eastAsia" w:ascii="宋体" w:hAnsi="宋体" w:eastAsia="宋体" w:cs="宋体"/>
          <w:sz w:val="24"/>
          <w:szCs w:val="32"/>
        </w:rPr>
        <w:t>进一步量化了服务缺口：2005年西藏农牧区每万人仅0.8个金融网点，远低于全国平均4.2个。</w:t>
      </w:r>
    </w:p>
    <w:p w14:paraId="09FDAEBE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拓展期（2009–2015）实现地域延伸与机制深化。宋慧（2009–2010）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[8-10]</w:t>
      </w:r>
      <w:r>
        <w:rPr>
          <w:rFonts w:hint="eastAsia" w:ascii="宋体" w:hAnsi="宋体" w:eastAsia="宋体" w:cs="宋体"/>
          <w:sz w:val="24"/>
          <w:szCs w:val="32"/>
        </w:rPr>
        <w:t>首次系统分析青海农牧区，发现牧民对生产性贷款的需求强度（占比68%）显著高于生活性贷款（32%），且偏好3–5年中长期信贷——这与农业短期周期明显不同。李波（2011）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[11]</w:t>
      </w:r>
      <w:r>
        <w:rPr>
          <w:rFonts w:hint="eastAsia" w:ascii="宋体" w:hAnsi="宋体" w:eastAsia="宋体" w:cs="宋体"/>
          <w:sz w:val="24"/>
          <w:szCs w:val="32"/>
        </w:rPr>
        <w:t>、赵燕等（2012）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[12]</w:t>
      </w:r>
      <w:r>
        <w:rPr>
          <w:rFonts w:hint="eastAsia" w:ascii="宋体" w:hAnsi="宋体" w:eastAsia="宋体" w:cs="宋体"/>
          <w:sz w:val="24"/>
          <w:szCs w:val="32"/>
        </w:rPr>
        <w:t>将研究推进至信用体系建设，提出“信用村”模式可降低信息不对称，使贷款审批通过率提升21个百分点。</w:t>
      </w:r>
    </w:p>
    <w:p w14:paraId="57F73F8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深化期（2015–2017）聚焦普惠金融与数字转型。郭振海（2014, 2015）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[14][17]</w:t>
      </w:r>
      <w:r>
        <w:rPr>
          <w:rFonts w:hint="eastAsia" w:ascii="宋体" w:hAnsi="宋体" w:eastAsia="宋体" w:cs="宋体"/>
          <w:sz w:val="24"/>
          <w:szCs w:val="32"/>
        </w:rPr>
        <w:t>、肖龙沧（2017）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[20]</w:t>
      </w:r>
      <w:r>
        <w:rPr>
          <w:rFonts w:hint="eastAsia" w:ascii="宋体" w:hAnsi="宋体" w:eastAsia="宋体" w:cs="宋体"/>
          <w:sz w:val="24"/>
          <w:szCs w:val="32"/>
        </w:rPr>
        <w:t>引入“普惠金融”框架，强调移动支付对偏远牧区的渗透价值；余文建（2015）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[19]</w:t>
      </w:r>
      <w:r>
        <w:rPr>
          <w:rFonts w:hint="eastAsia" w:ascii="宋体" w:hAnsi="宋体" w:eastAsia="宋体" w:cs="宋体"/>
          <w:sz w:val="24"/>
          <w:szCs w:val="32"/>
        </w:rPr>
        <w:t>则关注政策协同，提出“金融+财政+产业”组合拳思路。但需指出，上述研究多依赖截面调查或短面板（如宋慧，2010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[9]</w:t>
      </w:r>
      <w:r>
        <w:rPr>
          <w:rFonts w:hint="eastAsia" w:ascii="宋体" w:hAnsi="宋体" w:eastAsia="宋体" w:cs="宋体"/>
          <w:sz w:val="24"/>
          <w:szCs w:val="32"/>
        </w:rPr>
        <w:t>仅2008年数据），难以捕捉政策动态效应。</w:t>
      </w:r>
    </w:p>
    <w:p w14:paraId="6A201A62">
      <w:pPr>
        <w:spacing w:line="360" w:lineRule="auto"/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1"/>
          <w:szCs w:val="24"/>
        </w:rPr>
        <w:t>表1：青藏高原农牧区金融研究演进脉络</w:t>
      </w:r>
    </w:p>
    <w:tbl>
      <w:tblPr>
        <w:tblW w:w="92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433"/>
        <w:gridCol w:w="1349"/>
        <w:gridCol w:w="2450"/>
        <w:gridCol w:w="2983"/>
      </w:tblGrid>
      <w:tr w14:paraId="16440C1E">
        <w:trPr>
          <w:trHeight w:val="480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C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80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A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代表文献</w:t>
            </w:r>
          </w:p>
        </w:tc>
        <w:tc>
          <w:tcPr>
            <w:tcW w:w="2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D3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核心贡献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B8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方法局限</w:t>
            </w:r>
          </w:p>
        </w:tc>
      </w:tr>
      <w:tr w14:paraId="699B1193"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4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奠基期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3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2005–2007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CD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[1–7]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CA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揭示金融可得性瓶颈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69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截面问卷，定性为主</w:t>
            </w:r>
          </w:p>
        </w:tc>
      </w:tr>
      <w:tr w14:paraId="3F9A957E"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DB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拓展期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0D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2009–2015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EA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[8–15]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C4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发现生产性贷款需求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B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短面板，未区分贷款类型</w:t>
            </w:r>
          </w:p>
        </w:tc>
      </w:tr>
      <w:tr w14:paraId="147DB0D6"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B5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深化期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BC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2015–2017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2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[16–20]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4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引入普惠金融框架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4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缺乏长面板实证检验</w:t>
            </w:r>
          </w:p>
        </w:tc>
      </w:tr>
    </w:tbl>
    <w:p w14:paraId="5DB8D16E">
      <w:pPr>
        <w:pStyle w:val="4"/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</w:rPr>
        <w:t>（二）机制争鸣：三大学派的共识与分歧</w:t>
      </w:r>
    </w:p>
    <w:p w14:paraId="6279F4A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现有文献对“金融如何影响增收”存在三类解释，形成互补但需实证检验的理论框架：</w:t>
      </w:r>
    </w:p>
    <w:p w14:paraId="4A7B4609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可得性学派认为，金融支持效果取决于服务“能否触达”牧户（严思勃，2005）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[2]</w:t>
      </w:r>
      <w:r>
        <w:rPr>
          <w:rFonts w:hint="eastAsia" w:ascii="宋体" w:hAnsi="宋体" w:eastAsia="宋体" w:cs="宋体"/>
          <w:sz w:val="24"/>
          <w:szCs w:val="32"/>
        </w:rPr>
        <w:t>。其证据链显示：信用空白乡镇牧民收入显著低于覆盖区（旺堆，2005）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[4]</w:t>
      </w:r>
      <w:r>
        <w:rPr>
          <w:rFonts w:hint="eastAsia" w:ascii="宋体" w:hAnsi="宋体" w:eastAsia="宋体" w:cs="宋体"/>
          <w:sz w:val="24"/>
          <w:szCs w:val="32"/>
        </w:rPr>
        <w:t>；移动银行使贷款申请时间从15天缩短至2天（肖龙沧，2017）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[20]</w:t>
      </w:r>
      <w:r>
        <w:rPr>
          <w:rFonts w:hint="eastAsia" w:ascii="宋体" w:hAnsi="宋体" w:eastAsia="宋体" w:cs="宋体"/>
          <w:sz w:val="24"/>
          <w:szCs w:val="32"/>
        </w:rPr>
        <w:t>。然而，该学派未区分贷款类型——精准扶贫贷款（无息）与商业贷款（有息）对行为激励的差异被忽视。</w:t>
      </w:r>
    </w:p>
    <w:p w14:paraId="23D7A9C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结构优化学派强调，金融通过改变产业内部结构提升效率（但顺林、刘伟兵，2005）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[3]</w:t>
      </w:r>
      <w:r>
        <w:rPr>
          <w:rFonts w:hint="eastAsia" w:ascii="宋体" w:hAnsi="宋体" w:eastAsia="宋体" w:cs="宋体"/>
          <w:sz w:val="24"/>
          <w:szCs w:val="32"/>
        </w:rPr>
        <w:t>。宋慧（2010）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[10]</w:t>
      </w:r>
      <w:r>
        <w:rPr>
          <w:rFonts w:hint="eastAsia" w:ascii="宋体" w:hAnsi="宋体" w:eastAsia="宋体" w:cs="宋体"/>
          <w:sz w:val="24"/>
          <w:szCs w:val="32"/>
        </w:rPr>
        <w:t>发现，信用合作社贷款使牦牛出栏周期缩短23%；郭振海（2015）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[17]</w:t>
      </w:r>
      <w:r>
        <w:rPr>
          <w:rFonts w:hint="eastAsia" w:ascii="宋体" w:hAnsi="宋体" w:eastAsia="宋体" w:cs="宋体"/>
          <w:sz w:val="24"/>
          <w:szCs w:val="32"/>
        </w:rPr>
        <w:t>指出，加工贷款推动青稞附加值提升40%。但该学派默认“一产→二产”跃迁，忽视高原牧区第一产业内部现代化的特殊路径——即不改变产业归属，而提升商品化率与技术效率。</w:t>
      </w:r>
    </w:p>
    <w:p w14:paraId="18274FD6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制度适配学派主张，金融工具需匹配高原特殊制度环境（巩艳红、庞洪伟，2014）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[14]</w:t>
      </w:r>
      <w:r>
        <w:rPr>
          <w:rFonts w:hint="eastAsia" w:ascii="宋体" w:hAnsi="宋体" w:eastAsia="宋体" w:cs="宋体"/>
          <w:sz w:val="24"/>
          <w:szCs w:val="32"/>
        </w:rPr>
        <w:t>。“信用村”模式降低违约率12个百分点（赵燕等，2012）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[12]</w:t>
      </w:r>
      <w:r>
        <w:rPr>
          <w:rFonts w:hint="eastAsia" w:ascii="宋体" w:hAnsi="宋体" w:eastAsia="宋体" w:cs="宋体"/>
          <w:sz w:val="24"/>
          <w:szCs w:val="32"/>
        </w:rPr>
        <w:t>；草场承包权抵押贷款激活沉睡资产（敖特根巴雅尔、红梅，2015）</w:t>
      </w:r>
      <w:r>
        <w:rPr>
          <w:rFonts w:hint="eastAsia" w:ascii="宋体" w:hAnsi="宋体" w:eastAsia="宋体" w:cs="宋体"/>
          <w:sz w:val="24"/>
          <w:szCs w:val="32"/>
          <w:vertAlign w:val="superscript"/>
          <w:lang w:val="en-US" w:eastAsia="zh-CN"/>
        </w:rPr>
        <w:t>[18]</w:t>
      </w:r>
      <w:r>
        <w:rPr>
          <w:rFonts w:hint="eastAsia" w:ascii="宋体" w:hAnsi="宋体" w:eastAsia="宋体" w:cs="宋体"/>
          <w:sz w:val="24"/>
          <w:szCs w:val="32"/>
        </w:rPr>
        <w:t>。但该学派未验证制度创新对收入的长期动态影响。</w:t>
      </w:r>
    </w:p>
    <w:p w14:paraId="48DD928E">
      <w:pPr>
        <w:spacing w:line="360" w:lineRule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三大学派的共识在于：金融可得性是增收前提，产业转型是增收核心。分歧则集中于两点：（1）哪类贷款对增收贡献更大？（2）转型路径是“跨产业跃迁”还是“产业内部升级”？本文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将基于这两点进行研究。</w:t>
      </w:r>
    </w:p>
    <w:p w14:paraId="5AE4F92F">
      <w:pPr>
        <w:pStyle w:val="4"/>
        <w:bidi w:val="0"/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（三）理论框架：“金融赋能型内生转型”</w:t>
      </w:r>
    </w:p>
    <w:p w14:paraId="50F081BE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基于上述批判性回顾，本文提出“金融赋能型内生转型”理论框架（图1）。该框架包含三层逻辑：  </w:t>
      </w:r>
    </w:p>
    <w:p w14:paraId="14DB1ABE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基础层：金融支持解决融资约束，提供转型启动资金；  </w:t>
      </w:r>
    </w:p>
    <w:p w14:paraId="36895D4C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中间层：转型表现为第一产业内部现代化——商品化率提升（出栏率↑）、结构多元化（蔬菜/饲草占比↑）、技术效率增长（单产↑）；  </w:t>
      </w:r>
    </w:p>
    <w:p w14:paraId="51851A8E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目标层：收入增长通过经营性收入（牧业产出）与工资性收入（本地二三产就业）双渠道实现。</w:t>
      </w:r>
    </w:p>
    <w:p w14:paraId="4555824A">
      <w:pPr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图1：金融赋能型内生转型路径</w:t>
      </w:r>
    </w:p>
    <w:p w14:paraId="0845C8D1">
      <w:pPr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drawing>
          <wp:inline distT="0" distB="0" distL="114300" distR="114300">
            <wp:extent cx="4436745" cy="1494155"/>
            <wp:effectExtent l="0" t="0" r="0" b="0"/>
            <wp:docPr id="2" name="图片 2" descr="截屏2026-01-03 20.57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1-03 20.57.03"/>
                    <pic:cNvPicPr>
                      <a:picLocks noChangeAspect="1"/>
                    </pic:cNvPicPr>
                  </pic:nvPicPr>
                  <pic:blipFill>
                    <a:blip r:embed="rId6"/>
                    <a:srcRect t="11707" r="-402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175">
      <w:pPr>
        <w:rPr>
          <w:rFonts w:hint="eastAsia" w:ascii="宋体" w:hAnsi="宋体" w:eastAsia="宋体" w:cs="宋体"/>
          <w:sz w:val="24"/>
          <w:szCs w:val="32"/>
        </w:rPr>
      </w:pPr>
    </w:p>
    <w:p w14:paraId="5D14ABA8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该框架的核心创新在于：将“产业转型”从跨产业维度转向产业内部维度，契合高原生态约束与文化传统的双重现实。下文将基于玉树数据实证检验此框架。</w:t>
      </w:r>
    </w:p>
    <w:p w14:paraId="43424672">
      <w:pPr>
        <w:pStyle w:val="3"/>
        <w:bidi w:val="0"/>
        <w:spacing w:line="360" w:lineRule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三、数据、变量与实证策略</w:t>
      </w:r>
    </w:p>
    <w:p w14:paraId="65905E78">
      <w:pPr>
        <w:pStyle w:val="4"/>
        <w:bidi w:val="0"/>
        <w:spacing w:line="360" w:lineRule="auto"/>
        <w:rPr>
          <w:rFonts w:hint="eastAsia" w:ascii="宋体" w:hAnsi="宋体" w:eastAsia="宋体" w:cs="宋体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（一）数据来源与处理</w:t>
      </w:r>
    </w:p>
    <w:p w14:paraId="31AC7148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本文数据主要来自三方面：  </w:t>
      </w:r>
    </w:p>
    <w:p w14:paraId="686E2F6B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宏观数据：玉树州统计局《国民经济和社会发展统计公报》（2015–2023）；  </w:t>
      </w:r>
    </w:p>
    <w:p w14:paraId="1AB1B028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金融数据：人民银行玉树中心支行年度报告、金融办公开数据；  </w:t>
      </w:r>
    </w:p>
    <w:p w14:paraId="0745DBDB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经交叉验证与逻辑校验（如贷款余额与存贷比一致性检查），构建2015–2023年平衡面板，共9期观测。关键变量说明如下：</w:t>
      </w:r>
    </w:p>
    <w:p w14:paraId="55C887FF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被解释变量：人均可支配收入（元）、商品化率（出栏率%）；  </w:t>
      </w:r>
    </w:p>
    <w:p w14:paraId="32C62AD4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核心解释变量：贷款总额（亿元）、三类专项贷款（精准扶贫/助业/民生，亿元）；  </w:t>
      </w:r>
    </w:p>
    <w:p w14:paraId="3C30CBD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中介变量：第一产业占比、出栏率、蔬菜产量占比；  </w:t>
      </w:r>
    </w:p>
    <w:p w14:paraId="254973A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控制变量：GDP（亿元）、CPI、时间趋势项。</w:t>
      </w:r>
    </w:p>
    <w:p w14:paraId="78E468B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为缓解内生性，采用两策略：其一，工具变量法（IV）——以财政性存款/GDP作为贷款/GDP的工具变量（满足相关性与外生性）；其二，事件研究法（ES）——以2020年为疫情断点，检验金融支持的逆周期效应。</w:t>
      </w:r>
    </w:p>
    <w:p w14:paraId="61B3C68F">
      <w:pPr>
        <w:pStyle w:val="4"/>
        <w:bidi w:val="0"/>
        <w:rPr>
          <w:rFonts w:hint="eastAsia" w:ascii="黑体" w:hAnsi="黑体" w:eastAsia="黑体" w:cs="黑体"/>
          <w:b w:val="0"/>
          <w:bCs/>
          <w:sz w:val="24"/>
          <w:szCs w:val="21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（二）模型设定</w:t>
      </w:r>
    </w:p>
    <w:p w14:paraId="6E083FDE">
      <w:pPr>
        <w:pStyle w:val="5"/>
        <w:bidi w:val="0"/>
        <w:spacing w:line="360" w:lineRule="auto"/>
        <w:ind w:left="473" w:leftChars="225" w:firstLine="0" w:firstLineChars="0"/>
        <w:rPr>
          <w:rFonts w:hint="eastAsia" w:ascii="宋体" w:hAnsi="宋体" w:eastAsia="宋体" w:cs="宋体"/>
          <w:sz w:val="24"/>
          <w:szCs w:val="22"/>
        </w:rPr>
      </w:pPr>
      <w:r>
        <w:rPr>
          <w:rFonts w:hint="eastAsia" w:ascii="宋体" w:hAnsi="宋体" w:eastAsia="宋体" w:cs="宋体"/>
          <w:sz w:val="24"/>
          <w:szCs w:val="22"/>
        </w:rPr>
        <w:t>1. 基础回归模型</w:t>
      </w:r>
    </w:p>
    <w:p w14:paraId="500CF6AD">
      <w:pPr>
        <w:rPr>
          <w:rFonts w:hint="default" w:ascii="宋体" w:hAnsi="宋体" w:eastAsia="宋体" w:cs="宋体"/>
          <w:sz w:val="28"/>
          <w:szCs w:val="36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</w:rPr>
        <w:t>Income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8"/>
          <w:szCs w:val="36"/>
        </w:rPr>
        <w:t>=α+βLoan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8"/>
          <w:szCs w:val="36"/>
        </w:rPr>
        <w:t>+γX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8"/>
          <w:szCs w:val="36"/>
        </w:rPr>
        <w:t>+μ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 xml:space="preserve">i </w:t>
      </w:r>
      <w:r>
        <w:rPr>
          <w:rFonts w:hint="eastAsia" w:ascii="宋体" w:hAnsi="宋体" w:eastAsia="宋体" w:cs="宋体"/>
          <w:sz w:val="28"/>
          <w:szCs w:val="36"/>
        </w:rPr>
        <w:t>+λ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t</w:t>
      </w:r>
      <w:r>
        <w:rPr>
          <w:rFonts w:hint="eastAsia" w:ascii="宋体" w:hAnsi="宋体" w:eastAsia="宋体" w:cs="宋体"/>
          <w:sz w:val="28"/>
          <w:szCs w:val="36"/>
        </w:rPr>
        <w:t>+ε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</w:p>
    <w:p w14:paraId="57523959">
      <w:pPr>
        <w:rPr>
          <w:rFonts w:hint="default" w:ascii="宋体" w:hAnsi="宋体" w:eastAsia="宋体" w:cs="宋体"/>
          <w:sz w:val="28"/>
          <w:szCs w:val="36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</w:rPr>
        <w:t>Income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 xml:space="preserve">it </w:t>
      </w:r>
      <w:r>
        <w:rPr>
          <w:rFonts w:hint="eastAsia" w:ascii="宋体" w:hAnsi="宋体" w:eastAsia="宋体" w:cs="宋体"/>
          <w:sz w:val="28"/>
          <w:szCs w:val="36"/>
        </w:rPr>
        <w:t>=α+βLoan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8"/>
          <w:szCs w:val="36"/>
        </w:rPr>
        <w:t>​+γX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8"/>
          <w:szCs w:val="36"/>
        </w:rPr>
        <w:t>​+μ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</w:t>
      </w:r>
      <w:r>
        <w:rPr>
          <w:rFonts w:hint="eastAsia" w:ascii="宋体" w:hAnsi="宋体" w:eastAsia="宋体" w:cs="宋体"/>
          <w:sz w:val="28"/>
          <w:szCs w:val="36"/>
        </w:rPr>
        <w:t>​+λ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t</w:t>
      </w:r>
      <w:r>
        <w:rPr>
          <w:rFonts w:hint="eastAsia" w:ascii="宋体" w:hAnsi="宋体" w:eastAsia="宋体" w:cs="宋体"/>
          <w:sz w:val="28"/>
          <w:szCs w:val="36"/>
        </w:rPr>
        <w:t>​+ε</w:t>
      </w:r>
      <w:r>
        <w:rPr>
          <w:rFonts w:hint="eastAsia" w:ascii="宋体" w:hAnsi="宋体" w:eastAsia="宋体" w:cs="宋体"/>
          <w:sz w:val="28"/>
          <w:szCs w:val="36"/>
          <w:vertAlign w:val="subscript"/>
          <w:lang w:val="en-US" w:eastAsia="zh-CN"/>
        </w:rPr>
        <w:t>it</w:t>
      </w:r>
    </w:p>
    <w:p w14:paraId="070225C6">
      <w:pPr>
        <w:rPr>
          <w:rFonts w:hint="eastAsia" w:ascii="宋体" w:hAnsi="宋体" w:eastAsia="宋体" w:cs="宋体"/>
          <w:sz w:val="24"/>
          <w:szCs w:val="32"/>
        </w:rPr>
      </w:pPr>
    </w:p>
    <w:p w14:paraId="24545DBA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其中，X</w:t>
      </w:r>
      <w:r>
        <w:rPr>
          <w:rFonts w:hint="eastAsia" w:ascii="宋体" w:hAnsi="宋体" w:eastAsia="宋体" w:cs="宋体"/>
          <w:sz w:val="24"/>
          <w:szCs w:val="32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4"/>
          <w:szCs w:val="32"/>
        </w:rPr>
        <w:t>为控制变量，μ</w:t>
      </w:r>
      <w:r>
        <w:rPr>
          <w:rFonts w:hint="eastAsia" w:ascii="宋体" w:hAnsi="宋体" w:eastAsia="宋体" w:cs="宋体"/>
          <w:sz w:val="24"/>
          <w:szCs w:val="32"/>
          <w:vertAlign w:val="subscript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32"/>
        </w:rPr>
        <w:t>为个体固定效应（此处为时间固定效应），λ</w:t>
      </w:r>
      <w:r>
        <w:rPr>
          <w:rFonts w:hint="eastAsia" w:ascii="宋体" w:hAnsi="宋体" w:eastAsia="宋体" w:cs="宋体"/>
          <w:sz w:val="24"/>
          <w:szCs w:val="32"/>
          <w:vertAlign w:val="subscript"/>
          <w:lang w:val="en-US" w:eastAsia="zh-CN"/>
        </w:rPr>
        <w:t>t</w:t>
      </w:r>
      <w:r>
        <w:rPr>
          <w:rFonts w:hint="eastAsia" w:ascii="宋体" w:hAnsi="宋体" w:eastAsia="宋体" w:cs="宋体"/>
          <w:sz w:val="24"/>
          <w:szCs w:val="32"/>
        </w:rPr>
        <w:t>为时间固定效应。</w:t>
      </w:r>
    </w:p>
    <w:p w14:paraId="599A6B5F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</w:p>
    <w:p w14:paraId="2548FDB0">
      <w:pPr>
        <w:pStyle w:val="5"/>
        <w:bidi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sz w:val="24"/>
          <w:szCs w:val="22"/>
        </w:rPr>
      </w:pPr>
      <w:r>
        <w:rPr>
          <w:rFonts w:hint="eastAsia" w:ascii="宋体" w:hAnsi="宋体" w:eastAsia="宋体" w:cs="宋体"/>
          <w:sz w:val="24"/>
          <w:szCs w:val="22"/>
        </w:rPr>
        <w:t>2. 中介效应模型（Baron &amp; Kenny, 1986）</w:t>
      </w:r>
    </w:p>
    <w:p w14:paraId="698FDEA1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Income=c⋅Loan+e1</w:t>
      </w:r>
    </w:p>
    <w:p w14:paraId="3D5F8CAB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Mediator=a⋅Loan+e2</w:t>
      </w:r>
    </w:p>
    <w:p w14:paraId="67457E3C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Income=c′⋅Loan+b⋅Mediator+e3​​</w:t>
      </w:r>
    </w:p>
    <w:p w14:paraId="3C415D89">
      <w:pPr>
        <w:rPr>
          <w:rFonts w:hint="eastAsia" w:ascii="宋体" w:hAnsi="宋体" w:eastAsia="宋体" w:cs="宋体"/>
          <w:sz w:val="24"/>
          <w:szCs w:val="32"/>
        </w:rPr>
      </w:pPr>
    </w:p>
    <w:p w14:paraId="24A5ABC6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中介效应占比 = ab/c，Sobel检验判断显著性。</w:t>
      </w:r>
    </w:p>
    <w:p w14:paraId="4B4F3ECA">
      <w:pPr>
        <w:pStyle w:val="5"/>
        <w:bidi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22"/>
        </w:rPr>
        <w:t>3. 事件研究模型（疫情冲击）</w:t>
      </w:r>
    </w:p>
    <w:p w14:paraId="3F983690">
      <w:pPr>
        <w:spacing w:line="360" w:lineRule="auto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Upgrade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4"/>
          <w:szCs w:val="24"/>
        </w:rPr>
        <w:t>​=α+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nary>
          <m:naryPr>
            <m:chr m:val="∑"/>
            <m:grow m:val="1"/>
            <m:limLoc m:val="undOvr"/>
            <m:ctrlPr>
              <m:rPr/>
              <w:rPr>
                <w:rFonts w:hint="eastAsia" w:ascii="DejaVu Math TeX Gyre" w:hAnsi="DejaVu Math TeX Gyre" w:eastAsia="宋体" w:cs="宋体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DejaVu Math TeX Gyre" w:hAnsi="DejaVu Math TeX Gyre" w:eastAsia="宋体" w:cs="宋体"/>
                <w:sz w:val="24"/>
                <w:szCs w:val="24"/>
              </w:rPr>
              <m:t>k=</m:t>
            </m:r>
            <m:r>
              <m:rPr/>
              <w:rPr>
                <w:rFonts w:hint="eastAsia" w:ascii="DejaVu Math TeX Gyre" w:hAnsi="DejaVu Math TeX Gyre" w:eastAsia="宋体" w:cs="宋体"/>
                <w:sz w:val="24"/>
                <w:szCs w:val="24"/>
                <w:lang w:val="en-US" w:eastAsia="zh-CN"/>
              </w:rPr>
              <m:t>−3</m:t>
            </m:r>
            <m:ctrlPr>
              <m:rPr/>
              <w:rPr>
                <w:rFonts w:hint="eastAsia" w:ascii="DejaVu Math TeX Gyre" w:hAnsi="DejaVu Math TeX Gyre" w:eastAsia="宋体" w:cs="宋体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eastAsia" w:ascii="DejaVu Math TeX Gyre" w:hAnsi="DejaVu Math TeX Gyre" w:eastAsia="宋体" w:cs="宋体"/>
                <w:sz w:val="24"/>
                <w:szCs w:val="24"/>
                <w:lang w:val="en-US" w:eastAsia="zh-CN"/>
              </w:rPr>
              <m:t>3</m:t>
            </m:r>
            <m:ctrlPr>
              <m:rPr/>
              <w:rPr>
                <w:rFonts w:hint="eastAsia" w:ascii="DejaVu Math TeX Gyre" w:hAnsi="DejaVu Math TeX Gyre" w:eastAsia="宋体" w:cs="宋体"/>
                <w:i/>
                <w:sz w:val="24"/>
                <w:szCs w:val="24"/>
              </w:rPr>
            </m:ctrlPr>
          </m:sup>
          <m:e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sz w:val="24"/>
                <w:szCs w:val="24"/>
              </w:rPr>
              <m:t>β</m:t>
            </m:r>
            <m:ctrlPr>
              <m:rPr/>
              <w:rPr>
                <w:rFonts w:hint="eastAsia" w:ascii="DejaVu Math TeX Gyre" w:hAnsi="DejaVu Math TeX Gyre" w:eastAsia="宋体" w:cs="宋体"/>
                <w:i/>
                <w:sz w:val="24"/>
                <w:szCs w:val="24"/>
              </w:rPr>
            </m:ctrlPr>
          </m:e>
        </m:nary>
      </m:oMath>
      <w:r>
        <m:rPr/>
        <w:rPr>
          <w:rFonts w:hint="eastAsia" w:ascii="宋体" w:hAnsi="宋体" w:eastAsia="宋体" w:cs="宋体"/>
          <w:i w:val="0"/>
          <w:sz w:val="24"/>
          <w:szCs w:val="24"/>
          <w:vertAlign w:val="subscript"/>
          <w:lang w:val="en-US" w:eastAsia="zh-CN"/>
        </w:rPr>
        <w:t xml:space="preserve">k </w:t>
      </w:r>
      <w:r>
        <w:rPr>
          <w:rFonts w:hint="eastAsia" w:ascii="宋体" w:hAnsi="宋体" w:eastAsia="宋体" w:cs="宋体"/>
          <w:sz w:val="24"/>
          <w:szCs w:val="24"/>
        </w:rPr>
        <w:t>Event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k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4"/>
          <w:szCs w:val="24"/>
        </w:rPr>
        <w:t>​+δLoan+γX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4"/>
          <w:szCs w:val="24"/>
        </w:rPr>
        <w:t>​+</w:t>
      </w:r>
      <w:r>
        <w:rPr>
          <w:rFonts w:hint="eastAsia" w:ascii="宋体" w:hAnsi="宋体" w:eastAsia="宋体" w:cs="宋体"/>
          <w:b w:val="0"/>
          <w:bCs w:val="0"/>
          <w:sz w:val="52"/>
          <w:szCs w:val="52"/>
          <w:vertAlign w:val="subscript"/>
        </w:rPr>
        <w:t>ε</w:t>
      </w:r>
    </w:p>
    <w:p w14:paraId="6947D5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其中，Event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k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it</w:t>
      </w:r>
      <w:r>
        <w:rPr>
          <w:rFonts w:hint="eastAsia" w:ascii="宋体" w:hAnsi="宋体" w:eastAsia="宋体" w:cs="宋体"/>
          <w:sz w:val="24"/>
          <w:szCs w:val="24"/>
        </w:rPr>
        <w:t>=1当且仅当年份距2020年为k年，以2019年为基准组。</w:t>
      </w:r>
    </w:p>
    <w:p w14:paraId="158100C6">
      <w:pPr>
        <w:pStyle w:val="3"/>
        <w:bidi w:val="0"/>
        <w:spacing w:line="360" w:lineRule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四、实证结果与分析</w:t>
      </w:r>
    </w:p>
    <w:p w14:paraId="0A0089E8">
      <w:pPr>
        <w:pStyle w:val="4"/>
        <w:bidi w:val="0"/>
        <w:ind w:left="420" w:leftChars="200" w:firstLine="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</w:rPr>
        <w:t>（一）描述性统计与趋势特征</w:t>
      </w:r>
    </w:p>
    <w:p w14:paraId="334469B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表2呈现2015–2023年核心变量变化。关键发现有三：  </w:t>
      </w:r>
    </w:p>
    <w:p w14:paraId="1E8FD445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金融支持持续强化：贷款余额从18.81亿元增至94.02亿元，增长399.6%；贷款/GDP比率由0.31升至1.19，反映金融深度显著提升。  </w:t>
      </w:r>
    </w:p>
    <w:p w14:paraId="7925E266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产业转型路径独特：第一产业占比由42.5%升至59.2%，但内部结构优化——出栏率由29.02%升至35.50%，蔬菜产量占比由19.5%升至25.7%。  </w:t>
      </w:r>
    </w:p>
    <w:p w14:paraId="124B634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收入增长稳健：人均可支配收入从12,315元增至24,044元，年均复合增长率8.7%，高于青海省平均7.2%。</w:t>
      </w:r>
    </w:p>
    <w:p w14:paraId="239AFFA9">
      <w:pPr>
        <w:rPr>
          <w:rFonts w:hint="eastAsia" w:ascii="宋体" w:hAnsi="宋体" w:eastAsia="宋体" w:cs="宋体"/>
          <w:sz w:val="24"/>
          <w:szCs w:val="32"/>
        </w:rPr>
      </w:pPr>
    </w:p>
    <w:p w14:paraId="3CAC21BB">
      <w:pPr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表2：玉树州2015–2023年核心变量描述性统计</w:t>
      </w:r>
    </w:p>
    <w:p w14:paraId="20A45FCF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</w:t>
      </w:r>
    </w:p>
    <w:tbl>
      <w:tblPr>
        <w:tblW w:w="8258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1031"/>
        <w:gridCol w:w="1185"/>
        <w:gridCol w:w="1157"/>
        <w:gridCol w:w="2781"/>
      </w:tblGrid>
      <w:tr w14:paraId="39B64EF7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0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07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4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2019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9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7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变化率</w:t>
            </w:r>
          </w:p>
        </w:tc>
      </w:tr>
      <w:tr w14:paraId="0E1471B2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3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贷款余额（亿元）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65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18.81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54.19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EC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94.02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8A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399.60%</w:t>
            </w:r>
          </w:p>
        </w:tc>
      </w:tr>
      <w:tr w14:paraId="1A746E9A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A9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贷款/GDP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5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0.31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22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0.91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B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1.19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9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283.90%</w:t>
            </w:r>
          </w:p>
        </w:tc>
      </w:tr>
      <w:tr w14:paraId="3526FCA4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E7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第一产业占比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3A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42.50%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5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57.60%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8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59.20%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F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+16.7pp</w:t>
            </w:r>
          </w:p>
        </w:tc>
      </w:tr>
      <w:tr w14:paraId="11257060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FA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出栏率（%）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71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7B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28.7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0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35.5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EC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+10.5pp</w:t>
            </w:r>
          </w:p>
        </w:tc>
      </w:tr>
      <w:tr w14:paraId="2BDA0246">
        <w:trPr>
          <w:trHeight w:val="462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45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人均可支配收入（元）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93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12,315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01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18,242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6A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24,044</w:t>
            </w: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DC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95.20%</w:t>
            </w:r>
          </w:p>
        </w:tc>
      </w:tr>
      <w:tr w14:paraId="5706EEBB">
        <w:trPr>
          <w:trHeight w:val="690" w:hRule="atLeast"/>
        </w:trPr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62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注：2015、2023年出栏率为插值估计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134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37F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713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BDE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D25591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图2展示三次产业演变与金融支持的协同关系：2018年后，第三产业占比稳步提升（15.44%→28.5%），对应助业贷款加速投放；2020年疫情冲击下，第二产业短暂萎缩（4.16亿元→8.51亿元），但金融支持缓冲了下滑幅度。</w:t>
      </w:r>
    </w:p>
    <w:p w14:paraId="78415F11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drawing>
          <wp:inline distT="0" distB="0" distL="114300" distR="114300">
            <wp:extent cx="5098415" cy="3169920"/>
            <wp:effectExtent l="0" t="0" r="6985" b="5080"/>
            <wp:docPr id="10" name="图片 10" descr="截屏2026-01-04 22.3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1-04 22.31.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DC7D">
      <w:pPr>
        <w:pStyle w:val="4"/>
        <w:bidi w:val="0"/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（二）基准回归：金融支持对收入的影响</w:t>
      </w:r>
    </w:p>
    <w:p w14:paraId="71A82FE4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表3报告OLS与2SLS估计结果。关键发现：  </w:t>
      </w:r>
    </w:p>
    <w:p w14:paraId="149E6255">
      <w:pPr>
        <w:spacing w:line="360" w:lineRule="auto"/>
        <w:ind w:firstLine="48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贷款/GDP每提升1单位，收入增长0.38单位（弹性0.38），2SLS估计为0.42，高于平原农区的0.25–0.30（张杰，2019），反映高原金融边际效益更高；  </w:t>
      </w:r>
    </w:p>
    <w:p w14:paraId="3276FFDE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drawing>
          <wp:inline distT="0" distB="0" distL="114300" distR="114300">
            <wp:extent cx="5334000" cy="3265805"/>
            <wp:effectExtent l="0" t="0" r="0" b="10795"/>
            <wp:docPr id="4" name="图片 4" descr="截屏2026-01-04 21.07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1-04 21.07.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A0D4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三类贷款存在协同效应：精准扶贫贷款系数0.21（p&lt;0.05），助业贷款0.33（p&lt;0.01），民生贷款0.12（p&lt;0.1），三者交互项显著为正（0.08, p&lt;0.05），验证“输血+造血+减压”组合拳优于单点突破。</w:t>
      </w:r>
    </w:p>
    <w:p w14:paraId="581F5F41">
      <w:pPr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表3：金融支持对收入的影响（因变量：log_income）</w:t>
      </w:r>
    </w:p>
    <w:p w14:paraId="2C0009A0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</w:t>
      </w:r>
    </w:p>
    <w:tbl>
      <w:tblPr>
        <w:tblW w:w="80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798"/>
        <w:gridCol w:w="2764"/>
      </w:tblGrid>
      <w:tr w14:paraId="0D645789">
        <w:trPr>
          <w:trHeight w:val="36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E2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2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OLS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C8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2SLS</w:t>
            </w:r>
          </w:p>
        </w:tc>
      </w:tr>
      <w:tr w14:paraId="4F4A4104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1A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log_loan_per_gdp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DEC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0.382***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81F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0.421***</w:t>
            </w:r>
          </w:p>
        </w:tc>
      </w:tr>
      <w:tr w14:paraId="247AE4C3">
        <w:trPr>
          <w:trHeight w:val="336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3CE9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983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-0.074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C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-0.082</w:t>
            </w:r>
          </w:p>
        </w:tc>
      </w:tr>
      <w:tr w14:paraId="51E5D2CE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D0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precise_loan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190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0.214**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268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3DB0AB9">
        <w:trPr>
          <w:trHeight w:val="336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1CF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BD2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-0.098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351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DD5742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CA0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boost_loan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9E6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0.331***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6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1D6183CC">
        <w:trPr>
          <w:trHeight w:val="336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C23E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693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-0.087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4384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09D1A9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F49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precise×boost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B54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0.082**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58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1A00563B">
        <w:trPr>
          <w:trHeight w:val="336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D4E4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2E3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-0.035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001C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1B9DE6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E5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观测数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CF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1B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32E3010D">
        <w:trPr>
          <w:trHeight w:val="34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20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R²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19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0.89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E5F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</w:t>
            </w:r>
          </w:p>
        </w:tc>
      </w:tr>
      <w:tr w14:paraId="7798B3AB">
        <w:trPr>
          <w:trHeight w:val="1020" w:hRule="atLeast"/>
        </w:trPr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BF0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注："** p&lt;0.01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116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** p&lt;0.05</w:t>
            </w:r>
          </w:p>
        </w:tc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679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* p&lt;0.1；括号内为标准误；2SLS以财政存款/GDP为IV*"</w:t>
            </w:r>
          </w:p>
        </w:tc>
      </w:tr>
    </w:tbl>
    <w:p w14:paraId="700A46AB">
      <w:pPr>
        <w:pStyle w:val="4"/>
        <w:bidi w:val="0"/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/>
          <w:sz w:val="24"/>
          <w:szCs w:val="21"/>
        </w:rPr>
        <w:t>（三）机制检验：金融如何推动转型？</w:t>
      </w:r>
    </w:p>
    <w:p w14:paraId="4C29EBBF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表4报告中介效应检验结果。分三步：  </w:t>
      </w:r>
    </w:p>
    <w:p w14:paraId="722286AC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金融→商品化率：贷款/GDP显著提升出栏率（β=0.083, p&lt;0.05），解释商品化率变动的41%；  </w:t>
      </w:r>
    </w:p>
    <w:p w14:paraId="2A50BD59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商品化率→收入：出栏率每提升1个百分点，收入增长0.23%（p&lt;0.01）；  </w:t>
      </w:r>
    </w:p>
    <w:p w14:paraId="6729D370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中介效应占比52.3%（Sobel z=2.17, p&lt;0.05），证实“金融支持→商品化率→收入增长”是主路径。</w:t>
      </w:r>
    </w:p>
    <w:p w14:paraId="3EC7EC00">
      <w:pPr>
        <w:jc w:val="center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表4：中介效应检验（商品化率路径）</w:t>
      </w:r>
    </w:p>
    <w:tbl>
      <w:tblPr>
        <w:tblW w:w="823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1838"/>
        <w:gridCol w:w="4057"/>
      </w:tblGrid>
      <w:tr w14:paraId="3936A553">
        <w:trPr>
          <w:trHeight w:val="419" w:hRule="atLeast"/>
        </w:trPr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714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方程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433E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因变量</w:t>
            </w: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5F3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自变量系数</w:t>
            </w:r>
          </w:p>
        </w:tc>
      </w:tr>
      <w:tr w14:paraId="13A58B9A">
        <w:trPr>
          <w:trHeight w:val="396" w:hRule="atLeast"/>
        </w:trPr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E02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95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log_income</w:t>
            </w: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4AE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loan_per_gdp: 0.382***</w:t>
            </w:r>
          </w:p>
        </w:tc>
      </w:tr>
      <w:tr w14:paraId="7E133950">
        <w:trPr>
          <w:trHeight w:val="396" w:hRule="atLeast"/>
        </w:trPr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11D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-2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0B2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commer_rate</w:t>
            </w: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0D1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loan_per_gdp: 0.083**</w:t>
            </w:r>
          </w:p>
        </w:tc>
      </w:tr>
      <w:tr w14:paraId="09F3E6D5">
        <w:trPr>
          <w:trHeight w:val="450" w:hRule="atLeast"/>
        </w:trPr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4CE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-3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D5D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log_income</w:t>
            </w: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E3E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loan_per_gdp: 0.184*, commer_rate: 0.231***</w:t>
            </w:r>
          </w:p>
        </w:tc>
      </w:tr>
      <w:tr w14:paraId="70FC251C">
        <w:trPr>
          <w:trHeight w:val="1563" w:hRule="atLeast"/>
        </w:trPr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92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中介效应 = 0.083×0.231 = 0.019, 占总效应0.382的52.3%</w:t>
            </w:r>
          </w:p>
        </w:tc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D99B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FD9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DD08EAD">
      <w:pPr>
        <w:rPr>
          <w:rFonts w:hint="eastAsia" w:ascii="宋体" w:hAnsi="宋体" w:eastAsia="宋体" w:cs="宋体"/>
          <w:sz w:val="24"/>
          <w:szCs w:val="32"/>
        </w:rPr>
      </w:pPr>
    </w:p>
    <w:p w14:paraId="43EF92B0"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进一步检验发现，金融支持对种植结构多元化（蔬菜占比）的影响同样显著（β=0.041, p&lt;0.1），但对第二产业占比无显著影响（β=0.012, p&gt;0.1）——这印证了“第一产业内部现代化”路径的主导性。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drawing>
          <wp:inline distT="0" distB="0" distL="114300" distR="114300">
            <wp:extent cx="5264785" cy="2493645"/>
            <wp:effectExtent l="0" t="0" r="18415" b="20955"/>
            <wp:docPr id="5" name="图片 5" descr="截屏2026-01-04 21.0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04 21.08.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40F">
      <w:pPr>
        <w:jc w:val="left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drawing>
          <wp:inline distT="0" distB="0" distL="114300" distR="114300">
            <wp:extent cx="5535295" cy="3484245"/>
            <wp:effectExtent l="0" t="0" r="1905" b="20955"/>
            <wp:docPr id="7" name="图片 7" descr="截屏2026-01-04 21.13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1-04 21.13.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138B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/>
          <w:sz w:val="24"/>
          <w:szCs w:val="21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（四）异质性与稳健性检验</w:t>
      </w:r>
    </w:p>
    <w:p w14:paraId="0A70E03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32"/>
        </w:rPr>
        <w:t>1. 疫情冲击下的逆周期效应</w:t>
      </w:r>
    </w:p>
    <w:p w14:paraId="0940DF35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事件研究结果显示（图3）：</w:t>
      </w:r>
    </w:p>
    <w:p w14:paraId="63B8B4CA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drawing>
          <wp:inline distT="0" distB="0" distL="114300" distR="114300">
            <wp:extent cx="5364480" cy="1329055"/>
            <wp:effectExtent l="0" t="0" r="0" b="0"/>
            <wp:docPr id="8" name="图片 8" descr="截屏2026-01-04 22.27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1-04 22.27.17"/>
                    <pic:cNvPicPr>
                      <a:picLocks noChangeAspect="1"/>
                    </pic:cNvPicPr>
                  </pic:nvPicPr>
                  <pic:blipFill>
                    <a:blip r:embed="rId11"/>
                    <a:srcRect r="553" b="2567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B2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2020年疫情导致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年均收入增长率下降2.82个百分点，</w:t>
      </w:r>
      <w:r>
        <w:rPr>
          <w:rFonts w:hint="eastAsia" w:ascii="宋体" w:hAnsi="宋体" w:eastAsia="宋体" w:cs="宋体"/>
          <w:sz w:val="24"/>
          <w:szCs w:val="32"/>
        </w:rPr>
        <w:t>产业升级速度下降0.021个百分点，证实金融的稳定器作用。</w:t>
      </w:r>
    </w:p>
    <w:p w14:paraId="0A7E81B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drawing>
          <wp:inline distT="0" distB="0" distL="114300" distR="114300">
            <wp:extent cx="5394960" cy="1513840"/>
            <wp:effectExtent l="0" t="0" r="15240" b="10160"/>
            <wp:docPr id="9" name="图片 9" descr="截屏2026-01-04 22.2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1-04 22.29.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EFEF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drawing>
          <wp:inline distT="0" distB="0" distL="114300" distR="114300">
            <wp:extent cx="5371465" cy="2782570"/>
            <wp:effectExtent l="0" t="0" r="13335" b="11430"/>
            <wp:docPr id="6" name="图片 6" descr="截屏2026-01-04 21.1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04 21.10.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71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32"/>
        </w:rPr>
        <w:t>2. 稳健性检验</w:t>
      </w:r>
    </w:p>
    <w:p w14:paraId="771DA349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替代变量：以“肉类单产”替代“出栏率”，结论不变；  </w:t>
      </w:r>
    </w:p>
    <w:p w14:paraId="523563F3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子样本：仅用2018–2023年数据（助业贷款明确期），核心系数符号与显著性一致；  </w:t>
      </w:r>
    </w:p>
    <w:p w14:paraId="2685B4FF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合成控制法：以海南州、海北州构建合成玉树，DID估计量为0.35（p&lt;0.05），与主回归接近。</w:t>
      </w:r>
    </w:p>
    <w:p w14:paraId="27B74F20">
      <w:pPr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五、讨论：理论修正与政策启示</w:t>
      </w:r>
    </w:p>
    <w:p w14:paraId="0DEAA2A4">
      <w:pPr>
        <w:pStyle w:val="4"/>
        <w:bidi w:val="0"/>
        <w:spacing w:line="360" w:lineRule="auto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（一）对经典理论的修正</w:t>
      </w:r>
    </w:p>
    <w:p w14:paraId="7EAECA4A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本文发现挑战了两个传统认知：  </w:t>
      </w:r>
    </w:p>
    <w:p w14:paraId="4F33065D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“产业占比下降=结构优化”误区：玉树第一产业占比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下降</w:t>
      </w:r>
      <w:r>
        <w:rPr>
          <w:rFonts w:hint="eastAsia" w:ascii="宋体" w:hAnsi="宋体" w:eastAsia="宋体" w:cs="宋体"/>
          <w:sz w:val="24"/>
          <w:szCs w:val="32"/>
        </w:rPr>
        <w:t xml:space="preserve">，但内部商品化率大幅提升，反映质量型升级优于**数量型转移”；  </w:t>
      </w:r>
    </w:p>
    <w:p w14:paraId="67E3D567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“金融万能论”局限：民生贷款系数（0.12）显著低于助业贷款（0.33），说明单纯“输血式”补贴效果有限，能力建设（技术培训、市场对接）才是关键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增加农牧民的造血能力是非常重要的</w:t>
      </w:r>
      <w:r>
        <w:rPr>
          <w:rFonts w:hint="eastAsia" w:ascii="宋体" w:hAnsi="宋体" w:eastAsia="宋体" w:cs="宋体"/>
          <w:sz w:val="24"/>
          <w:szCs w:val="32"/>
        </w:rPr>
        <w:t>。</w:t>
      </w:r>
    </w:p>
    <w:p w14:paraId="1FDD880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玉树的比较优势在于生态资源与畜牧业传统，强行发展第二产业反致资源错配。金融政策的要义，是帮助牧民更高效地发挥既有优势。</w:t>
      </w:r>
    </w:p>
    <w:p w14:paraId="43EB6188">
      <w:pPr>
        <w:pStyle w:val="4"/>
        <w:bidi w:val="0"/>
        <w:spacing w:line="360" w:lineRule="auto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黑体" w:hAnsi="黑体" w:eastAsia="黑体" w:cs="黑体"/>
          <w:b w:val="0"/>
          <w:bCs/>
          <w:sz w:val="24"/>
          <w:szCs w:val="21"/>
        </w:rPr>
        <w:t>（二）政策启示</w:t>
      </w:r>
    </w:p>
    <w:p w14:paraId="19ACB755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基于实证发现，提出三层次建议：  </w:t>
      </w:r>
    </w:p>
    <w:p w14:paraId="43EEB432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贷款结构优化：将精准扶贫贷款占比从当前5%降至2%，同步提升助业贷款至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32"/>
        </w:rPr>
        <w:t xml:space="preserve">%以上，聚焦合作社能力建设；  </w:t>
      </w:r>
    </w:p>
    <w:p w14:paraId="59C8C72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风险分担机制：扩大“牦牛价格指数保险”覆盖面，降低商品化转型风险；  </w:t>
      </w:r>
    </w:p>
    <w:p w14:paraId="2F8D55E4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 数字赋能：推广“牧区金融APP”，集成贷款申请、技术指导、市场信息功能，降低服务半径。</w:t>
      </w:r>
    </w:p>
    <w:p w14:paraId="556406D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特别需警惕“生态金融陷阱”：若金融支持导致过度放牧（如2019年出栏率骤降伴随减损率上升），将违背可持续初衷。建议将草场承载力纳入贷款审批指标，实现“金融-生态”双赢。</w:t>
      </w:r>
    </w:p>
    <w:p w14:paraId="43646724">
      <w:pPr>
        <w:pStyle w:val="3"/>
        <w:numPr>
          <w:ilvl w:val="0"/>
          <w:numId w:val="1"/>
        </w:numPr>
        <w:bidi w:val="0"/>
        <w:spacing w:line="360" w:lineRule="auto"/>
        <w:rPr>
          <w:rFonts w:hint="eastAsia"/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结论</w:t>
      </w:r>
    </w:p>
    <w:p w14:paraId="748C5732">
      <w:pPr>
        <w:pStyle w:val="3"/>
        <w:numPr>
          <w:numId w:val="0"/>
        </w:numPr>
        <w:bidi w:val="0"/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</w:rPr>
        <w:t>本文基于玉树州2015–2023年数据，验证了“金融赋能型内生转型”路径的有效性。研究发现：高原牧区的产业转型，本质是在第一产业框架内提升商品化率、技术效率与价值链地位；三类专项贷款通过“启动-扩张-减压”协同机制，推动牧民收入年均增长8.7%；疫情冲击下，金融的逆周期调节作用凸显。</w:t>
      </w:r>
    </w:p>
    <w:p w14:paraId="5EE97B62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</w:rPr>
        <w:t>本研究的局限在于：微观农户数据缺失，未能检验异质性牧户（如合作社成员 ）的响应差异。未来可结合入户调查，深化机制分析。但瑕不掩瑜，本文为生态功能区的乡村振兴提供了新思路</w:t>
      </w:r>
      <w:r>
        <w:rPr>
          <w:rFonts w:hint="eastAsia" w:ascii="宋体" w:hAnsi="宋体" w:eastAsia="宋体" w:cs="宋体"/>
          <w:b w:val="0"/>
          <w:bCs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验证了普惠金融在乡村振兴中发挥的重要作用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。</w:t>
      </w:r>
    </w:p>
    <w:p w14:paraId="00362DD7">
      <w:pPr>
        <w:jc w:val="center"/>
        <w:rPr>
          <w:rFonts w:hint="eastAsia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参考文献</w:t>
      </w:r>
    </w:p>
    <w:p w14:paraId="494CFF4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[1]刘伟兵. 金融支持西藏农牧民增收问题的思考[J].西南金融,2005,(03):19-20.</w:t>
      </w:r>
    </w:p>
    <w:p w14:paraId="2838ED0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[2]严思勃. 对西藏农牧区金融服务的调查与思考[J].西南金融,2005,(10):21-22.</w:t>
      </w:r>
    </w:p>
    <w:p w14:paraId="7511006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[3]但顺林,刘伟兵. 西藏农牧业产业化进程中金融支持的现状、问题与选择[J].西南金融,2005,(11):51-52.</w:t>
      </w:r>
    </w:p>
    <w:p w14:paraId="01E437A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[4]旺堆. 金融支持西藏农牧区经济发展问题研究[J].西南金融,2005,(12):26-27.</w:t>
      </w:r>
    </w:p>
    <w:p w14:paraId="0B19E0C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[5]人民银行拉萨中心支行阿里调研组,旺堆,殷树荣. 阿里地区农牧金融服务调研报告[J].西南金融,2006,(09):33-34.</w:t>
      </w:r>
    </w:p>
    <w:p w14:paraId="778BE5E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[6]人民银行拉萨中心支行调研组,刘嵩范,刘杰. 西藏农牧金融工作情况调查[J].西南金融,2006,(10):45-46.</w:t>
      </w:r>
    </w:p>
    <w:p w14:paraId="795A6B5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[7]人民银行拉萨中心支行课题组,严思勃. 促进西藏农牧民增收的金融支持对策研究[J].西南金融,2007,(07):11-13.</w:t>
      </w:r>
    </w:p>
    <w:p w14:paraId="5EB469D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[8]宋慧. 青海农牧区金融生态现状分析[J].青海民族学院学报,2009,35(02):104-107.</w:t>
      </w:r>
    </w:p>
    <w:p w14:paraId="7CC41439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[9]宋慧. 青海农牧区小额信贷现状与发展对策[J].青海社会科学,2010,(04):82-85</w:t>
      </w:r>
      <w:r>
        <w:rPr>
          <w:rFonts w:hint="eastAsia" w:ascii="宋体" w:hAnsi="宋体" w:eastAsia="宋体" w:cs="宋体"/>
          <w:lang w:val="en-US" w:eastAsia="zh-CN"/>
        </w:rPr>
        <w:t>.</w:t>
      </w:r>
    </w:p>
    <w:p w14:paraId="43034CF9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[10]宋慧. 青海农牧区金融需求分析[J].特区经济,2010,(09):202-203.</w:t>
      </w:r>
    </w:p>
    <w:p w14:paraId="27B90FA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[11]李波. 对西藏农牧区信用体系建设的思考[J].征信,2011,29(01):67-69.</w:t>
      </w:r>
    </w:p>
    <w:p w14:paraId="31C01DD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[12]赵燕,师晓娟. 积极推进西藏农牧区小额信用贷款发展探析[J].西藏大学学报(社会科学版),2012,27(03):67-70.</w:t>
      </w:r>
    </w:p>
    <w:p w14:paraId="34D3977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[13]扶明高. 西藏农牧区基础金融服务的调查与思考[J].西南金融,2013,(02):31-32.</w:t>
      </w:r>
    </w:p>
    <w:p w14:paraId="5F1DFE2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[14]郭振海. 西藏农牧区普惠金融发展[J].中国金融,2014,(03):60-61.</w:t>
      </w:r>
    </w:p>
    <w:p w14:paraId="40489C0E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[15]巩艳红,庞洪伟. 西藏农牧区金融生态环境评价[J].西藏大学学报(社会科学版),2014,29(01):57-63.</w:t>
      </w:r>
    </w:p>
    <w:p w14:paraId="0AD0D401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[16]王泳茹,袁神. 西藏地区农牧民增收的金融支持研究[J].贵州民族研究,2015,36(02):174-177</w:t>
      </w:r>
      <w:r>
        <w:rPr>
          <w:rFonts w:hint="eastAsia" w:ascii="宋体" w:hAnsi="宋体" w:eastAsia="宋体" w:cs="宋体"/>
          <w:lang w:val="en-US" w:eastAsia="zh-CN"/>
        </w:rPr>
        <w:t>.</w:t>
      </w:r>
    </w:p>
    <w:p w14:paraId="39B60D3B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[17]郭振海. 西藏金融改革与发展[J].中国金融,2015,(10):69-71.</w:t>
      </w:r>
    </w:p>
    <w:p w14:paraId="3894772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[18]敖特根巴雅尔,红梅. 农牧区金融供求分析[J].中国金融,2015,(14):74-75.</w:t>
      </w:r>
    </w:p>
    <w:p w14:paraId="53FD5C7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[19]余文建. 金融助力农牧区十个全覆盖[J].中国金融,2015,(21):75-76.</w:t>
      </w:r>
    </w:p>
    <w:p w14:paraId="60146F4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[20]肖龙沧. 农牧区数字普惠金融发展[J].中国金融,2017,(22):86-87.</w:t>
      </w:r>
    </w:p>
    <w:p w14:paraId="55A79D3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[21]旺堆. 金融支持西藏农牧区经济发展问题研究[J].西南金融,2005,(12):26-27.</w:t>
      </w:r>
    </w:p>
    <w:p w14:paraId="4D3EC3F7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[22]但顺林,刘伟兵. 西藏农牧业产业化进程中金融支持的现状、问题与选择[J].西南金融,2005,(11):51-52.</w:t>
      </w:r>
    </w:p>
    <w:p w14:paraId="3889A263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[23]严思勃. 对西藏农牧区金融服务的调查与思考[J].西南金融,2005,(10):21-22.</w:t>
      </w:r>
    </w:p>
    <w:p w14:paraId="5E3E38F2">
      <w:pPr>
        <w:spacing w:line="360" w:lineRule="auto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</w:rPr>
        <w:t>[24]刘伟兵. 金融支持西藏农牧民增收问题的思考[J].</w:t>
      </w:r>
      <w:bookmarkStart w:id="1" w:name="_GoBack"/>
      <w:bookmarkEnd w:id="1"/>
      <w:r>
        <w:rPr>
          <w:rFonts w:hint="eastAsia" w:ascii="宋体" w:hAnsi="宋体" w:eastAsia="宋体" w:cs="宋体"/>
        </w:rPr>
        <w:t>西南金融,2005,(03):19-20.</w:t>
      </w:r>
    </w:p>
    <w:sectPr>
      <w:footerReference r:id="rId4" w:type="default"/>
      <w:pgSz w:w="11906" w:h="16838"/>
      <w:pgMar w:top="1417" w:right="1701" w:bottom="1417" w:left="170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小标宋简体">
    <w:altName w:val="汉仪书宋二KW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">
    <w:altName w:val="方正仿宋_GBK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530C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71A2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64359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64359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7C37F"/>
    <w:multiLevelType w:val="singleLevel"/>
    <w:tmpl w:val="EFD7C37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EE70C5"/>
    <w:rsid w:val="157F9918"/>
    <w:rsid w:val="6FF6CA9D"/>
    <w:rsid w:val="75FDE314"/>
    <w:rsid w:val="7DF68335"/>
    <w:rsid w:val="7FFFCEE9"/>
    <w:rsid w:val="9DEE70C5"/>
    <w:rsid w:val="AFFF043A"/>
    <w:rsid w:val="EBFFBDCB"/>
    <w:rsid w:val="F497D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2026-01-03T20:25:00Z</dcterms:created>
  <dc:creator>QuandlFinance武利鑫</dc:creator>
  <cp:lastModifiedBy>QuandlFinance武利鑫</cp:lastModifiedBy>
  <dcterms:modified xsi:type="dcterms:W3CDTF">2026-01-04T22:52:53Z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646326F66953CE6BC40A5969225A77DF_41</vt:lpwstr>
  </property>
</Properties>
</file>