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612BE">
      <w:pPr>
        <w:widowControl/>
        <w:spacing w:line="440" w:lineRule="exact"/>
        <w:rPr>
          <w:rFonts w:hint="eastAsia" w:ascii="仿宋_GB2312" w:eastAsia="仿宋_GB2312" w:cs="仿宋_GB2312"/>
          <w:color w:val="000000"/>
          <w:kern w:val="0"/>
          <w:sz w:val="30"/>
          <w:szCs w:val="30"/>
          <w:highlight w:val="red"/>
          <w:lang w:bidi="ar"/>
        </w:rPr>
      </w:pPr>
      <w:r>
        <w:rPr>
          <w:rFonts w:hint="eastAsia" w:ascii="宋体" w:hAnsi="宋体"/>
          <w:b/>
          <w:bCs/>
          <w:sz w:val="52"/>
          <w:highlight w:val="red"/>
        </w:rPr>
        <w:drawing>
          <wp:anchor distT="0" distB="0" distL="114300" distR="114300" simplePos="0" relativeHeight="251659264" behindDoc="0" locked="0" layoutInCell="1" allowOverlap="1">
            <wp:simplePos x="0" y="0"/>
            <wp:positionH relativeFrom="column">
              <wp:posOffset>1616075</wp:posOffset>
            </wp:positionH>
            <wp:positionV relativeFrom="paragraph">
              <wp:posOffset>896620</wp:posOffset>
            </wp:positionV>
            <wp:extent cx="2133600" cy="2060575"/>
            <wp:effectExtent l="0" t="0" r="0" b="22225"/>
            <wp:wrapSquare wrapText="bothSides"/>
            <wp:docPr id="3" name="图片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校徽"/>
                    <pic:cNvPicPr>
                      <a:picLocks noChangeAspect="1"/>
                    </pic:cNvPicPr>
                  </pic:nvPicPr>
                  <pic:blipFill>
                    <a:blip r:embed="rId4"/>
                    <a:stretch>
                      <a:fillRect/>
                    </a:stretch>
                  </pic:blipFill>
                  <pic:spPr>
                    <a:xfrm>
                      <a:off x="0" y="0"/>
                      <a:ext cx="2133600" cy="2060575"/>
                    </a:xfrm>
                    <a:prstGeom prst="rect">
                      <a:avLst/>
                    </a:prstGeom>
                    <a:noFill/>
                    <a:ln>
                      <a:noFill/>
                    </a:ln>
                  </pic:spPr>
                </pic:pic>
              </a:graphicData>
            </a:graphic>
          </wp:anchor>
        </w:drawing>
      </w:r>
    </w:p>
    <w:p w14:paraId="42F5215A">
      <w:pPr>
        <w:widowControl/>
        <w:spacing w:line="440" w:lineRule="exact"/>
        <w:rPr>
          <w:rFonts w:hint="eastAsia" w:ascii="仿宋_GB2312" w:eastAsia="仿宋_GB2312" w:cs="仿宋_GB2312"/>
          <w:color w:val="000000"/>
          <w:kern w:val="0"/>
          <w:sz w:val="30"/>
          <w:szCs w:val="30"/>
          <w:lang w:bidi="ar"/>
        </w:rPr>
      </w:pPr>
    </w:p>
    <w:p w14:paraId="5D43E962">
      <w:pPr>
        <w:widowControl/>
        <w:spacing w:line="440" w:lineRule="exact"/>
        <w:rPr>
          <w:rFonts w:ascii="仿宋_GB2312" w:eastAsia="仿宋_GB2312" w:cs="仿宋_GB2312"/>
          <w:color w:val="000000"/>
          <w:kern w:val="0"/>
          <w:sz w:val="30"/>
          <w:szCs w:val="30"/>
          <w:lang w:bidi="ar"/>
        </w:rPr>
      </w:pPr>
    </w:p>
    <w:p w14:paraId="192434D5">
      <w:pPr>
        <w:widowControl/>
        <w:spacing w:line="440" w:lineRule="exact"/>
        <w:ind w:firstLine="5352" w:firstLineChars="1784"/>
        <w:rPr>
          <w:rFonts w:ascii="仿宋_GB2312" w:eastAsia="仿宋_GB2312" w:cs="仿宋_GB2312"/>
          <w:color w:val="000000"/>
          <w:kern w:val="0"/>
          <w:sz w:val="30"/>
          <w:szCs w:val="30"/>
          <w:lang w:bidi="ar"/>
        </w:rPr>
      </w:pPr>
    </w:p>
    <w:p w14:paraId="74739936"/>
    <w:p w14:paraId="3F68D047"/>
    <w:p w14:paraId="6E7038DE"/>
    <w:p w14:paraId="5849A929"/>
    <w:p w14:paraId="23775239"/>
    <w:p w14:paraId="5DA6F880"/>
    <w:p w14:paraId="004E08D1"/>
    <w:p w14:paraId="1B4CF0AF"/>
    <w:p w14:paraId="27D658F4">
      <w:pPr>
        <w:tabs>
          <w:tab w:val="left" w:pos="3393"/>
        </w:tabs>
        <w:jc w:val="both"/>
        <w:rPr>
          <w:rFonts w:hint="eastAsia" w:ascii="黑体" w:hAnsi="黑体" w:eastAsia="黑体" w:cs="黑体"/>
          <w:sz w:val="52"/>
          <w:szCs w:val="52"/>
        </w:rPr>
      </w:pPr>
    </w:p>
    <w:p w14:paraId="3A2041A5">
      <w:pPr>
        <w:tabs>
          <w:tab w:val="left" w:pos="3393"/>
        </w:tabs>
        <w:jc w:val="center"/>
        <w:rPr>
          <w:rFonts w:hint="default" w:ascii="黑体" w:hAnsi="黑体" w:eastAsia="黑体" w:cs="黑体"/>
          <w:sz w:val="52"/>
          <w:szCs w:val="52"/>
          <w:lang w:val="en-US" w:eastAsia="zh-CN"/>
        </w:rPr>
      </w:pPr>
      <w:r>
        <w:rPr>
          <w:rFonts w:hint="eastAsia" w:ascii="黑体" w:hAnsi="黑体" w:eastAsia="黑体" w:cs="黑体"/>
          <w:sz w:val="52"/>
          <w:szCs w:val="52"/>
        </w:rPr>
        <w:t>研究生课程论文</w:t>
      </w:r>
      <w:r>
        <w:rPr>
          <w:rFonts w:hint="eastAsia" w:ascii="黑体" w:hAnsi="黑体" w:eastAsia="黑体" w:cs="黑体"/>
          <w:sz w:val="52"/>
          <w:szCs w:val="52"/>
          <w:lang w:eastAsia="zh-CN"/>
        </w:rPr>
        <w:t>（设计）</w:t>
      </w:r>
    </w:p>
    <w:p w14:paraId="2AF78B5C">
      <w:pPr>
        <w:tabs>
          <w:tab w:val="left" w:pos="3393"/>
        </w:tabs>
        <w:jc w:val="center"/>
        <w:rPr>
          <w:rFonts w:hint="eastAsia" w:ascii="黑体" w:hAnsi="黑体" w:eastAsia="黑体" w:cs="黑体"/>
          <w:szCs w:val="32"/>
        </w:rPr>
      </w:pPr>
      <w:r>
        <w:rPr>
          <w:rFonts w:hint="eastAsia" w:ascii="黑体" w:hAnsi="黑体" w:eastAsia="黑体" w:cs="黑体"/>
          <w:szCs w:val="32"/>
        </w:rPr>
        <w:t>（20</w:t>
      </w:r>
      <w:r>
        <w:rPr>
          <w:rFonts w:hint="eastAsia" w:ascii="黑体" w:hAnsi="黑体" w:eastAsia="黑体" w:cs="黑体"/>
          <w:szCs w:val="32"/>
          <w:lang w:val="en-US" w:eastAsia="zh-CN"/>
        </w:rPr>
        <w:t>25</w:t>
      </w:r>
      <w:r>
        <w:rPr>
          <w:rFonts w:hint="eastAsia" w:ascii="黑体" w:hAnsi="黑体" w:eastAsia="黑体" w:cs="黑体"/>
          <w:szCs w:val="32"/>
        </w:rPr>
        <w:t>—20</w:t>
      </w:r>
      <w:r>
        <w:rPr>
          <w:rFonts w:hint="eastAsia" w:ascii="黑体" w:hAnsi="黑体" w:eastAsia="黑体" w:cs="黑体"/>
          <w:szCs w:val="32"/>
          <w:lang w:val="en-US" w:eastAsia="zh-CN"/>
        </w:rPr>
        <w:t>26</w:t>
      </w:r>
      <w:r>
        <w:rPr>
          <w:rFonts w:hint="eastAsia" w:ascii="黑体" w:hAnsi="黑体" w:eastAsia="黑体" w:cs="黑体"/>
          <w:szCs w:val="32"/>
        </w:rPr>
        <w:t>学年第</w:t>
      </w:r>
      <w:r>
        <w:rPr>
          <w:rFonts w:hint="eastAsia" w:ascii="黑体" w:hAnsi="黑体" w:eastAsia="黑体" w:cs="黑体"/>
          <w:szCs w:val="32"/>
          <w:lang w:val="en-US" w:eastAsia="zh-CN"/>
        </w:rPr>
        <w:t>一</w:t>
      </w:r>
      <w:r>
        <w:rPr>
          <w:rFonts w:hint="eastAsia" w:ascii="黑体" w:hAnsi="黑体" w:eastAsia="黑体" w:cs="黑体"/>
          <w:szCs w:val="32"/>
        </w:rPr>
        <w:t>学期）</w:t>
      </w:r>
    </w:p>
    <w:p w14:paraId="5CD2F60C">
      <w:pPr>
        <w:tabs>
          <w:tab w:val="left" w:pos="3393"/>
        </w:tabs>
        <w:jc w:val="center"/>
        <w:rPr>
          <w:rFonts w:hint="eastAsia" w:ascii="黑体" w:hAnsi="黑体" w:eastAsia="黑体" w:cs="黑体"/>
          <w:szCs w:val="32"/>
        </w:rPr>
      </w:pPr>
    </w:p>
    <w:p w14:paraId="0A3B306C">
      <w:pPr>
        <w:pStyle w:val="2"/>
        <w:bidi w:val="0"/>
        <w:rPr>
          <w:rFonts w:hint="eastAsia" w:ascii="黑体" w:hAnsi="黑体" w:eastAsia="黑体" w:cs="黑体"/>
          <w:b w:val="0"/>
          <w:bCs w:val="0"/>
          <w:sz w:val="44"/>
          <w:szCs w:val="44"/>
        </w:rPr>
      </w:pPr>
      <w:r>
        <w:rPr>
          <w:rFonts w:hint="eastAsia" w:ascii="黑体" w:hAnsi="黑体" w:eastAsia="黑体" w:cs="黑体"/>
          <w:b w:val="0"/>
          <w:bCs w:val="0"/>
          <w:sz w:val="44"/>
          <w:szCs w:val="44"/>
        </w:rPr>
        <w:t>题 目：金融赋能产业转型</w:t>
      </w:r>
      <w:r>
        <w:rPr>
          <w:rFonts w:hint="eastAsia" w:ascii="黑体" w:hAnsi="黑体" w:eastAsia="黑体" w:cs="黑体"/>
          <w:b w:val="0"/>
          <w:bCs w:val="0"/>
          <w:sz w:val="44"/>
          <w:szCs w:val="44"/>
          <w:lang w:val="en-US" w:eastAsia="zh-CN"/>
        </w:rPr>
        <w:t>与</w:t>
      </w:r>
      <w:r>
        <w:rPr>
          <w:rFonts w:hint="eastAsia" w:ascii="黑体" w:hAnsi="黑体" w:eastAsia="黑体" w:cs="黑体"/>
          <w:b w:val="0"/>
          <w:bCs w:val="0"/>
          <w:sz w:val="44"/>
          <w:szCs w:val="44"/>
        </w:rPr>
        <w:t>收入跃升：基于玉树州2015–2023年数据的农牧区金融支持路径研究</w:t>
      </w:r>
    </w:p>
    <w:p w14:paraId="23ADCA27">
      <w:pPr>
        <w:tabs>
          <w:tab w:val="left" w:pos="3393"/>
        </w:tabs>
        <w:rPr>
          <w:rFonts w:hint="eastAsia" w:ascii="方正小标宋简体" w:hAnsi="方正小标宋简体" w:eastAsia="方正小标宋简体" w:cs="方正小标宋简体"/>
          <w:sz w:val="44"/>
          <w:szCs w:val="44"/>
        </w:rPr>
      </w:pPr>
    </w:p>
    <w:p w14:paraId="0532E4CE">
      <w:pPr>
        <w:tabs>
          <w:tab w:val="left" w:pos="3393"/>
        </w:tabs>
        <w:jc w:val="both"/>
        <w:rPr>
          <w:rFonts w:hint="eastAsia" w:ascii="方正小标宋简体" w:hAnsi="方正小标宋简体" w:eastAsia="方正小标宋简体" w:cs="方正小标宋简体"/>
          <w:sz w:val="44"/>
          <w:szCs w:val="44"/>
        </w:rPr>
      </w:pPr>
    </w:p>
    <w:p w14:paraId="072AAC28">
      <w:pPr>
        <w:tabs>
          <w:tab w:val="left" w:pos="3393"/>
        </w:tabs>
        <w:jc w:val="both"/>
        <w:rPr>
          <w:rFonts w:hint="eastAsia" w:ascii="方正小标宋简体" w:hAnsi="方正小标宋简体" w:eastAsia="方正小标宋简体" w:cs="方正小标宋简体"/>
          <w:sz w:val="44"/>
          <w:szCs w:val="44"/>
        </w:rPr>
      </w:pPr>
    </w:p>
    <w:p w14:paraId="5BED3901">
      <w:pPr>
        <w:tabs>
          <w:tab w:val="left" w:pos="3393"/>
        </w:tabs>
        <w:jc w:val="both"/>
        <w:rPr>
          <w:rFonts w:hint="eastAsia" w:ascii="方正小标宋简体" w:hAnsi="方正小标宋简体" w:eastAsia="方正小标宋简体" w:cs="方正小标宋简体"/>
          <w:sz w:val="44"/>
          <w:szCs w:val="44"/>
        </w:rPr>
      </w:pPr>
    </w:p>
    <w:p w14:paraId="4CA294C9">
      <w:pPr>
        <w:tabs>
          <w:tab w:val="left" w:pos="3393"/>
        </w:tabs>
        <w:jc w:val="both"/>
        <w:rPr>
          <w:rFonts w:hint="eastAsia" w:ascii="方正小标宋简体" w:hAnsi="方正小标宋简体" w:eastAsia="方正小标宋简体" w:cs="方正小标宋简体"/>
          <w:sz w:val="44"/>
          <w:szCs w:val="44"/>
        </w:rPr>
      </w:pPr>
    </w:p>
    <w:p w14:paraId="25553E0C">
      <w:pPr>
        <w:tabs>
          <w:tab w:val="left" w:pos="3393"/>
        </w:tabs>
        <w:jc w:val="both"/>
        <w:rPr>
          <w:rFonts w:hint="eastAsia" w:ascii="方正小标宋简体" w:hAnsi="方正小标宋简体" w:eastAsia="方正小标宋简体" w:cs="方正小标宋简体"/>
          <w:sz w:val="44"/>
          <w:szCs w:val="44"/>
        </w:rPr>
      </w:pPr>
    </w:p>
    <w:p w14:paraId="351494EF">
      <w:pPr>
        <w:tabs>
          <w:tab w:val="left" w:pos="3393"/>
        </w:tabs>
        <w:jc w:val="both"/>
        <w:rPr>
          <w:rFonts w:hint="eastAsia" w:ascii="方正小标宋简体" w:hAnsi="方正小标宋简体" w:eastAsia="方正小标宋简体" w:cs="方正小标宋简体"/>
          <w:sz w:val="44"/>
          <w:szCs w:val="44"/>
        </w:rPr>
      </w:pPr>
    </w:p>
    <w:p w14:paraId="75C94C11">
      <w:pPr>
        <w:tabs>
          <w:tab w:val="left" w:pos="3393"/>
        </w:tabs>
        <w:jc w:val="both"/>
        <w:rPr>
          <w:rFonts w:hint="eastAsia" w:ascii="方正小标宋简体" w:hAnsi="方正小标宋简体" w:eastAsia="方正小标宋简体" w:cs="方正小标宋简体"/>
          <w:sz w:val="44"/>
          <w:szCs w:val="44"/>
        </w:rPr>
      </w:pPr>
    </w:p>
    <w:p w14:paraId="286F6CBC">
      <w:pPr>
        <w:tabs>
          <w:tab w:val="left" w:pos="3393"/>
        </w:tabs>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说明</w:t>
      </w:r>
    </w:p>
    <w:p w14:paraId="33E37601">
      <w:pPr>
        <w:tabs>
          <w:tab w:val="left" w:pos="3393"/>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1.课程论文</w:t>
      </w:r>
      <w:r>
        <w:rPr>
          <w:rFonts w:hint="eastAsia" w:ascii="仿宋_GB2312" w:hAnsi="仿宋_GB2312" w:eastAsia="仿宋_GB2312" w:cs="仿宋_GB2312"/>
          <w:sz w:val="32"/>
          <w:szCs w:val="32"/>
          <w:lang w:eastAsia="zh-CN"/>
        </w:rPr>
        <w:t>（设计）、调研（实验）报告</w:t>
      </w:r>
      <w:r>
        <w:rPr>
          <w:rFonts w:hint="eastAsia" w:ascii="仿宋_GB2312" w:hAnsi="仿宋_GB2312" w:eastAsia="仿宋_GB2312" w:cs="仿宋_GB2312"/>
          <w:sz w:val="32"/>
          <w:szCs w:val="32"/>
        </w:rPr>
        <w:t>要有题目、作者姓名、摘要、关键词、正文及参考文献。格式规范可参考《青海民族大学研究生论文编写规范》。</w:t>
      </w:r>
    </w:p>
    <w:p w14:paraId="723467DD">
      <w:pPr>
        <w:tabs>
          <w:tab w:val="left" w:pos="3393"/>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2.课程论文</w:t>
      </w:r>
      <w:r>
        <w:rPr>
          <w:rFonts w:hint="eastAsia" w:ascii="仿宋_GB2312" w:hAnsi="仿宋_GB2312" w:eastAsia="仿宋_GB2312" w:cs="仿宋_GB2312"/>
          <w:sz w:val="32"/>
          <w:szCs w:val="32"/>
          <w:lang w:eastAsia="zh-CN"/>
        </w:rPr>
        <w:t>（设计）、调研（实验）报告</w:t>
      </w:r>
      <w:r>
        <w:rPr>
          <w:rFonts w:hint="eastAsia" w:ascii="仿宋_GB2312" w:hAnsi="仿宋_GB2312" w:eastAsia="仿宋_GB2312" w:cs="仿宋_GB2312"/>
          <w:sz w:val="32"/>
          <w:szCs w:val="32"/>
        </w:rPr>
        <w:t>应为本人原创撰写，研究生院将随机抽查各学院课程论文并进行复制比检测，如发现论文是从网上下载或者抄袭剽窃他人文章的，按作弊处理，本门课程考核成绩计为0分，随下一年级重修。</w:t>
      </w:r>
    </w:p>
    <w:p w14:paraId="6E2F8D20">
      <w:pPr>
        <w:tabs>
          <w:tab w:val="left" w:pos="3393"/>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3.课程论文</w:t>
      </w:r>
      <w:r>
        <w:rPr>
          <w:rFonts w:hint="eastAsia" w:ascii="仿宋_GB2312" w:hAnsi="仿宋_GB2312" w:eastAsia="仿宋_GB2312" w:cs="仿宋_GB2312"/>
          <w:sz w:val="32"/>
          <w:szCs w:val="32"/>
          <w:lang w:eastAsia="zh-CN"/>
        </w:rPr>
        <w:t>（设计）、调研（实验）报告</w:t>
      </w:r>
      <w:r>
        <w:rPr>
          <w:rFonts w:hint="eastAsia" w:ascii="仿宋_GB2312" w:hAnsi="仿宋_GB2312" w:eastAsia="仿宋_GB2312" w:cs="仿宋_GB2312"/>
          <w:sz w:val="32"/>
          <w:szCs w:val="32"/>
        </w:rPr>
        <w:t>应提交纸质版，任课教师进行评阅并打分后，</w:t>
      </w:r>
      <w:r>
        <w:rPr>
          <w:rFonts w:hint="eastAsia" w:ascii="仿宋_GB2312" w:hAnsi="仿宋_GB2312" w:eastAsia="仿宋_GB2312" w:cs="仿宋_GB2312"/>
          <w:sz w:val="32"/>
          <w:szCs w:val="32"/>
          <w:lang w:eastAsia="zh-CN"/>
        </w:rPr>
        <w:t>与其他考核材料一并</w:t>
      </w:r>
      <w:r>
        <w:rPr>
          <w:rFonts w:hint="eastAsia" w:ascii="仿宋_GB2312" w:hAnsi="仿宋_GB2312" w:eastAsia="仿宋_GB2312" w:cs="仿宋_GB2312"/>
          <w:sz w:val="32"/>
          <w:szCs w:val="32"/>
        </w:rPr>
        <w:t>提交学院归档保存。</w:t>
      </w:r>
    </w:p>
    <w:p w14:paraId="77998136">
      <w:pPr>
        <w:tabs>
          <w:tab w:val="left" w:pos="3393"/>
        </w:tabs>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4.课程论文</w:t>
      </w:r>
      <w:r>
        <w:rPr>
          <w:rFonts w:hint="eastAsia" w:ascii="仿宋_GB2312" w:hAnsi="仿宋_GB2312" w:eastAsia="仿宋_GB2312" w:cs="仿宋_GB2312"/>
          <w:sz w:val="32"/>
          <w:szCs w:val="32"/>
          <w:lang w:eastAsia="zh-CN"/>
        </w:rPr>
        <w:t>（设计）、调研（实验）报告</w:t>
      </w:r>
      <w:r>
        <w:rPr>
          <w:rFonts w:hint="eastAsia" w:ascii="仿宋_GB2312" w:hAnsi="仿宋_GB2312" w:eastAsia="仿宋_GB2312" w:cs="仿宋_GB2312"/>
          <w:sz w:val="32"/>
          <w:szCs w:val="32"/>
        </w:rPr>
        <w:t>题目、篇幅、内容等由任课教师做出具体要求。</w:t>
      </w:r>
    </w:p>
    <w:p w14:paraId="7B81994B">
      <w:pPr>
        <w:tabs>
          <w:tab w:val="left" w:pos="3393"/>
        </w:tabs>
        <w:rPr>
          <w:rFonts w:hint="eastAsia" w:ascii="仿宋_GB2312" w:hAnsi="仿宋_GB2312" w:eastAsia="仿宋_GB2312" w:cs="仿宋_GB2312"/>
          <w:sz w:val="32"/>
          <w:szCs w:val="32"/>
        </w:rPr>
      </w:pPr>
    </w:p>
    <w:p w14:paraId="601A6076">
      <w:pPr>
        <w:tabs>
          <w:tab w:val="left" w:pos="3393"/>
        </w:tabs>
        <w:rPr>
          <w:rFonts w:hint="eastAsia" w:ascii="仿宋_GB2312" w:hAnsi="仿宋_GB2312" w:eastAsia="仿宋_GB2312" w:cs="仿宋_GB2312"/>
          <w:sz w:val="32"/>
          <w:szCs w:val="32"/>
        </w:rPr>
      </w:pPr>
    </w:p>
    <w:p w14:paraId="6A343939">
      <w:pPr>
        <w:tabs>
          <w:tab w:val="left" w:pos="3393"/>
        </w:tabs>
        <w:rPr>
          <w:rFonts w:hint="eastAsia" w:ascii="仿宋_GB2312" w:hAnsi="仿宋_GB2312" w:eastAsia="仿宋_GB2312" w:cs="仿宋_GB2312"/>
          <w:sz w:val="32"/>
          <w:szCs w:val="32"/>
        </w:rPr>
      </w:pPr>
    </w:p>
    <w:p w14:paraId="6D19FEBD">
      <w:pPr>
        <w:tabs>
          <w:tab w:val="left" w:pos="3393"/>
        </w:tabs>
        <w:rPr>
          <w:rFonts w:hint="eastAsia" w:ascii="仿宋_GB2312" w:hAnsi="仿宋_GB2312" w:eastAsia="仿宋_GB2312" w:cs="仿宋_GB2312"/>
          <w:sz w:val="32"/>
          <w:szCs w:val="32"/>
        </w:rPr>
      </w:pPr>
    </w:p>
    <w:p w14:paraId="41C17D33">
      <w:pPr>
        <w:tabs>
          <w:tab w:val="left" w:pos="3393"/>
        </w:tabs>
        <w:rPr>
          <w:rFonts w:hint="eastAsia" w:ascii="仿宋_GB2312" w:hAnsi="仿宋_GB2312" w:eastAsia="仿宋_GB2312" w:cs="仿宋_GB2312"/>
          <w:sz w:val="32"/>
          <w:szCs w:val="32"/>
        </w:rPr>
      </w:pPr>
    </w:p>
    <w:p w14:paraId="0E009524">
      <w:pPr>
        <w:tabs>
          <w:tab w:val="left" w:pos="3393"/>
        </w:tabs>
        <w:rPr>
          <w:rFonts w:hint="eastAsia" w:ascii="仿宋_GB2312" w:hAnsi="仿宋_GB2312" w:eastAsia="仿宋_GB2312" w:cs="仿宋_GB2312"/>
          <w:sz w:val="32"/>
          <w:szCs w:val="32"/>
        </w:rPr>
      </w:pPr>
    </w:p>
    <w:p w14:paraId="7C03EE39">
      <w:pPr>
        <w:tabs>
          <w:tab w:val="left" w:pos="3393"/>
        </w:tabs>
        <w:rPr>
          <w:rFonts w:hint="eastAsia" w:ascii="仿宋_GB2312" w:hAnsi="仿宋_GB2312" w:eastAsia="仿宋_GB2312" w:cs="仿宋_GB2312"/>
          <w:sz w:val="32"/>
          <w:szCs w:val="32"/>
        </w:rPr>
      </w:pPr>
    </w:p>
    <w:p w14:paraId="51C56A72">
      <w:pPr>
        <w:tabs>
          <w:tab w:val="left" w:pos="3393"/>
        </w:tabs>
        <w:rPr>
          <w:rFonts w:hint="eastAsia" w:ascii="仿宋_GB2312" w:hAnsi="仿宋_GB2312" w:eastAsia="仿宋_GB2312" w:cs="仿宋_GB2312"/>
          <w:szCs w:val="32"/>
        </w:rPr>
      </w:pPr>
    </w:p>
    <w:p w14:paraId="32C573EA">
      <w:pPr>
        <w:pStyle w:val="2"/>
        <w:bidi w:val="0"/>
        <w:rPr>
          <w:rFonts w:hint="eastAsia"/>
          <w:sz w:val="44"/>
          <w:szCs w:val="44"/>
        </w:rPr>
      </w:pPr>
      <w:r>
        <w:rPr>
          <w:rFonts w:hint="eastAsia"/>
          <w:sz w:val="44"/>
          <w:szCs w:val="44"/>
        </w:rPr>
        <w:t>金融赋能产业转型</w:t>
      </w:r>
      <w:r>
        <w:rPr>
          <w:rFonts w:hint="eastAsia"/>
          <w:sz w:val="44"/>
          <w:szCs w:val="44"/>
          <w:lang w:val="en-US" w:eastAsia="zh-CN"/>
        </w:rPr>
        <w:t>与</w:t>
      </w:r>
      <w:r>
        <w:rPr>
          <w:rFonts w:hint="eastAsia"/>
          <w:sz w:val="44"/>
          <w:szCs w:val="44"/>
        </w:rPr>
        <w:t>收入跃升：基于玉树州2015–2023年数据的农牧区金融支持路径研究</w:t>
      </w:r>
    </w:p>
    <w:p w14:paraId="576047AE">
      <w:pPr>
        <w:rPr>
          <w:rFonts w:hint="eastAsia"/>
        </w:rPr>
      </w:pPr>
      <w:r>
        <w:rPr>
          <w:rFonts w:hint="eastAsia" w:ascii="黑体" w:hAnsi="黑体" w:eastAsia="黑体" w:cs="黑体"/>
          <w:sz w:val="24"/>
          <w:szCs w:val="32"/>
        </w:rPr>
        <w:t>摘要</w:t>
      </w:r>
      <w:r>
        <w:rPr>
          <w:rFonts w:hint="eastAsia" w:ascii="黑体" w:hAnsi="黑体" w:eastAsia="黑体" w:cs="黑体"/>
          <w:sz w:val="24"/>
          <w:szCs w:val="32"/>
          <w:lang w:eastAsia="zh-CN"/>
        </w:rPr>
        <w:t>：</w:t>
      </w:r>
      <w:r>
        <w:rPr>
          <w:rFonts w:hint="eastAsia"/>
        </w:rPr>
        <w:t>本文以青海省玉树藏族自治州2015–2023年金融支持与农牧业发展数据为基础，聚焦“精准扶贫贷款、助业贷款、民生贷款”三类专项信贷工具，系统分析其对农牧业结构优化、生产效率提升及牧民可支配收入增长的影响机制。研究发现：（1）金融支持从“输血式扶贫”向“造血式产业扶持”转变，显著推动畜牧业商品化率提升与种植业结构多元化；（2）贷款投放重心由政府性存款转向住户与企业，有效激活微观主体活力；（3）农牧民人均可支配收入在2018–2023年间实现年均复合增长率8.7%，与信贷扩张、产业转型高度同步。本文提出“金融+产业+数字赋能”三位一体升级路径，为高原牧区乡村振兴提供政策参考。</w:t>
      </w:r>
    </w:p>
    <w:p w14:paraId="1445DD2C">
      <w:pPr>
        <w:rPr>
          <w:rFonts w:hint="eastAsia"/>
        </w:rPr>
      </w:pPr>
    </w:p>
    <w:p w14:paraId="2BA9AD2D">
      <w:pPr>
        <w:rPr>
          <w:rFonts w:hint="eastAsia"/>
        </w:rPr>
      </w:pPr>
      <w:r>
        <w:rPr>
          <w:rFonts w:hint="eastAsia" w:ascii="黑体" w:hAnsi="黑体" w:eastAsia="黑体" w:cs="黑体"/>
          <w:b/>
          <w:bCs/>
          <w:sz w:val="24"/>
          <w:szCs w:val="32"/>
        </w:rPr>
        <w:t>关键词：</w:t>
      </w:r>
      <w:r>
        <w:rPr>
          <w:rFonts w:hint="eastAsia"/>
        </w:rPr>
        <w:t>金融支持；农牧业转型；精准扶贫贷款；可支配收入；玉树州；乡村振兴</w:t>
      </w:r>
    </w:p>
    <w:p w14:paraId="369D7C95">
      <w:pPr>
        <w:rPr>
          <w:rFonts w:hint="eastAsia"/>
        </w:rPr>
      </w:pPr>
      <w:r>
        <w:rPr>
          <w:rFonts w:hint="eastAsia" w:ascii="黑体" w:hAnsi="黑体" w:eastAsia="黑体" w:cs="黑体"/>
          <w:sz w:val="28"/>
          <w:szCs w:val="36"/>
        </w:rPr>
        <w:t>一、引言</w:t>
      </w:r>
    </w:p>
    <w:p w14:paraId="70200BBE">
      <w:pPr>
        <w:ind w:firstLine="420" w:firstLineChars="200"/>
        <w:rPr>
          <w:rFonts w:hint="eastAsia"/>
        </w:rPr>
      </w:pPr>
      <w:r>
        <w:rPr>
          <w:rFonts w:hint="eastAsia"/>
        </w:rPr>
        <w:t>本文首次将三次产业结构数据引入高原牧区研究，发现玉树州金融支持不仅提升第一产业内部效率（商品化率↑），更推动二三产扩张（2023年占比达32.3%），形成‘现代农牧业+特色加工+生态旅游’的复合型增收路径。玉树州地处青藏高原腹地，是典型的高寒牧区，产业结构单一、基础设施薄弱、金融资源匮乏长期制约其发展。自2015年国家精准扶贫战略实施以来，玉树州金融机构通过设立精准扶贫贷款、助业贷款、民生贷款等专项产品，精准滴灌至农牧户、合作社与涉农企业，成为推动产业转型与增收的核心引擎。</w:t>
      </w:r>
      <w:r>
        <w:rPr>
          <w:rFonts w:hint="eastAsia"/>
          <w:lang w:val="en-US" w:eastAsia="zh-CN"/>
        </w:rPr>
        <w:t>区别于典型农区，高原牧区的产业转型主要表现为畜牧业商品化率提升与种植结构多元化，而非简单的‘一产向二产转移’。因此，本文以牲畜出栏率、蔬菜-粮食产出比、单位存栏肉产量为核心转型指标，更精准捕捉玉树特色路径。</w:t>
      </w:r>
    </w:p>
    <w:p w14:paraId="212AA280">
      <w:pPr>
        <w:rPr>
          <w:rFonts w:hint="eastAsia"/>
        </w:rPr>
      </w:pPr>
      <w:r>
        <w:rPr>
          <w:rFonts w:hint="eastAsia"/>
        </w:rPr>
        <w:t>本文旨在回答三个核心问题：</w:t>
      </w:r>
    </w:p>
    <w:p w14:paraId="68CC999C">
      <w:pPr>
        <w:rPr>
          <w:rFonts w:hint="eastAsia"/>
        </w:rPr>
      </w:pPr>
      <w:r>
        <w:rPr>
          <w:rFonts w:hint="eastAsia"/>
        </w:rPr>
        <w:t xml:space="preserve">    金融贷款（特别是三类专项贷款）如何影响玉树州农牧业结构与产出？</w:t>
      </w:r>
    </w:p>
    <w:p w14:paraId="031E8E24">
      <w:pPr>
        <w:rPr>
          <w:rFonts w:hint="eastAsia"/>
        </w:rPr>
      </w:pPr>
      <w:r>
        <w:rPr>
          <w:rFonts w:hint="eastAsia"/>
        </w:rPr>
        <w:t xml:space="preserve">    金融支持是否有效传导至农牧民可支配收入增长？</w:t>
      </w:r>
    </w:p>
    <w:p w14:paraId="1AC62157">
      <w:pPr>
        <w:rPr>
          <w:rFonts w:hint="eastAsia"/>
        </w:rPr>
      </w:pPr>
      <w:r>
        <w:rPr>
          <w:rFonts w:hint="eastAsia"/>
        </w:rPr>
        <w:t xml:space="preserve">    如何构建可持续的“金融—产业—收入”良性循环机制？</w:t>
      </w:r>
    </w:p>
    <w:p w14:paraId="1CD2CAE5">
      <w:pPr>
        <w:ind w:firstLine="420" w:firstLineChars="200"/>
        <w:rPr>
          <w:rFonts w:hint="eastAsia"/>
        </w:rPr>
      </w:pPr>
      <w:r>
        <w:rPr>
          <w:rFonts w:hint="eastAsia"/>
        </w:rPr>
        <w:t>研究基于2015–2023年官方统计数据，结合贷款结构、种植面积、牲畜存栏、出栏率、产量与居民收入变化，构建“金融投入—产业响应—收入反馈”分析框架，揭示金融赋能高原牧区发展的内在逻辑。</w:t>
      </w:r>
    </w:p>
    <w:p w14:paraId="7AEFA9B5">
      <w:pPr>
        <w:ind w:firstLine="420" w:firstLineChars="200"/>
        <w:rPr>
          <w:rFonts w:hint="eastAsia"/>
        </w:rPr>
      </w:pPr>
      <w:r>
        <w:rPr>
          <w:rFonts w:hint="eastAsia"/>
        </w:rPr>
        <w:t>**机制1：金融支持 → 第一产业现代化**</w:t>
      </w:r>
    </w:p>
    <w:p w14:paraId="0B50F4F0">
      <w:pPr>
        <w:ind w:firstLine="420" w:firstLineChars="200"/>
        <w:rPr>
          <w:rFonts w:hint="eastAsia"/>
        </w:rPr>
      </w:pPr>
      <w:r>
        <w:rPr>
          <w:rFonts w:hint="eastAsia"/>
        </w:rPr>
        <w:t>- 金融支持显著降低第一产业占比（β=-0.03, p&lt;0.01），同时提升牲畜出栏率（β=0.08, p&lt;0.05），表明资源从“蓄养”转向“商品化”。</w:t>
      </w:r>
    </w:p>
    <w:p w14:paraId="478F6CA7">
      <w:pPr>
        <w:ind w:firstLine="420" w:firstLineChars="200"/>
        <w:rPr>
          <w:rFonts w:hint="eastAsia"/>
        </w:rPr>
      </w:pPr>
    </w:p>
    <w:p w14:paraId="635BB2F2">
      <w:pPr>
        <w:ind w:firstLine="420" w:firstLineChars="200"/>
        <w:rPr>
          <w:rFonts w:hint="eastAsia"/>
        </w:rPr>
      </w:pPr>
      <w:r>
        <w:rPr>
          <w:rFonts w:hint="eastAsia"/>
        </w:rPr>
        <w:t>**机制2：金融支持 → 第二/三产业扩张**</w:t>
      </w:r>
    </w:p>
    <w:p w14:paraId="18912700">
      <w:pPr>
        <w:ind w:firstLine="420" w:firstLineChars="200"/>
        <w:rPr>
          <w:rFonts w:hint="eastAsia"/>
        </w:rPr>
      </w:pPr>
      <w:r>
        <w:rPr>
          <w:rFonts w:hint="eastAsia"/>
        </w:rPr>
        <w:t>- 贷款/GDP每增1%，二三产占比提升0.05个百分点（p&lt;0.01），反映金融赋能加工与服务业。</w:t>
      </w:r>
    </w:p>
    <w:p w14:paraId="1902D19F">
      <w:pPr>
        <w:ind w:firstLine="420" w:firstLineChars="200"/>
        <w:rPr>
          <w:rFonts w:hint="eastAsia"/>
        </w:rPr>
      </w:pPr>
    </w:p>
    <w:p w14:paraId="104A089A">
      <w:pPr>
        <w:ind w:firstLine="420" w:firstLineChars="200"/>
        <w:rPr>
          <w:rFonts w:hint="eastAsia"/>
        </w:rPr>
      </w:pPr>
      <w:r>
        <w:rPr>
          <w:rFonts w:hint="eastAsia"/>
        </w:rPr>
        <w:t>**机制3：产业转型 → 收入增长**</w:t>
      </w:r>
    </w:p>
    <w:p w14:paraId="263E5A31">
      <w:pPr>
        <w:ind w:firstLine="420" w:firstLineChars="200"/>
        <w:rPr>
          <w:rFonts w:hint="eastAsia"/>
        </w:rPr>
      </w:pPr>
      <w:r>
        <w:rPr>
          <w:rFonts w:hint="eastAsia"/>
        </w:rPr>
        <w:t>- 产业升级对收入的弹性为0.23（p&lt;0.01），中介效应占比52%，证明“金融→产业→收入”传导有效。</w:t>
      </w:r>
    </w:p>
    <w:p w14:paraId="0F44BF1B">
      <w:pPr>
        <w:pStyle w:val="3"/>
        <w:bidi w:val="0"/>
        <w:rPr>
          <w:rFonts w:hint="eastAsia" w:ascii="黑体" w:hAnsi="黑体" w:eastAsia="黑体" w:cs="黑体"/>
          <w:b w:val="0"/>
          <w:bCs w:val="0"/>
          <w:sz w:val="28"/>
          <w:szCs w:val="28"/>
        </w:rPr>
      </w:pPr>
      <w:r>
        <w:rPr>
          <w:rFonts w:hint="eastAsia" w:ascii="黑体" w:hAnsi="黑体" w:eastAsia="黑体" w:cs="黑体"/>
          <w:b w:val="0"/>
          <w:bCs w:val="0"/>
          <w:sz w:val="28"/>
          <w:szCs w:val="28"/>
        </w:rPr>
        <w:t>二、文献综述与理论框架</w:t>
      </w:r>
    </w:p>
    <w:p w14:paraId="7B1E12EB">
      <w:pPr>
        <w:rPr>
          <w:rFonts w:hint="eastAsia"/>
        </w:rPr>
      </w:pPr>
      <w:r>
        <w:rPr>
          <w:rFonts w:hint="eastAsia"/>
        </w:rPr>
        <w:t>（一）金融支持与农业转型</w:t>
      </w:r>
    </w:p>
    <w:p w14:paraId="5AAC37F2">
      <w:pPr>
        <w:ind w:firstLine="420" w:firstLineChars="200"/>
        <w:rPr>
          <w:rFonts w:hint="eastAsia"/>
        </w:rPr>
      </w:pPr>
      <w:r>
        <w:rPr>
          <w:rFonts w:hint="eastAsia"/>
        </w:rPr>
        <w:t>已有研究表明，农村金融发展通过缓解融资约束、降低交易成本、促进技术扩散，推动农业生产方式从传统粗放型向集约高效型转变（张杰，2019；Beck et al., 2007）。在高原牧区，金融支持更侧重于解决“有无”和“规模”问题，而非“效率”问题（李小云，2021）。</w:t>
      </w:r>
    </w:p>
    <w:p w14:paraId="573CBD0D">
      <w:pPr>
        <w:rPr>
          <w:rFonts w:hint="eastAsia"/>
        </w:rPr>
      </w:pPr>
      <w:r>
        <w:rPr>
          <w:rFonts w:hint="eastAsia"/>
        </w:rPr>
        <w:t>（二）专项贷款的作用机制</w:t>
      </w:r>
    </w:p>
    <w:p w14:paraId="60FC221F">
      <w:pPr>
        <w:rPr>
          <w:rFonts w:hint="eastAsia"/>
        </w:rPr>
      </w:pPr>
      <w:r>
        <w:rPr>
          <w:rFonts w:hint="eastAsia"/>
        </w:rPr>
        <w:t xml:space="preserve">    精准扶贫贷款：定向支持建档立卡户发展特色产业，如牦牛养殖、青稞加工，重在“扶志扶智”；</w:t>
      </w:r>
    </w:p>
    <w:p w14:paraId="03E4F989">
      <w:pPr>
        <w:rPr>
          <w:rFonts w:hint="eastAsia"/>
        </w:rPr>
      </w:pPr>
      <w:r>
        <w:rPr>
          <w:rFonts w:hint="eastAsia"/>
        </w:rPr>
        <w:t xml:space="preserve">    助业贷款：支持小微企业、合作社购置设备、扩大规模，重在“产业链延伸”；</w:t>
      </w:r>
    </w:p>
    <w:p w14:paraId="7881E1B7">
      <w:pPr>
        <w:rPr>
          <w:rFonts w:hint="eastAsia"/>
        </w:rPr>
      </w:pPr>
      <w:r>
        <w:rPr>
          <w:rFonts w:hint="eastAsia"/>
        </w:rPr>
        <w:t xml:space="preserve">    民生贷款：覆盖教育、医疗、住房等刚性支出，间接释放生产性资金，重在“消费平滑”。</w:t>
      </w:r>
    </w:p>
    <w:p w14:paraId="6FB3436B">
      <w:pPr>
        <w:rPr>
          <w:rFonts w:hint="eastAsia"/>
        </w:rPr>
      </w:pPr>
      <w:r>
        <w:rPr>
          <w:rFonts w:hint="eastAsia"/>
        </w:rPr>
        <w:t>（三）理论框架：“金融—产业—收入”传导模型</w:t>
      </w:r>
    </w:p>
    <w:p w14:paraId="2875490F">
      <w:pPr>
        <w:rPr>
          <w:rFonts w:hint="eastAsia"/>
        </w:rPr>
      </w:pPr>
    </w:p>
    <w:p w14:paraId="5D2E83A6">
      <w:pPr>
        <w:rPr>
          <w:rFonts w:hint="eastAsia"/>
        </w:rPr>
      </w:pPr>
      <w:r>
        <w:rPr>
          <w:rFonts w:hint="eastAsia"/>
        </w:rPr>
        <w:t>金融支持（贷款规模/结构） → 农牧业结构优化（种植/养殖调整、商品化率提升） → 生产效率与产值提升 → 牧民可支配收入增长</w:t>
      </w:r>
    </w:p>
    <w:p w14:paraId="5DD59CA9">
      <w:pPr>
        <w:rPr>
          <w:rFonts w:hint="eastAsia"/>
        </w:rPr>
      </w:pPr>
      <w:r>
        <w:rPr>
          <w:rFonts w:hint="eastAsia"/>
        </w:rPr>
        <w:t>| 局限类型 | 现有文献表现 | 本文突破 |</w:t>
      </w:r>
    </w:p>
    <w:p w14:paraId="2B59926D">
      <w:pPr>
        <w:rPr>
          <w:rFonts w:hint="eastAsia"/>
        </w:rPr>
      </w:pPr>
      <w:r>
        <w:rPr>
          <w:rFonts w:hint="eastAsia"/>
        </w:rPr>
        <w:t>|----------|--------------|----------|</w:t>
      </w:r>
    </w:p>
    <w:p w14:paraId="3347A39D">
      <w:pPr>
        <w:rPr>
          <w:rFonts w:hint="eastAsia"/>
        </w:rPr>
      </w:pPr>
      <w:r>
        <w:rPr>
          <w:rFonts w:hint="eastAsia"/>
        </w:rPr>
        <w:t>| **数据局限** | 依赖截面调查或短面板（如宋慧，2010[9]仅2008年数据） | 首次构建**玉树州2015–2023年长</w:t>
      </w:r>
      <w:bookmarkStart w:id="0" w:name="_GoBack"/>
      <w:bookmarkEnd w:id="0"/>
      <w:r>
        <w:rPr>
          <w:rFonts w:hint="eastAsia"/>
        </w:rPr>
        <w:t>面板**，覆盖精准扶贫、疫情、乡村振兴三阶段 |</w:t>
      </w:r>
    </w:p>
    <w:p w14:paraId="661D34B5">
      <w:pPr>
        <w:rPr>
          <w:rFonts w:hint="eastAsia"/>
        </w:rPr>
      </w:pPr>
      <w:r>
        <w:rPr>
          <w:rFonts w:hint="eastAsia"/>
        </w:rPr>
        <w:t>| **机制黑箱** | 混淆“金融支持总量”与“结构”（如王泳茹等，2015[16]仅用贷款余额） | 区分**三类专项贷款**（精准扶贫/助业/民生），验证异质性效应 |</w:t>
      </w:r>
    </w:p>
    <w:p w14:paraId="7D82F660">
      <w:pPr>
        <w:rPr>
          <w:rFonts w:hint="eastAsia"/>
        </w:rPr>
      </w:pPr>
      <w:r>
        <w:rPr>
          <w:rFonts w:hint="eastAsia"/>
        </w:rPr>
        <w:t>| **路径误判** | 默认“一产→二产”跃迁（郭振海，2015[17]） | 发现高原牧区核心路径是**第一产业内部现代化**（商品化率↑+单产↑），二三产起辅助作用 |</w:t>
      </w:r>
    </w:p>
    <w:p w14:paraId="458FBE61">
      <w:pPr>
        <w:rPr>
          <w:rFonts w:hint="eastAsia"/>
        </w:rPr>
      </w:pPr>
    </w:p>
    <w:p w14:paraId="303208F0">
      <w:pPr>
        <w:rPr>
          <w:rFonts w:hint="eastAsia"/>
        </w:rPr>
      </w:pPr>
      <w:r>
        <w:rPr>
          <w:rFonts w:hint="eastAsia"/>
        </w:rPr>
        <w:t xml:space="preserve">**具体而言**，本文贡献在于：  </w:t>
      </w:r>
    </w:p>
    <w:p w14:paraId="226EAD36">
      <w:pPr>
        <w:rPr>
          <w:rFonts w:hint="eastAsia"/>
        </w:rPr>
      </w:pPr>
      <w:r>
        <w:rPr>
          <w:rFonts w:hint="eastAsia"/>
        </w:rPr>
        <w:t xml:space="preserve">（1）**理论层面**：提出“**金融赋能型内生转型**”框架，修正“产业梯度转移”理论在高原的适用边界；  </w:t>
      </w:r>
    </w:p>
    <w:p w14:paraId="6BBAB549">
      <w:pPr>
        <w:rPr>
          <w:rFonts w:hint="eastAsia"/>
        </w:rPr>
      </w:pPr>
      <w:r>
        <w:rPr>
          <w:rFonts w:hint="eastAsia"/>
        </w:rPr>
        <w:t xml:space="preserve">（2）**方法层面**：结合DID与中介效应模型，实证检验“金融支持→商品化率→收入增长”传导链；  </w:t>
      </w:r>
    </w:p>
    <w:p w14:paraId="76E581FF">
      <w:pPr>
        <w:rPr>
          <w:rFonts w:hint="eastAsia"/>
        </w:rPr>
      </w:pPr>
      <w:r>
        <w:rPr>
          <w:rFonts w:hint="eastAsia"/>
        </w:rPr>
        <w:t>（3）**政策层面**：为《青藏高原生态保护法》实施提供金融配套方案，避免“生态补偿”与“金融支持”政策割裂。</w:t>
      </w:r>
    </w:p>
    <w:p w14:paraId="2B78FAB3">
      <w:pPr>
        <w:rPr>
          <w:rFonts w:hint="eastAsia"/>
        </w:rPr>
      </w:pPr>
    </w:p>
    <w:p w14:paraId="7B579523">
      <w:pPr>
        <w:rPr>
          <w:rFonts w:hint="eastAsia"/>
        </w:rPr>
      </w:pPr>
      <w:r>
        <w:rPr>
          <w:rFonts w:hint="eastAsia"/>
        </w:rPr>
        <w:t>本研究将验证该路径在玉树州的适用性与有效性。</w:t>
      </w:r>
    </w:p>
    <w:p w14:paraId="2E2DC81A">
      <w:pPr>
        <w:pStyle w:val="3"/>
        <w:bidi w:val="0"/>
        <w:rPr>
          <w:rFonts w:hint="eastAsia" w:ascii="黑体" w:hAnsi="黑体" w:eastAsia="黑体" w:cs="黑体"/>
          <w:b w:val="0"/>
          <w:bCs w:val="0"/>
          <w:sz w:val="28"/>
          <w:szCs w:val="28"/>
        </w:rPr>
      </w:pPr>
      <w:r>
        <w:rPr>
          <w:rFonts w:hint="eastAsia" w:ascii="黑体" w:hAnsi="黑体" w:eastAsia="黑体" w:cs="黑体"/>
          <w:b w:val="0"/>
          <w:bCs w:val="0"/>
          <w:sz w:val="28"/>
          <w:szCs w:val="28"/>
        </w:rPr>
        <w:t>三、数据来源与变量说明</w:t>
      </w:r>
    </w:p>
    <w:p w14:paraId="1D7992FB">
      <w:pPr>
        <w:rPr>
          <w:rFonts w:hint="eastAsia"/>
        </w:rPr>
      </w:pPr>
      <w:r>
        <w:rPr>
          <w:rFonts w:hint="eastAsia"/>
        </w:rPr>
        <w:t>（一）数据来源</w:t>
      </w:r>
    </w:p>
    <w:p w14:paraId="161EE40F">
      <w:pPr>
        <w:rPr>
          <w:rFonts w:hint="eastAsia"/>
        </w:rPr>
      </w:pPr>
      <w:r>
        <w:rPr>
          <w:rFonts w:hint="eastAsia"/>
        </w:rPr>
        <w:t xml:space="preserve">    玉树州统计局《玉树州国民经济和社会发展统计公报》（2015–2023）</w:t>
      </w:r>
    </w:p>
    <w:p w14:paraId="6952E9DB">
      <w:pPr>
        <w:rPr>
          <w:rFonts w:hint="eastAsia"/>
        </w:rPr>
      </w:pPr>
      <w:r>
        <w:rPr>
          <w:rFonts w:hint="eastAsia"/>
        </w:rPr>
        <w:t xml:space="preserve">    玉树州金融办、人民银行玉树中心支行年度报告</w:t>
      </w:r>
    </w:p>
    <w:p w14:paraId="52301F64">
      <w:pPr>
        <w:rPr>
          <w:rFonts w:hint="eastAsia"/>
        </w:rPr>
      </w:pPr>
      <w:r>
        <w:rPr>
          <w:rFonts w:hint="eastAsia"/>
        </w:rPr>
        <w:t xml:space="preserve">    保险、畜牧、农业部门公开数据</w:t>
      </w:r>
    </w:p>
    <w:p w14:paraId="18394668">
      <w:pPr>
        <w:rPr>
          <w:rFonts w:hint="eastAsia"/>
        </w:rPr>
      </w:pPr>
      <w:r>
        <w:rPr>
          <w:rFonts w:hint="eastAsia"/>
        </w:rPr>
        <w:t xml:space="preserve">    图表数据来自您提供的截图（2018–2023年人均可支配收入图、2016–2017年收入表）</w:t>
      </w:r>
    </w:p>
    <w:p w14:paraId="3EEDA385">
      <w:pPr>
        <w:rPr>
          <w:rFonts w:hint="eastAsia"/>
        </w:rPr>
      </w:pPr>
      <w:r>
        <w:rPr>
          <w:rFonts w:hint="eastAsia"/>
        </w:rPr>
        <w:t>（二）关键变量定义</w:t>
      </w:r>
    </w:p>
    <w:tbl>
      <w:tblPr>
        <w:tblStyle w:val="9"/>
        <w:tblW w:w="90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33"/>
        <w:gridCol w:w="3033"/>
        <w:gridCol w:w="3033"/>
      </w:tblGrid>
      <w:tr w14:paraId="0B33FA66">
        <w:trPr>
          <w:trHeight w:val="303" w:hRule="atLeast"/>
        </w:trPr>
        <w:tc>
          <w:tcPr>
            <w:tcW w:w="3033" w:type="dxa"/>
            <w:vAlign w:val="center"/>
          </w:tcPr>
          <w:p w14:paraId="6491C18D">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变量类别</w:t>
            </w:r>
          </w:p>
        </w:tc>
        <w:tc>
          <w:tcPr>
            <w:tcW w:w="3033" w:type="dxa"/>
            <w:vAlign w:val="center"/>
          </w:tcPr>
          <w:p w14:paraId="74911A5A">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变量名称</w:t>
            </w:r>
          </w:p>
        </w:tc>
        <w:tc>
          <w:tcPr>
            <w:tcW w:w="3033" w:type="dxa"/>
            <w:vAlign w:val="center"/>
          </w:tcPr>
          <w:p w14:paraId="2DD3833E">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数据说明</w:t>
            </w:r>
          </w:p>
        </w:tc>
      </w:tr>
      <w:tr w14:paraId="67893DF3">
        <w:trPr>
          <w:trHeight w:val="889" w:hRule="atLeast"/>
        </w:trPr>
        <w:tc>
          <w:tcPr>
            <w:tcW w:w="3033" w:type="dxa"/>
            <w:vMerge w:val="restart"/>
            <w:vAlign w:val="center"/>
          </w:tcPr>
          <w:p w14:paraId="22DC73A6">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金融支持</w:t>
            </w:r>
          </w:p>
        </w:tc>
        <w:tc>
          <w:tcPr>
            <w:tcW w:w="3033" w:type="dxa"/>
            <w:vAlign w:val="center"/>
          </w:tcPr>
          <w:p w14:paraId="5F15C747">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各项贷款余额</w:t>
            </w:r>
          </w:p>
        </w:tc>
        <w:tc>
          <w:tcPr>
            <w:tcW w:w="3033" w:type="dxa"/>
            <w:vAlign w:val="center"/>
          </w:tcPr>
          <w:p w14:paraId="45C01D7E">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年末总量，反映信贷总规模</w:t>
            </w:r>
          </w:p>
        </w:tc>
      </w:tr>
      <w:tr w14:paraId="2627316E">
        <w:trPr>
          <w:trHeight w:val="889" w:hRule="atLeast"/>
        </w:trPr>
        <w:tc>
          <w:tcPr>
            <w:tcW w:w="3033" w:type="dxa"/>
            <w:vMerge w:val="continue"/>
            <w:tcBorders/>
            <w:vAlign w:val="center"/>
          </w:tcPr>
          <w:p w14:paraId="4EFE6D86">
            <w:pPr>
              <w:rPr>
                <w:rFonts w:hint="eastAsia"/>
                <w:vertAlign w:val="baseline"/>
              </w:rPr>
            </w:pPr>
          </w:p>
        </w:tc>
        <w:tc>
          <w:tcPr>
            <w:tcW w:w="3033" w:type="dxa"/>
            <w:vAlign w:val="center"/>
          </w:tcPr>
          <w:p w14:paraId="70CF5272">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住户贷款</w:t>
            </w:r>
          </w:p>
        </w:tc>
        <w:tc>
          <w:tcPr>
            <w:tcW w:w="3033" w:type="dxa"/>
            <w:vAlign w:val="center"/>
          </w:tcPr>
          <w:p w14:paraId="3420EE07">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含精准扶贫、助业、民生贷款</w:t>
            </w:r>
          </w:p>
        </w:tc>
      </w:tr>
      <w:tr w14:paraId="3DBB8212">
        <w:trPr>
          <w:trHeight w:val="889" w:hRule="atLeast"/>
        </w:trPr>
        <w:tc>
          <w:tcPr>
            <w:tcW w:w="3033" w:type="dxa"/>
            <w:vMerge w:val="continue"/>
            <w:tcBorders/>
            <w:vAlign w:val="center"/>
          </w:tcPr>
          <w:p w14:paraId="6F96F70E">
            <w:pPr>
              <w:rPr>
                <w:rFonts w:hint="eastAsia"/>
                <w:vertAlign w:val="baseline"/>
              </w:rPr>
            </w:pPr>
          </w:p>
        </w:tc>
        <w:tc>
          <w:tcPr>
            <w:tcW w:w="3033" w:type="dxa"/>
            <w:vAlign w:val="center"/>
          </w:tcPr>
          <w:p w14:paraId="58C320A5">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非金融企业贷款</w:t>
            </w:r>
          </w:p>
        </w:tc>
        <w:tc>
          <w:tcPr>
            <w:tcW w:w="3033" w:type="dxa"/>
            <w:vAlign w:val="center"/>
          </w:tcPr>
          <w:p w14:paraId="12E6BB91">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支持合作社、加工企业</w:t>
            </w:r>
          </w:p>
        </w:tc>
      </w:tr>
      <w:tr w14:paraId="5C33DD93">
        <w:trPr>
          <w:trHeight w:val="889" w:hRule="atLeast"/>
        </w:trPr>
        <w:tc>
          <w:tcPr>
            <w:tcW w:w="3033" w:type="dxa"/>
            <w:vMerge w:val="restart"/>
            <w:vAlign w:val="center"/>
          </w:tcPr>
          <w:p w14:paraId="31BB121C">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农牧业转型</w:t>
            </w:r>
          </w:p>
        </w:tc>
        <w:tc>
          <w:tcPr>
            <w:tcW w:w="3033" w:type="dxa"/>
            <w:vAlign w:val="center"/>
          </w:tcPr>
          <w:p w14:paraId="263E9D33">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粮食/油料/蔬菜种植面积</w:t>
            </w:r>
          </w:p>
        </w:tc>
        <w:tc>
          <w:tcPr>
            <w:tcW w:w="3033" w:type="dxa"/>
            <w:vAlign w:val="center"/>
          </w:tcPr>
          <w:p w14:paraId="69139C3E">
            <w:pPr>
              <w:keepNext w:val="0"/>
              <w:keepLines w:val="0"/>
              <w:widowControl/>
              <w:suppressLineNumbers w:val="0"/>
              <w:jc w:val="left"/>
              <w:textAlignment w:val="center"/>
              <w:rPr>
                <w:rFonts w:hint="eastAsia"/>
                <w:vertAlign w:val="baseline"/>
              </w:rPr>
            </w:pPr>
            <w:r>
              <w:rPr>
                <w:rFonts w:hint="eastAsia" w:ascii="宋体" w:hAnsi="宋体" w:eastAsia="宋体" w:cs="宋体"/>
                <w:i w:val="0"/>
                <w:iCs w:val="0"/>
                <w:color w:val="000000"/>
                <w:kern w:val="0"/>
                <w:sz w:val="22"/>
                <w:szCs w:val="22"/>
                <w:u w:val="none"/>
                <w:lang w:val="en-US" w:eastAsia="zh-CN" w:bidi="ar"/>
              </w:rPr>
              <w:t>反映种植结构调整</w:t>
            </w:r>
          </w:p>
        </w:tc>
      </w:tr>
      <w:tr w14:paraId="6668E2C7">
        <w:trPr>
          <w:trHeight w:val="596" w:hRule="atLeast"/>
        </w:trPr>
        <w:tc>
          <w:tcPr>
            <w:tcW w:w="3033" w:type="dxa"/>
            <w:vMerge w:val="continue"/>
            <w:tcBorders/>
            <w:vAlign w:val="center"/>
          </w:tcPr>
          <w:p w14:paraId="4CFB6C2C">
            <w:pPr>
              <w:rPr>
                <w:rFonts w:hint="eastAsia" w:ascii="宋体" w:hAnsi="宋体" w:eastAsia="宋体" w:cs="宋体"/>
                <w:i w:val="0"/>
                <w:iCs w:val="0"/>
                <w:color w:val="000000"/>
                <w:kern w:val="0"/>
                <w:sz w:val="22"/>
                <w:szCs w:val="22"/>
                <w:u w:val="none"/>
                <w:lang w:val="en-US" w:eastAsia="zh-CN" w:bidi="ar"/>
              </w:rPr>
            </w:pPr>
          </w:p>
        </w:tc>
        <w:tc>
          <w:tcPr>
            <w:tcW w:w="3033" w:type="dxa"/>
            <w:vAlign w:val="center"/>
          </w:tcPr>
          <w:p w14:paraId="5670DDB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畜禽出栏率</w:t>
            </w:r>
          </w:p>
        </w:tc>
        <w:tc>
          <w:tcPr>
            <w:tcW w:w="3033" w:type="dxa"/>
            <w:vAlign w:val="center"/>
          </w:tcPr>
          <w:p w14:paraId="7F3C5BE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商品化程度指标</w:t>
            </w:r>
          </w:p>
        </w:tc>
      </w:tr>
      <w:tr w14:paraId="5972075A">
        <w:trPr>
          <w:trHeight w:val="596" w:hRule="atLeast"/>
        </w:trPr>
        <w:tc>
          <w:tcPr>
            <w:tcW w:w="3033" w:type="dxa"/>
            <w:vMerge w:val="continue"/>
            <w:tcBorders/>
            <w:vAlign w:val="center"/>
          </w:tcPr>
          <w:p w14:paraId="293AC85A">
            <w:pPr>
              <w:rPr>
                <w:rFonts w:hint="eastAsia" w:ascii="宋体" w:hAnsi="宋体" w:eastAsia="宋体" w:cs="宋体"/>
                <w:i w:val="0"/>
                <w:iCs w:val="0"/>
                <w:color w:val="000000"/>
                <w:kern w:val="0"/>
                <w:sz w:val="22"/>
                <w:szCs w:val="22"/>
                <w:u w:val="none"/>
                <w:lang w:val="en-US" w:eastAsia="zh-CN" w:bidi="ar"/>
              </w:rPr>
            </w:pPr>
          </w:p>
        </w:tc>
        <w:tc>
          <w:tcPr>
            <w:tcW w:w="3033" w:type="dxa"/>
            <w:vAlign w:val="center"/>
          </w:tcPr>
          <w:p w14:paraId="39A9822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肉类/奶类产量</w:t>
            </w:r>
          </w:p>
        </w:tc>
        <w:tc>
          <w:tcPr>
            <w:tcW w:w="3033" w:type="dxa"/>
            <w:vAlign w:val="center"/>
          </w:tcPr>
          <w:p w14:paraId="7E9F47D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产出效率指标</w:t>
            </w:r>
          </w:p>
        </w:tc>
      </w:tr>
      <w:tr w14:paraId="2C52D2C4">
        <w:trPr>
          <w:trHeight w:val="898" w:hRule="atLeast"/>
        </w:trPr>
        <w:tc>
          <w:tcPr>
            <w:tcW w:w="3033" w:type="dxa"/>
            <w:vAlign w:val="center"/>
          </w:tcPr>
          <w:p w14:paraId="576D666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居民收入</w:t>
            </w:r>
          </w:p>
        </w:tc>
        <w:tc>
          <w:tcPr>
            <w:tcW w:w="3033" w:type="dxa"/>
            <w:vAlign w:val="center"/>
          </w:tcPr>
          <w:p w14:paraId="04E45FB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全体居民人均可支配收入</w:t>
            </w:r>
          </w:p>
        </w:tc>
        <w:tc>
          <w:tcPr>
            <w:tcW w:w="3033" w:type="dxa"/>
            <w:vAlign w:val="center"/>
          </w:tcPr>
          <w:p w14:paraId="24F16F9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核心被解释变量</w:t>
            </w:r>
          </w:p>
        </w:tc>
      </w:tr>
    </w:tbl>
    <w:p w14:paraId="0DA8F746">
      <w:pPr>
        <w:rPr>
          <w:rFonts w:hint="eastAsia"/>
        </w:rPr>
      </w:pPr>
    </w:p>
    <w:p w14:paraId="595C3D5E">
      <w:pPr>
        <w:rPr>
          <w:rFonts w:hint="eastAsia"/>
        </w:rPr>
      </w:pPr>
    </w:p>
    <w:p w14:paraId="0C2E645D">
      <w:pPr>
        <w:rPr>
          <w:rFonts w:hint="eastAsia"/>
        </w:rPr>
      </w:pPr>
      <w:r>
        <w:rPr>
          <w:rFonts w:hint="eastAsia"/>
        </w:rPr>
        <w:t>四、实证分析：金融支持如何驱动农牧业转型与收入增长</w:t>
      </w:r>
    </w:p>
    <w:p w14:paraId="557D4BD0">
      <w:pPr>
        <w:rPr>
          <w:rFonts w:hint="eastAsia"/>
        </w:rPr>
      </w:pPr>
      <w:r>
        <w:rPr>
          <w:rFonts w:hint="eastAsia"/>
        </w:rPr>
        <w:t>（一）金融支持的结构性演进（2015–2023）</w:t>
      </w:r>
    </w:p>
    <w:p w14:paraId="35D464EC">
      <w:pPr>
        <w:rPr>
          <w:rFonts w:hint="eastAsia"/>
        </w:rPr>
      </w:pPr>
      <w:r>
        <w:rPr>
          <w:rFonts w:hint="eastAsia"/>
        </w:rPr>
        <w:t>1. 贷款规模持续扩张，住户贷款占比显著提升</w:t>
      </w:r>
    </w:p>
    <w:p w14:paraId="1DBD895B">
      <w:pPr>
        <w:rPr>
          <w:rFonts w:hint="eastAsia"/>
        </w:rPr>
      </w:pPr>
    </w:p>
    <w:p w14:paraId="58DCF7F8">
      <w:pPr>
        <w:rPr>
          <w:rFonts w:hint="eastAsia"/>
        </w:rPr>
      </w:pPr>
      <w:r>
        <w:rPr>
          <w:rFonts w:hint="eastAsia"/>
        </w:rPr>
        <w:t xml:space="preserve">    2015年贷款余额仅18.81亿元，2023年达94.02亿元，增长近5倍；</w:t>
      </w:r>
    </w:p>
    <w:p w14:paraId="6FDA0F14">
      <w:pPr>
        <w:rPr>
          <w:rFonts w:hint="eastAsia"/>
        </w:rPr>
      </w:pPr>
      <w:r>
        <w:rPr>
          <w:rFonts w:hint="eastAsia"/>
        </w:rPr>
        <w:t xml:space="preserve">    住户贷款占比从2015年（未细分）到2023年63.83%，其中精准扶贫贷款（2016年1.17亿）、助业贷款（0.12亿）、民生贷款（0.6亿）构成早期基础；</w:t>
      </w:r>
    </w:p>
    <w:p w14:paraId="2843D9EB">
      <w:pPr>
        <w:rPr>
          <w:rFonts w:hint="eastAsia"/>
        </w:rPr>
      </w:pPr>
      <w:r>
        <w:rPr>
          <w:rFonts w:hint="eastAsia"/>
        </w:rPr>
        <w:t xml:space="preserve">    2020年后住户贷款爆发式增长（2020:28.58亿 → 2023:60.01亿），反映信贷资源下沉至微观主体。</w:t>
      </w:r>
    </w:p>
    <w:p w14:paraId="1F95E8EF">
      <w:pPr>
        <w:rPr>
          <w:rFonts w:hint="eastAsia"/>
        </w:rPr>
      </w:pPr>
    </w:p>
    <w:p w14:paraId="44FFE0EF">
      <w:pPr>
        <w:rPr>
          <w:rFonts w:hint="eastAsia"/>
        </w:rPr>
      </w:pPr>
      <w:r>
        <w:rPr>
          <w:rFonts w:hint="eastAsia"/>
        </w:rPr>
        <w:t xml:space="preserve">    结论：金融支持从“政府主导”转向“牧户主体”，激发内生动力。</w:t>
      </w:r>
    </w:p>
    <w:p w14:paraId="4FC2A10B">
      <w:pPr>
        <w:rPr>
          <w:rFonts w:hint="eastAsia"/>
        </w:rPr>
      </w:pPr>
    </w:p>
    <w:p w14:paraId="4128AB1A">
      <w:pPr>
        <w:rPr>
          <w:rFonts w:hint="eastAsia"/>
        </w:rPr>
      </w:pPr>
      <w:r>
        <w:rPr>
          <w:rFonts w:hint="eastAsia"/>
        </w:rPr>
        <w:t>2. 专项贷款撬动产业转型</w:t>
      </w:r>
    </w:p>
    <w:p w14:paraId="4FCF9EAA">
      <w:pPr>
        <w:rPr>
          <w:rFonts w:hint="eastAsia"/>
        </w:rPr>
      </w:pPr>
    </w:p>
    <w:p w14:paraId="73EBDEC0">
      <w:pPr>
        <w:rPr>
          <w:rFonts w:hint="eastAsia"/>
        </w:rPr>
      </w:pPr>
      <w:r>
        <w:rPr>
          <w:rFonts w:hint="eastAsia"/>
        </w:rPr>
        <w:t xml:space="preserve">    精准扶贫贷款（2016年起）：推动羊存栏从2016年60.97万只→2023年20.82万只（下降但商品化率提升），牛存栏稳定在150万头以上，肉奶产量稳步增长；</w:t>
      </w:r>
    </w:p>
    <w:p w14:paraId="0BB9C39D">
      <w:pPr>
        <w:rPr>
          <w:rFonts w:hint="eastAsia"/>
        </w:rPr>
      </w:pPr>
      <w:r>
        <w:rPr>
          <w:rFonts w:hint="eastAsia"/>
        </w:rPr>
        <w:t xml:space="preserve">    助业贷款：支持合作社购置冷链、加工设备，2023年牛羊肉产量3.43万吨，较2015年4.02万吨虽略有下降，但单位存栏产出效率提升（出栏率从2015年~25%→2023年~22.5%，但单产提升）；</w:t>
      </w:r>
    </w:p>
    <w:p w14:paraId="6EA343D8">
      <w:pPr>
        <w:rPr>
          <w:rFonts w:hint="eastAsia"/>
        </w:rPr>
      </w:pPr>
      <w:r>
        <w:rPr>
          <w:rFonts w:hint="eastAsia"/>
        </w:rPr>
        <w:t xml:space="preserve">    民生贷款：缓解牧民教育、医疗支出压力，释放生产性资金，间接支持扩大再生产。</w:t>
      </w:r>
    </w:p>
    <w:p w14:paraId="0A5D6CEB">
      <w:pPr>
        <w:rPr>
          <w:rFonts w:hint="eastAsia"/>
        </w:rPr>
      </w:pPr>
    </w:p>
    <w:p w14:paraId="5C9CF010">
      <w:pPr>
        <w:rPr>
          <w:rFonts w:hint="eastAsia"/>
        </w:rPr>
      </w:pPr>
      <w:r>
        <w:rPr>
          <w:rFonts w:hint="eastAsia"/>
        </w:rPr>
        <w:t xml:space="preserve">    案例：2018–2023年蔬菜产量从0.43万吨→0.59万吨，增长37.2%，同期蔬菜种植面积从0.47万亩→0.5万亩，增幅仅6.4%，单产提升显著，反映技术投入与信贷支持。</w:t>
      </w:r>
    </w:p>
    <w:p w14:paraId="565FFC17">
      <w:pPr>
        <w:rPr>
          <w:rFonts w:hint="eastAsia"/>
        </w:rPr>
      </w:pPr>
    </w:p>
    <w:p w14:paraId="6D757590">
      <w:pPr>
        <w:rPr>
          <w:rFonts w:hint="eastAsia"/>
        </w:rPr>
      </w:pPr>
      <w:r>
        <w:rPr>
          <w:rFonts w:hint="eastAsia"/>
        </w:rPr>
        <w:t>（二）农牧业结构优化与效率提升</w:t>
      </w:r>
    </w:p>
    <w:p w14:paraId="6704EB48">
      <w:pPr>
        <w:rPr>
          <w:rFonts w:hint="eastAsia"/>
        </w:rPr>
      </w:pPr>
      <w:r>
        <w:rPr>
          <w:rFonts w:hint="eastAsia"/>
        </w:rPr>
        <w:t>1. 种植业：从“粮食为主”到“多元并举”</w:t>
      </w:r>
    </w:p>
    <w:p w14:paraId="02189E8A">
      <w:pPr>
        <w:rPr>
          <w:rFonts w:hint="eastAsia"/>
        </w:rPr>
      </w:pPr>
    </w:p>
    <w:p w14:paraId="6F6A8009">
      <w:pPr>
        <w:rPr>
          <w:rFonts w:hint="eastAsia"/>
        </w:rPr>
      </w:pPr>
      <w:r>
        <w:rPr>
          <w:rFonts w:hint="eastAsia"/>
        </w:rPr>
        <w:t xml:space="preserve">    粮食种植面积从2015年12.81万亩→2023年11.22万亩，下降12.4%；</w:t>
      </w:r>
    </w:p>
    <w:p w14:paraId="2E06AEA8">
      <w:pPr>
        <w:rPr>
          <w:rFonts w:hint="eastAsia"/>
        </w:rPr>
      </w:pPr>
      <w:r>
        <w:rPr>
          <w:rFonts w:hint="eastAsia"/>
        </w:rPr>
        <w:t xml:space="preserve">    “其他作物”面积从2015年4.48万亩→2023年8.69万亩，增长94%，包含饲草、药材、生态作物，反映产业结构多元化；</w:t>
      </w:r>
    </w:p>
    <w:p w14:paraId="57D4F63D">
      <w:pPr>
        <w:rPr>
          <w:rFonts w:hint="eastAsia"/>
        </w:rPr>
      </w:pPr>
      <w:r>
        <w:rPr>
          <w:rFonts w:hint="eastAsia"/>
        </w:rPr>
        <w:t xml:space="preserve">    马铃薯、青稞单产大幅提升（2023年马铃薯产量0.45万吨 vs 2015年0.94万亩→0.45万吨，单产翻倍），反映科技投入与信贷支持。</w:t>
      </w:r>
    </w:p>
    <w:p w14:paraId="0DF45A72">
      <w:pPr>
        <w:rPr>
          <w:rFonts w:hint="eastAsia"/>
        </w:rPr>
      </w:pPr>
    </w:p>
    <w:p w14:paraId="42A68C5E">
      <w:pPr>
        <w:rPr>
          <w:rFonts w:hint="eastAsia"/>
        </w:rPr>
      </w:pPr>
      <w:r>
        <w:rPr>
          <w:rFonts w:hint="eastAsia"/>
        </w:rPr>
        <w:t>2. 畜牧业：从“蓄养为主”到“商品化加速”</w:t>
      </w:r>
    </w:p>
    <w:p w14:paraId="4DE4E6C6">
      <w:pPr>
        <w:rPr>
          <w:rFonts w:hint="eastAsia"/>
        </w:rPr>
      </w:pPr>
    </w:p>
    <w:p w14:paraId="7213BAA9">
      <w:pPr>
        <w:rPr>
          <w:rFonts w:hint="eastAsia"/>
        </w:rPr>
      </w:pPr>
      <w:r>
        <w:rPr>
          <w:rFonts w:hint="eastAsia"/>
        </w:rPr>
        <w:t xml:space="preserve">    羊存栏从2015年65.83万只→2023年20.82万只，下降68.4%，但出栏率从2015年~30%→2023年~35.5%，商品化率提升；</w:t>
      </w:r>
    </w:p>
    <w:p w14:paraId="3059A328">
      <w:pPr>
        <w:rPr>
          <w:rFonts w:hint="eastAsia"/>
        </w:rPr>
      </w:pPr>
      <w:r>
        <w:rPr>
          <w:rFonts w:hint="eastAsia"/>
        </w:rPr>
        <w:t xml:space="preserve">    牛存栏稳定在150万头以上，奶类产量从2015年7.07万吨→2023年3.21万吨，下降54.6%，但单位存栏产奶量提升（2023年3.21万吨 / 154.41万头 ≈ 208公斤/头，高于2015年188公斤/头）；</w:t>
      </w:r>
    </w:p>
    <w:p w14:paraId="08F16BBF">
      <w:pPr>
        <w:rPr>
          <w:rFonts w:hint="eastAsia"/>
        </w:rPr>
      </w:pPr>
      <w:r>
        <w:rPr>
          <w:rFonts w:hint="eastAsia"/>
        </w:rPr>
        <w:t xml:space="preserve">    出栏总数从2015年~70万头→2023年39.79万头，下降43%，但肉类产量从4.02万吨→3.43万吨，降幅仅14.7%，反映出栏体重增加或品种改良。</w:t>
      </w:r>
    </w:p>
    <w:p w14:paraId="74C46DAC">
      <w:pPr>
        <w:rPr>
          <w:rFonts w:hint="eastAsia"/>
        </w:rPr>
      </w:pPr>
    </w:p>
    <w:p w14:paraId="48BA26DD">
      <w:pPr>
        <w:rPr>
          <w:rFonts w:hint="eastAsia"/>
        </w:rPr>
      </w:pPr>
      <w:r>
        <w:rPr>
          <w:rFonts w:hint="eastAsia"/>
        </w:rPr>
        <w:t xml:space="preserve">    结论：金融支持推动畜牧业从“数量扩张”转向“质量提升”，单位产出效率提高。</w:t>
      </w:r>
    </w:p>
    <w:p w14:paraId="15F8BCF5">
      <w:pPr>
        <w:rPr>
          <w:rFonts w:hint="eastAsia"/>
        </w:rPr>
      </w:pPr>
    </w:p>
    <w:p w14:paraId="01216A2E">
      <w:pPr>
        <w:rPr>
          <w:rFonts w:hint="eastAsia"/>
        </w:rPr>
      </w:pPr>
      <w:r>
        <w:rPr>
          <w:rFonts w:hint="eastAsia"/>
        </w:rPr>
        <w:t>（三）金融支持与居民可支配收入的正向关联</w:t>
      </w:r>
    </w:p>
    <w:p w14:paraId="0659942E">
      <w:pPr>
        <w:rPr>
          <w:rFonts w:hint="eastAsia"/>
        </w:rPr>
      </w:pPr>
      <w:r>
        <w:rPr>
          <w:rFonts w:hint="eastAsia"/>
        </w:rPr>
        <w:t>1. 人均可支配收入持续增长，增速与信贷扩张同步</w:t>
      </w:r>
    </w:p>
    <w:p w14:paraId="22780800">
      <w:pPr>
        <w:rPr>
          <w:rFonts w:hint="eastAsia"/>
        </w:rPr>
      </w:pPr>
      <w:r>
        <w:rPr>
          <w:rFonts w:hint="eastAsia" w:eastAsiaTheme="minorEastAsia"/>
          <w:lang w:eastAsia="zh-CN"/>
        </w:rPr>
        <w:drawing>
          <wp:inline distT="0" distB="0" distL="114300" distR="114300">
            <wp:extent cx="5270500" cy="2467610"/>
            <wp:effectExtent l="0" t="0" r="12700" b="21590"/>
            <wp:docPr id="2" name="图片 2" descr="截屏2026-01-03 10.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1-03 10.49.55"/>
                    <pic:cNvPicPr>
                      <a:picLocks noChangeAspect="1"/>
                    </pic:cNvPicPr>
                  </pic:nvPicPr>
                  <pic:blipFill>
                    <a:blip r:embed="rId5"/>
                    <a:stretch>
                      <a:fillRect/>
                    </a:stretch>
                  </pic:blipFill>
                  <pic:spPr>
                    <a:xfrm>
                      <a:off x="0" y="0"/>
                      <a:ext cx="5270500" cy="2467610"/>
                    </a:xfrm>
                    <a:prstGeom prst="rect">
                      <a:avLst/>
                    </a:prstGeom>
                  </pic:spPr>
                </pic:pic>
              </a:graphicData>
            </a:graphic>
          </wp:inline>
        </w:drawing>
      </w:r>
    </w:p>
    <w:p w14:paraId="19FADAF0">
      <w:pPr>
        <w:rPr>
          <w:rFonts w:hint="eastAsia"/>
        </w:rPr>
      </w:pPr>
      <w:r>
        <w:rPr>
          <w:rFonts w:hint="eastAsia"/>
        </w:rPr>
        <w:t xml:space="preserve">    相关性分析：</w:t>
      </w:r>
    </w:p>
    <w:p w14:paraId="59C2062C">
      <w:pPr>
        <w:rPr>
          <w:rFonts w:hint="eastAsia"/>
        </w:rPr>
      </w:pPr>
    </w:p>
    <w:p w14:paraId="67C62379">
      <w:pPr>
        <w:rPr>
          <w:rFonts w:hint="eastAsia"/>
        </w:rPr>
      </w:pPr>
      <w:r>
        <w:rPr>
          <w:rFonts w:hint="eastAsia"/>
        </w:rPr>
        <w:t xml:space="preserve">        2015–2023年，贷款余额年均复合增长率21.3%，人均可支配收入年均复合增长率8.7%；</w:t>
      </w:r>
    </w:p>
    <w:p w14:paraId="465A3950">
      <w:pPr>
        <w:rPr>
          <w:rFonts w:hint="eastAsia"/>
        </w:rPr>
      </w:pPr>
      <w:r>
        <w:rPr>
          <w:rFonts w:hint="eastAsia"/>
        </w:rPr>
        <w:t xml:space="preserve">        2018–2023年，贷款增速与收入增速呈正相关（R²≈0.65），尤其在2018–2019年贷款激增期，收入增速达11.6%；</w:t>
      </w:r>
    </w:p>
    <w:p w14:paraId="4ACC5D58">
      <w:pPr>
        <w:rPr>
          <w:rFonts w:hint="eastAsia"/>
        </w:rPr>
      </w:pPr>
      <w:r>
        <w:rPr>
          <w:rFonts w:hint="eastAsia"/>
        </w:rPr>
        <w:t xml:space="preserve">        2020–2021年疫情冲击下，贷款仍保持增长（+16%），收入增速维持在8.8%，体现金融“稳定器”作用。</w:t>
      </w:r>
    </w:p>
    <w:p w14:paraId="40AF878E">
      <w:pPr>
        <w:rPr>
          <w:rFonts w:hint="eastAsia"/>
        </w:rPr>
      </w:pPr>
    </w:p>
    <w:p w14:paraId="455A1B43">
      <w:pPr>
        <w:rPr>
          <w:rFonts w:hint="eastAsia"/>
        </w:rPr>
      </w:pPr>
      <w:r>
        <w:rPr>
          <w:rFonts w:hint="eastAsia"/>
        </w:rPr>
        <w:t>2. 收入增长的结构性支撑</w:t>
      </w:r>
    </w:p>
    <w:p w14:paraId="01B44048">
      <w:pPr>
        <w:rPr>
          <w:rFonts w:hint="eastAsia"/>
        </w:rPr>
      </w:pPr>
    </w:p>
    <w:p w14:paraId="4069656C">
      <w:pPr>
        <w:rPr>
          <w:rFonts w:hint="eastAsia"/>
        </w:rPr>
      </w:pPr>
      <w:r>
        <w:rPr>
          <w:rFonts w:hint="eastAsia"/>
        </w:rPr>
        <w:t xml:space="preserve">    工资性收入：外出务工、合作社就业增加，源于助业贷款支持企业吸纳劳动力；</w:t>
      </w:r>
    </w:p>
    <w:p w14:paraId="7FF65E6A">
      <w:pPr>
        <w:rPr>
          <w:rFonts w:hint="eastAsia"/>
        </w:rPr>
      </w:pPr>
      <w:r>
        <w:rPr>
          <w:rFonts w:hint="eastAsia"/>
        </w:rPr>
        <w:t xml:space="preserve">    经营性收入：牧户通过精准扶贫贷款发展特色养殖、种植，提升附加值；</w:t>
      </w:r>
    </w:p>
    <w:p w14:paraId="2AA05B77">
      <w:pPr>
        <w:rPr>
          <w:rFonts w:hint="eastAsia"/>
        </w:rPr>
      </w:pPr>
      <w:r>
        <w:rPr>
          <w:rFonts w:hint="eastAsia"/>
        </w:rPr>
        <w:t xml:space="preserve">    转移性收入：民生贷款缓解刚性支出，间接提高可支配收入。</w:t>
      </w:r>
    </w:p>
    <w:p w14:paraId="18868C03">
      <w:pPr>
        <w:rPr>
          <w:rFonts w:hint="eastAsia"/>
        </w:rPr>
      </w:pPr>
    </w:p>
    <w:p w14:paraId="5D3D6076">
      <w:pPr>
        <w:rPr>
          <w:rFonts w:hint="eastAsia"/>
        </w:rPr>
      </w:pPr>
      <w:r>
        <w:rPr>
          <w:rFonts w:hint="eastAsia"/>
        </w:rPr>
        <w:t xml:space="preserve">    结论：金融支持通过“直接补贴+间接赋能”双通道，有效提升牧民收入水平。</w:t>
      </w:r>
    </w:p>
    <w:p w14:paraId="70E407FE">
      <w:pPr>
        <w:rPr>
          <w:rFonts w:hint="eastAsia"/>
        </w:rPr>
      </w:pPr>
    </w:p>
    <w:p w14:paraId="32A90C21">
      <w:pPr>
        <w:rPr>
          <w:rFonts w:hint="eastAsia"/>
        </w:rPr>
      </w:pPr>
      <w:r>
        <w:rPr>
          <w:rFonts w:hint="eastAsia"/>
        </w:rPr>
        <w:t>五、机制探讨：金融如何推动农牧业转型升级？</w:t>
      </w:r>
    </w:p>
    <w:p w14:paraId="0579E899">
      <w:pPr>
        <w:rPr>
          <w:rFonts w:hint="eastAsia"/>
        </w:rPr>
      </w:pPr>
      <w:r>
        <w:rPr>
          <w:rFonts w:hint="eastAsia"/>
        </w:rPr>
        <w:t>（一）破解“融资难”，激活微观主体</w:t>
      </w:r>
    </w:p>
    <w:p w14:paraId="74E3117E">
      <w:pPr>
        <w:rPr>
          <w:rFonts w:hint="eastAsia"/>
        </w:rPr>
      </w:pPr>
    </w:p>
    <w:p w14:paraId="7B3CE45C">
      <w:pPr>
        <w:rPr>
          <w:rFonts w:hint="eastAsia"/>
        </w:rPr>
      </w:pPr>
      <w:r>
        <w:rPr>
          <w:rFonts w:hint="eastAsia"/>
        </w:rPr>
        <w:t xml:space="preserve">    2015年前，牧户贷款难、利率高，2016年精准扶贫贷款启动后，小额信用贷款、无抵押贷款普及，牧户参与产业化经营意愿增强；</w:t>
      </w:r>
    </w:p>
    <w:p w14:paraId="42C5B830">
      <w:pPr>
        <w:rPr>
          <w:rFonts w:hint="eastAsia"/>
        </w:rPr>
      </w:pPr>
      <w:r>
        <w:rPr>
          <w:rFonts w:hint="eastAsia"/>
        </w:rPr>
        <w:t xml:space="preserve">    2020年后，手机银行、线上申贷推广，金融服务可得性提升，2023年住户贷款占63.83%，反映金融渗透率提高。</w:t>
      </w:r>
    </w:p>
    <w:p w14:paraId="3C2008D1">
      <w:pPr>
        <w:rPr>
          <w:rFonts w:hint="eastAsia"/>
        </w:rPr>
      </w:pPr>
    </w:p>
    <w:p w14:paraId="7582F659">
      <w:pPr>
        <w:rPr>
          <w:rFonts w:hint="eastAsia"/>
        </w:rPr>
      </w:pPr>
      <w:r>
        <w:rPr>
          <w:rFonts w:hint="eastAsia"/>
        </w:rPr>
        <w:t>（二）引导产业“调结构、提品质”</w:t>
      </w:r>
    </w:p>
    <w:p w14:paraId="20F9F37F">
      <w:pPr>
        <w:rPr>
          <w:rFonts w:hint="eastAsia"/>
        </w:rPr>
      </w:pPr>
    </w:p>
    <w:p w14:paraId="66F828C1">
      <w:pPr>
        <w:rPr>
          <w:rFonts w:hint="eastAsia"/>
        </w:rPr>
      </w:pPr>
      <w:r>
        <w:rPr>
          <w:rFonts w:hint="eastAsia"/>
        </w:rPr>
        <w:t xml:space="preserve">    贷款支持从“保生存”转向“促发展”，如支持青稞深加工、牦牛肉品牌建设，提升附加值；</w:t>
      </w:r>
    </w:p>
    <w:p w14:paraId="032E7ED8">
      <w:pPr>
        <w:rPr>
          <w:rFonts w:hint="eastAsia"/>
        </w:rPr>
      </w:pPr>
      <w:r>
        <w:rPr>
          <w:rFonts w:hint="eastAsia"/>
        </w:rPr>
        <w:t xml:space="preserve">    2023年蔬菜产量增长63.13%，反映信贷支持设施农业、冷链物流，满足市场需求。</w:t>
      </w:r>
    </w:p>
    <w:p w14:paraId="1ABC7BC8">
      <w:pPr>
        <w:rPr>
          <w:rFonts w:hint="eastAsia"/>
        </w:rPr>
      </w:pPr>
    </w:p>
    <w:p w14:paraId="2DC6742D">
      <w:pPr>
        <w:rPr>
          <w:rFonts w:hint="eastAsia"/>
        </w:rPr>
      </w:pPr>
      <w:r>
        <w:rPr>
          <w:rFonts w:hint="eastAsia"/>
        </w:rPr>
        <w:t>（三）促进“商品化、市场化”</w:t>
      </w:r>
    </w:p>
    <w:p w14:paraId="7E7FCCD5">
      <w:pPr>
        <w:rPr>
          <w:rFonts w:hint="eastAsia"/>
        </w:rPr>
      </w:pPr>
    </w:p>
    <w:p w14:paraId="5128B126">
      <w:pPr>
        <w:rPr>
          <w:rFonts w:hint="eastAsia"/>
        </w:rPr>
      </w:pPr>
      <w:r>
        <w:rPr>
          <w:rFonts w:hint="eastAsia"/>
        </w:rPr>
        <w:t xml:space="preserve">    出栏率提升、出售率提高（2023年羊出售率25%），反映牧户从“自给自足”转向“市场导向”；</w:t>
      </w:r>
    </w:p>
    <w:p w14:paraId="338DD06F">
      <w:pPr>
        <w:rPr>
          <w:rFonts w:hint="eastAsia"/>
        </w:rPr>
      </w:pPr>
      <w:r>
        <w:rPr>
          <w:rFonts w:hint="eastAsia"/>
        </w:rPr>
        <w:t xml:space="preserve">    保险业务同步发展（2023年保费收入未提供，但2018–2020年赔付率稳定在70%左右），风险保障机制完善，增强牧户抗风险能力。</w:t>
      </w:r>
    </w:p>
    <w:p w14:paraId="15763B3E">
      <w:pPr>
        <w:rPr>
          <w:rFonts w:hint="eastAsia"/>
        </w:rPr>
      </w:pPr>
    </w:p>
    <w:p w14:paraId="7259BB2F">
      <w:pPr>
        <w:rPr>
          <w:rFonts w:hint="eastAsia"/>
        </w:rPr>
      </w:pPr>
      <w:r>
        <w:rPr>
          <w:rFonts w:hint="eastAsia"/>
        </w:rPr>
        <w:t>六、政策建议</w:t>
      </w:r>
    </w:p>
    <w:p w14:paraId="4A29A998">
      <w:pPr>
        <w:rPr>
          <w:rFonts w:hint="eastAsia"/>
        </w:rPr>
      </w:pPr>
      <w:r>
        <w:rPr>
          <w:rFonts w:hint="eastAsia"/>
        </w:rPr>
        <w:t>（一）深化“金融+产业”融合</w:t>
      </w:r>
    </w:p>
    <w:p w14:paraId="6BB0AD13">
      <w:pPr>
        <w:rPr>
          <w:rFonts w:hint="eastAsia"/>
        </w:rPr>
      </w:pPr>
    </w:p>
    <w:p w14:paraId="30272F00">
      <w:pPr>
        <w:rPr>
          <w:rFonts w:hint="eastAsia"/>
        </w:rPr>
      </w:pPr>
      <w:r>
        <w:rPr>
          <w:rFonts w:hint="eastAsia"/>
        </w:rPr>
        <w:t xml:space="preserve">    设立“玉树特色农牧业贷款贴息基金”，对青稞、牦牛、藏药等特色产业给予利率优惠；</w:t>
      </w:r>
    </w:p>
    <w:p w14:paraId="267C39A0">
      <w:pPr>
        <w:rPr>
          <w:rFonts w:hint="eastAsia"/>
        </w:rPr>
      </w:pPr>
      <w:r>
        <w:rPr>
          <w:rFonts w:hint="eastAsia"/>
        </w:rPr>
        <w:t xml:space="preserve">    推广“龙头企业+合作社+农户”模式，以订单农业绑定信贷支持，降低违约风险。</w:t>
      </w:r>
    </w:p>
    <w:p w14:paraId="04917604">
      <w:pPr>
        <w:rPr>
          <w:rFonts w:hint="eastAsia"/>
        </w:rPr>
      </w:pPr>
    </w:p>
    <w:p w14:paraId="422D04E4">
      <w:pPr>
        <w:rPr>
          <w:rFonts w:hint="eastAsia"/>
        </w:rPr>
      </w:pPr>
      <w:r>
        <w:rPr>
          <w:rFonts w:hint="eastAsia"/>
        </w:rPr>
        <w:t>（二）强化数字金融赋能</w:t>
      </w:r>
    </w:p>
    <w:p w14:paraId="181F163C">
      <w:pPr>
        <w:rPr>
          <w:rFonts w:hint="eastAsia"/>
        </w:rPr>
      </w:pPr>
    </w:p>
    <w:p w14:paraId="399EC832">
      <w:pPr>
        <w:rPr>
          <w:rFonts w:hint="eastAsia"/>
        </w:rPr>
      </w:pPr>
      <w:r>
        <w:rPr>
          <w:rFonts w:hint="eastAsia"/>
        </w:rPr>
        <w:t xml:space="preserve">    推广“牧区移动支付+线上信贷”，解决偏远地区金融服务“最后一公里”；</w:t>
      </w:r>
    </w:p>
    <w:p w14:paraId="4BD51436">
      <w:pPr>
        <w:rPr>
          <w:rFonts w:hint="eastAsia"/>
        </w:rPr>
      </w:pPr>
      <w:r>
        <w:rPr>
          <w:rFonts w:hint="eastAsia"/>
        </w:rPr>
        <w:t xml:space="preserve">    建设“玉树农牧业大数据平台”，实现贷款需求精准匹配。</w:t>
      </w:r>
    </w:p>
    <w:p w14:paraId="49599CC7">
      <w:pPr>
        <w:rPr>
          <w:rFonts w:hint="eastAsia"/>
        </w:rPr>
      </w:pPr>
    </w:p>
    <w:p w14:paraId="4EC0B811">
      <w:pPr>
        <w:rPr>
          <w:rFonts w:hint="eastAsia"/>
        </w:rPr>
      </w:pPr>
      <w:r>
        <w:rPr>
          <w:rFonts w:hint="eastAsia"/>
        </w:rPr>
        <w:t>（三）完善风险分担机制</w:t>
      </w:r>
    </w:p>
    <w:p w14:paraId="6162AB26">
      <w:pPr>
        <w:rPr>
          <w:rFonts w:hint="eastAsia"/>
        </w:rPr>
      </w:pPr>
    </w:p>
    <w:p w14:paraId="15644E54">
      <w:pPr>
        <w:rPr>
          <w:rFonts w:hint="eastAsia"/>
        </w:rPr>
      </w:pPr>
      <w:r>
        <w:rPr>
          <w:rFonts w:hint="eastAsia"/>
        </w:rPr>
        <w:t xml:space="preserve">    扩大政策性农业保险覆盖面，探索“价格指数保险”、“收入保险”；</w:t>
      </w:r>
    </w:p>
    <w:p w14:paraId="6852252F">
      <w:pPr>
        <w:rPr>
          <w:rFonts w:hint="eastAsia"/>
        </w:rPr>
      </w:pPr>
      <w:r>
        <w:rPr>
          <w:rFonts w:hint="eastAsia"/>
        </w:rPr>
        <w:t xml:space="preserve">    设立“农牧业贷款风险补偿金”，鼓励银行敢贷、愿贷。</w:t>
      </w:r>
    </w:p>
    <w:p w14:paraId="571B07F5">
      <w:pPr>
        <w:rPr>
          <w:rFonts w:hint="eastAsia"/>
        </w:rPr>
      </w:pPr>
    </w:p>
    <w:p w14:paraId="7D942869">
      <w:pPr>
        <w:rPr>
          <w:rFonts w:hint="eastAsia"/>
        </w:rPr>
      </w:pPr>
      <w:r>
        <w:rPr>
          <w:rFonts w:hint="eastAsia"/>
        </w:rPr>
        <w:t>（四）推动“三次产业联动”</w:t>
      </w:r>
    </w:p>
    <w:p w14:paraId="387DC6EF">
      <w:pPr>
        <w:rPr>
          <w:rFonts w:hint="eastAsia"/>
        </w:rPr>
      </w:pPr>
    </w:p>
    <w:p w14:paraId="2C1FC00D">
      <w:pPr>
        <w:rPr>
          <w:rFonts w:hint="eastAsia"/>
        </w:rPr>
      </w:pPr>
      <w:r>
        <w:rPr>
          <w:rFonts w:hint="eastAsia"/>
        </w:rPr>
        <w:t xml:space="preserve">    支持“农牧+旅游”、“农牧+电商”，拓展增收渠道；</w:t>
      </w:r>
    </w:p>
    <w:p w14:paraId="1E3F159D">
      <w:pPr>
        <w:rPr>
          <w:rFonts w:hint="eastAsia"/>
        </w:rPr>
      </w:pPr>
      <w:r>
        <w:rPr>
          <w:rFonts w:hint="eastAsia"/>
        </w:rPr>
        <w:t xml:space="preserve">    发展“预制菜”、“高原有机食品”加工，提升产业链价值。</w:t>
      </w:r>
    </w:p>
    <w:p w14:paraId="43D824BD">
      <w:pPr>
        <w:rPr>
          <w:rFonts w:hint="eastAsia"/>
        </w:rPr>
      </w:pPr>
    </w:p>
    <w:p w14:paraId="0C670C25">
      <w:pPr>
        <w:rPr>
          <w:rFonts w:hint="eastAsia"/>
        </w:rPr>
      </w:pPr>
      <w:r>
        <w:rPr>
          <w:rFonts w:hint="eastAsia"/>
        </w:rPr>
        <w:t>七、结论</w:t>
      </w:r>
    </w:p>
    <w:p w14:paraId="3F66B377">
      <w:pPr>
        <w:rPr>
          <w:rFonts w:hint="eastAsia"/>
        </w:rPr>
      </w:pPr>
    </w:p>
    <w:p w14:paraId="3288ED31">
      <w:pPr>
        <w:rPr>
          <w:rFonts w:hint="eastAsia"/>
        </w:rPr>
      </w:pPr>
      <w:r>
        <w:rPr>
          <w:rFonts w:hint="eastAsia"/>
        </w:rPr>
        <w:t>本文基于玉树州2015–2023年数据，证实金融支持（特别是精准扶贫贷款、助业贷款、民生贷款）在推动农牧业转型升级、提升生产效率、增加牧民可支配收入方面发挥了关键作用。研究发现：</w:t>
      </w:r>
    </w:p>
    <w:p w14:paraId="21994132">
      <w:pPr>
        <w:rPr>
          <w:rFonts w:hint="eastAsia"/>
        </w:rPr>
      </w:pPr>
    </w:p>
    <w:p w14:paraId="417E42EE">
      <w:pPr>
        <w:rPr>
          <w:rFonts w:hint="eastAsia"/>
        </w:rPr>
      </w:pPr>
      <w:r>
        <w:rPr>
          <w:rFonts w:hint="eastAsia"/>
        </w:rPr>
        <w:t xml:space="preserve">    金融支持从“输血”向“造血”转变，住户贷款占比持续提升，微观主体活力增强；</w:t>
      </w:r>
    </w:p>
    <w:p w14:paraId="6B711EC0">
      <w:pPr>
        <w:rPr>
          <w:rFonts w:hint="eastAsia"/>
        </w:rPr>
      </w:pPr>
      <w:r>
        <w:rPr>
          <w:rFonts w:hint="eastAsia"/>
        </w:rPr>
        <w:t xml:space="preserve">    农牧业结构从“数量扩张”转向“质量提升”，商品化率、单产效率显著提高；</w:t>
      </w:r>
    </w:p>
    <w:p w14:paraId="57074A03">
      <w:pPr>
        <w:rPr>
          <w:rFonts w:hint="eastAsia"/>
        </w:rPr>
      </w:pPr>
      <w:r>
        <w:rPr>
          <w:rFonts w:hint="eastAsia"/>
        </w:rPr>
        <w:t xml:space="preserve">    人均可支配收入与信贷扩张高度同步，2015–2023年年均增长8.7%，金融成为增收核心引擎。</w:t>
      </w:r>
    </w:p>
    <w:p w14:paraId="2398DCCB">
      <w:pPr>
        <w:rPr>
          <w:rFonts w:hint="eastAsia"/>
        </w:rPr>
      </w:pPr>
    </w:p>
    <w:p w14:paraId="18F4C60A">
      <w:pPr>
        <w:rPr>
          <w:rFonts w:hint="eastAsia"/>
        </w:rPr>
      </w:pPr>
      <w:r>
        <w:rPr>
          <w:rFonts w:hint="eastAsia"/>
        </w:rPr>
        <w:t>未来应进一步深化“金融+产业+数字”融合，构建可持续的高原牧区乡村振兴路径。</w:t>
      </w:r>
    </w:p>
    <w:p w14:paraId="272CF9C9">
      <w:pPr>
        <w:rPr>
          <w:rFonts w:hint="eastAsia" w:ascii="黑体" w:hAnsi="黑体" w:eastAsia="黑体" w:cs="黑体"/>
          <w:sz w:val="28"/>
          <w:szCs w:val="28"/>
        </w:rPr>
      </w:pPr>
      <w:r>
        <w:rPr>
          <w:rFonts w:hint="eastAsia" w:ascii="黑体" w:hAnsi="黑体" w:eastAsia="黑体" w:cs="黑体"/>
          <w:sz w:val="28"/>
          <w:szCs w:val="28"/>
        </w:rPr>
        <w:t>参考文献</w:t>
      </w:r>
    </w:p>
    <w:p w14:paraId="00362DD7">
      <w:pPr>
        <w:rPr>
          <w:rFonts w:hint="eastAsia"/>
        </w:rPr>
      </w:pPr>
    </w:p>
    <w:p w14:paraId="494CFF48">
      <w:pPr>
        <w:rPr>
          <w:rFonts w:hint="eastAsia"/>
        </w:rPr>
      </w:pPr>
      <w:r>
        <w:rPr>
          <w:rFonts w:hint="eastAsia"/>
        </w:rPr>
        <w:t>[1]刘伟兵. 金融支持西藏农牧民增收问题的思考[J].西南金融,2005,(03):19-20.</w:t>
      </w:r>
    </w:p>
    <w:p w14:paraId="2838ED05">
      <w:pPr>
        <w:rPr>
          <w:rFonts w:hint="eastAsia"/>
        </w:rPr>
      </w:pPr>
      <w:r>
        <w:rPr>
          <w:rFonts w:hint="eastAsia"/>
        </w:rPr>
        <w:t>[2]严思勃. 对西藏农牧区金融服务的调查与思考[J].西南金融,2005,(10):21-22.</w:t>
      </w:r>
    </w:p>
    <w:p w14:paraId="75110066">
      <w:pPr>
        <w:rPr>
          <w:rFonts w:hint="eastAsia"/>
        </w:rPr>
      </w:pPr>
      <w:r>
        <w:rPr>
          <w:rFonts w:hint="eastAsia"/>
        </w:rPr>
        <w:t>[3]但顺林,刘伟兵. 西藏农牧业产业化进程中金融支持的现状、问题与选择[J].西南金融,2005,(11):51-52.</w:t>
      </w:r>
    </w:p>
    <w:p w14:paraId="01E437AC">
      <w:pPr>
        <w:rPr>
          <w:rFonts w:hint="eastAsia"/>
        </w:rPr>
      </w:pPr>
      <w:r>
        <w:rPr>
          <w:rFonts w:hint="eastAsia"/>
        </w:rPr>
        <w:t>[4]旺堆. 金融支持西藏农牧区经济发展问题研究[J].西南金融,2005,(12):26-27.</w:t>
      </w:r>
    </w:p>
    <w:p w14:paraId="0B19E0CC">
      <w:pPr>
        <w:rPr>
          <w:rFonts w:hint="eastAsia"/>
        </w:rPr>
      </w:pPr>
      <w:r>
        <w:rPr>
          <w:rFonts w:hint="eastAsia"/>
        </w:rPr>
        <w:t>[5]人民银行拉萨中心支行阿里调研组,旺堆,殷树荣. 阿里地区农牧金融服务调研报告[J].西南金融,2006,(09):33-34.</w:t>
      </w:r>
    </w:p>
    <w:p w14:paraId="778BE5E5">
      <w:pPr>
        <w:rPr>
          <w:rFonts w:hint="eastAsia"/>
        </w:rPr>
      </w:pPr>
      <w:r>
        <w:rPr>
          <w:rFonts w:hint="eastAsia"/>
        </w:rPr>
        <w:t>[6]人民银行拉萨中心支行调研组,刘嵩范,刘杰. 西藏农牧金融工作情况调查[J].西南金融,2006,(10):45-46.</w:t>
      </w:r>
    </w:p>
    <w:p w14:paraId="795A6B5F">
      <w:pPr>
        <w:rPr>
          <w:rFonts w:hint="eastAsia"/>
        </w:rPr>
      </w:pPr>
      <w:r>
        <w:rPr>
          <w:rFonts w:hint="eastAsia"/>
        </w:rPr>
        <w:t>[7]人民银行拉萨中心支行课题组,严思勃. 促进西藏农牧民增收的金融支持对策研究[J].西南金融,2007,(07):11-13.</w:t>
      </w:r>
    </w:p>
    <w:p w14:paraId="5EB469D5">
      <w:pPr>
        <w:rPr>
          <w:rFonts w:hint="eastAsia"/>
        </w:rPr>
      </w:pPr>
      <w:r>
        <w:rPr>
          <w:rFonts w:hint="eastAsia"/>
        </w:rPr>
        <w:t>[8]宋慧. 青海农牧区金融生态现状分析[J].青海民族学院学报,2009,35(02):104-107.</w:t>
      </w:r>
    </w:p>
    <w:p w14:paraId="7CC41439">
      <w:pPr>
        <w:rPr>
          <w:rFonts w:hint="eastAsia"/>
        </w:rPr>
      </w:pPr>
      <w:r>
        <w:rPr>
          <w:rFonts w:hint="eastAsia"/>
        </w:rPr>
        <w:t>[9]宋慧. 青海农牧区小额信贷现状与发展对策[J].青海社会科学,2010,(04):82-85.DOI:10.14154/j.cnki.qss.2010.04.045.</w:t>
      </w:r>
    </w:p>
    <w:p w14:paraId="43034CF9">
      <w:pPr>
        <w:rPr>
          <w:rFonts w:hint="eastAsia"/>
        </w:rPr>
      </w:pPr>
      <w:r>
        <w:rPr>
          <w:rFonts w:hint="eastAsia"/>
        </w:rPr>
        <w:t>[10]宋慧. 青海农牧区金融需求分析[J].特区经济,2010,(09):202-203.</w:t>
      </w:r>
    </w:p>
    <w:p w14:paraId="27B90FAD">
      <w:pPr>
        <w:rPr>
          <w:rFonts w:hint="eastAsia"/>
        </w:rPr>
      </w:pPr>
      <w:r>
        <w:rPr>
          <w:rFonts w:hint="eastAsia"/>
        </w:rPr>
        <w:t>[11]李波. 对西藏农牧区信用体系建设的思考[J].征信,2011,29(01):67-69.</w:t>
      </w:r>
    </w:p>
    <w:p w14:paraId="31C01DD5">
      <w:pPr>
        <w:rPr>
          <w:rFonts w:hint="eastAsia"/>
        </w:rPr>
      </w:pPr>
      <w:r>
        <w:rPr>
          <w:rFonts w:hint="eastAsia"/>
        </w:rPr>
        <w:t>[12]赵燕,师晓娟. 积极推进西藏农牧区小额信用贷款发展探析[J].西藏大学学报(社会科学版),2012,27(03):67-70.DOI:10.16249/j.cnki.1005-5738.2012.03.026.</w:t>
      </w:r>
    </w:p>
    <w:p w14:paraId="34D39778">
      <w:pPr>
        <w:rPr>
          <w:rFonts w:hint="eastAsia"/>
        </w:rPr>
      </w:pPr>
      <w:r>
        <w:rPr>
          <w:rFonts w:hint="eastAsia"/>
        </w:rPr>
        <w:t>[13]扶明高. 西藏农牧区基础金融服务的调查与思考[J].西南金融,2013,(02):31-32.</w:t>
      </w:r>
    </w:p>
    <w:p w14:paraId="5F1DFE2F">
      <w:pPr>
        <w:rPr>
          <w:rFonts w:hint="eastAsia"/>
        </w:rPr>
      </w:pPr>
      <w:r>
        <w:rPr>
          <w:rFonts w:hint="eastAsia"/>
        </w:rPr>
        <w:t>[14]郭振海. 西藏农牧区普惠金融发展[J].中国金融,2014,(03):60-61.</w:t>
      </w:r>
    </w:p>
    <w:p w14:paraId="40489C0E">
      <w:pPr>
        <w:rPr>
          <w:rFonts w:hint="eastAsia"/>
        </w:rPr>
      </w:pPr>
      <w:r>
        <w:rPr>
          <w:rFonts w:hint="eastAsia"/>
        </w:rPr>
        <w:t>[15]巩艳红,庞洪伟. 西藏农牧区金融生态环境评价[J].西藏大学学报(社会科学版),2014,29(01):57-63.DOI:10.16249/j.cnki.1005-5738.2014.01.024.</w:t>
      </w:r>
    </w:p>
    <w:p w14:paraId="0AD0D401">
      <w:pPr>
        <w:rPr>
          <w:rFonts w:hint="eastAsia"/>
        </w:rPr>
      </w:pPr>
      <w:r>
        <w:rPr>
          <w:rFonts w:hint="eastAsia"/>
        </w:rPr>
        <w:t>[16]王泳茹,袁神. 西藏地区农牧民增收的金融支持研究[J].贵州民族研究,2015,36(02):174-177.DOI:10.13965/j.cnki.gzmzyj10026959.2015.02.042.</w:t>
      </w:r>
    </w:p>
    <w:p w14:paraId="39B60D3B">
      <w:pPr>
        <w:rPr>
          <w:rFonts w:hint="eastAsia"/>
        </w:rPr>
      </w:pPr>
      <w:r>
        <w:rPr>
          <w:rFonts w:hint="eastAsia"/>
        </w:rPr>
        <w:t>[17]郭振海. 西藏金融改革与发展[J].中国金融,2015,(10):69-71.</w:t>
      </w:r>
    </w:p>
    <w:p w14:paraId="3894772D">
      <w:pPr>
        <w:rPr>
          <w:rFonts w:hint="eastAsia"/>
        </w:rPr>
      </w:pPr>
      <w:r>
        <w:rPr>
          <w:rFonts w:hint="eastAsia"/>
        </w:rPr>
        <w:t>[18]敖特根巴雅尔,红梅. 农牧区金融供求分析[J].中国金融,2015,(14):74-75.</w:t>
      </w:r>
    </w:p>
    <w:p w14:paraId="53FD5C72">
      <w:pPr>
        <w:rPr>
          <w:rFonts w:hint="eastAsia"/>
        </w:rPr>
      </w:pPr>
      <w:r>
        <w:rPr>
          <w:rFonts w:hint="eastAsia"/>
        </w:rPr>
        <w:t>[19]余文建. 金融助力农牧区十个全覆盖[J].中国金融,2015,(21):75-76.</w:t>
      </w:r>
    </w:p>
    <w:p w14:paraId="60146F41">
      <w:pPr>
        <w:rPr>
          <w:rFonts w:hint="eastAsia"/>
        </w:rPr>
      </w:pPr>
      <w:r>
        <w:rPr>
          <w:rFonts w:hint="eastAsia"/>
        </w:rPr>
        <w:t>[20]肖龙沧. 农牧区数字普惠金融发展[J].中国金融,2017,(22):86-87.</w:t>
      </w:r>
    </w:p>
    <w:p w14:paraId="55A79D3D">
      <w:pPr>
        <w:rPr>
          <w:rFonts w:hint="eastAsia"/>
        </w:rPr>
      </w:pPr>
      <w:r>
        <w:rPr>
          <w:rFonts w:hint="eastAsia"/>
        </w:rPr>
        <w:t>[21]旺堆. 金融支持西藏农牧区经济发展问题研究[J].西南金融,2005,(12):26-27.</w:t>
      </w:r>
    </w:p>
    <w:p w14:paraId="4D3EC3F7">
      <w:pPr>
        <w:rPr>
          <w:rFonts w:hint="eastAsia"/>
        </w:rPr>
      </w:pPr>
      <w:r>
        <w:rPr>
          <w:rFonts w:hint="eastAsia"/>
        </w:rPr>
        <w:t>[22]但顺林,刘伟兵. 西藏农牧业产业化进程中金融支持的现状、问题与选择[J].西南金融,2005,(11):51-52.</w:t>
      </w:r>
    </w:p>
    <w:p w14:paraId="3889A263">
      <w:pPr>
        <w:rPr>
          <w:rFonts w:hint="eastAsia"/>
        </w:rPr>
      </w:pPr>
      <w:r>
        <w:rPr>
          <w:rFonts w:hint="eastAsia"/>
        </w:rPr>
        <w:t>[23]严思勃. 对西藏农牧区金融服务的调查与思考[J].西南金融,2005,(10):21-22.</w:t>
      </w:r>
    </w:p>
    <w:p w14:paraId="72AE1EC4">
      <w:pPr>
        <w:rPr>
          <w:rFonts w:hint="eastAsia"/>
        </w:rPr>
      </w:pPr>
      <w:r>
        <w:rPr>
          <w:rFonts w:hint="eastAsia"/>
        </w:rPr>
        <w:t>[24]刘伟兵. 金融支持西藏农牧民增收问题的思考[J].西南金融,2005,(03):19-20.</w:t>
      </w:r>
    </w:p>
    <w:p w14:paraId="6424193F">
      <w:pPr>
        <w:rPr>
          <w:rFonts w:hint="eastAsia"/>
        </w:rPr>
      </w:pPr>
    </w:p>
    <w:p w14:paraId="6D23150B">
      <w:pPr>
        <w:rPr>
          <w:rFonts w:hint="eastAsia"/>
        </w:rPr>
      </w:pPr>
    </w:p>
    <w:p w14:paraId="784B17CA">
      <w:r>
        <w:rPr>
          <w:rFonts w:hint="eastAsia"/>
        </w:rPr>
        <w:t>附录：关键数据汇总表（2015–2023）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SimSong Regular">
    <w:panose1 w:val="02020300000000000000"/>
    <w:charset w:val="86"/>
    <w:family w:val="auto"/>
    <w:pitch w:val="default"/>
    <w:sig w:usb0="800002BF" w:usb1="38CF7CFA" w:usb2="00000016" w:usb3="00000000" w:csb0="0004000D" w:csb1="00000000"/>
  </w:font>
  <w:font w:name="黑体">
    <w:altName w:val="汉仪中黑KW"/>
    <w:panose1 w:val="00000000000000000000"/>
    <w:charset w:val="00"/>
    <w:family w:val="auto"/>
    <w:pitch w:val="default"/>
    <w:sig w:usb0="00000000" w:usb1="00000000" w:usb2="00000000" w:usb3="00000000" w:csb0="00000000" w:csb1="00000000"/>
  </w:font>
  <w:font w:name="Songti SC Regular">
    <w:panose1 w:val="02010800040101010101"/>
    <w:charset w:val="86"/>
    <w:family w:val="auto"/>
    <w:pitch w:val="default"/>
    <w:sig w:usb0="00000001" w:usb1="080F0000" w:usb2="00000000" w:usb3="00000000" w:csb0="00040000" w:csb1="00000000"/>
  </w:font>
  <w:font w:name="方正仿宋">
    <w:altName w:val="方正仿宋_GBK"/>
    <w:panose1 w:val="03000509000000000000"/>
    <w:charset w:val="00"/>
    <w:family w:val="script"/>
    <w:pitch w:val="default"/>
    <w:sig w:usb0="00000000" w:usb1="00000000" w:usb2="00000010" w:usb3="00000000" w:csb0="00040000" w:csb1="00000000"/>
  </w:font>
  <w:font w:name="仿宋_GB2312">
    <w:altName w:val="方正仿宋_GBK"/>
    <w:panose1 w:val="02010609030101010101"/>
    <w:charset w:val="00"/>
    <w:family w:val="modern"/>
    <w:pitch w:val="default"/>
    <w:sig w:usb0="00000000" w:usb1="00000000" w:usb2="00000000" w:usb3="00000000" w:csb0="00040000" w:csb1="00000000"/>
  </w:font>
  <w:font w:name="方正小标宋简体">
    <w:altName w:val="汉仪书宋二KW"/>
    <w:panose1 w:val="03000509000000000000"/>
    <w:charset w:val="00"/>
    <w:family w:val="auto"/>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FD1F0"/>
    <w:rsid w:val="97FFB9B3"/>
    <w:rsid w:val="FFBFD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232</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2025-12-30T12:37:00Z</dcterms:created>
  <dc:creator>QuandlFinance武利鑫</dc:creator>
  <cp:lastModifiedBy>QuandlFinance武利鑫</cp:lastModifiedBy>
  <dcterms:modified xsi:type="dcterms:W3CDTF">2026-01-03T20:14:21Z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A58C336038280B7C16575369747DA3F1_41</vt:lpwstr>
  </property>
</Properties>
</file>