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D6A70">
      <w:pPr>
        <w:pStyle w:val="2"/>
        <w:keepNext w:val="0"/>
        <w:keepLines w:val="0"/>
        <w:widowControl/>
        <w:suppressLineNumbers w:val="0"/>
      </w:pPr>
      <w:r>
        <w:t>金融如何赋能高原牧业现代化？</w:t>
      </w:r>
    </w:p>
    <w:p w14:paraId="6F7A2BD7">
      <w:pPr>
        <w:pStyle w:val="3"/>
        <w:keepNext w:val="0"/>
        <w:keepLines w:val="0"/>
        <w:widowControl/>
        <w:suppressLineNumbers w:val="0"/>
      </w:pPr>
      <w:r>
        <w:t>——基于玉树州三类专项贷款与农牧业内部转型的实证研究（2015–2023）</w:t>
      </w:r>
    </w:p>
    <w:p w14:paraId="1A0EE76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摘要</w:t>
      </w:r>
      <w:r>
        <w:t>：本文基于玉树藏族自治州2015–2023年面板数据，聚焦精准扶贫贷款、助业贷款与民生贷款三类专项金融工具，实证检验其通过</w:t>
      </w:r>
      <w:r>
        <w:rPr>
          <w:rStyle w:val="10"/>
        </w:rPr>
        <w:t>畜牧业商品化率提升</w:t>
      </w:r>
      <w:r>
        <w:t>与</w:t>
      </w:r>
      <w:r>
        <w:rPr>
          <w:rStyle w:val="10"/>
        </w:rPr>
        <w:t>种植业单产效率增长</w:t>
      </w:r>
      <w:r>
        <w:t>两条路径影响牧民经营性收入的机制。研究发现：（1）金融支持的核心效应并非推动“产业跨类跃迁”，而是在</w:t>
      </w:r>
      <w:r>
        <w:rPr>
          <w:rStyle w:val="10"/>
        </w:rPr>
        <w:t>第一产业内部实现质量型升级</w:t>
      </w:r>
      <w:r>
        <w:t>——牲畜出栏率从29.02%提升至35.50%，马铃薯单产增长48.33%；（2）三类贷款存在显著协同：精准扶贫贷款破解“启动资金”约束（边际效应0.21），助业贷款支撑“规模扩张”（边际效应0.33），民生贷款缓解“预防性储蓄”动机（边际效应0.12）；（3）商品化率是核心中介变量，其传导效应占总效应的52.3%。本文提出“</w:t>
      </w:r>
      <w:r>
        <w:rPr>
          <w:rStyle w:val="10"/>
        </w:rPr>
        <w:t>金融赋能型内生现代化</w:t>
      </w:r>
      <w:r>
        <w:t>”框架，为生态功能区乡村振兴提供新思路。</w:t>
      </w:r>
    </w:p>
    <w:p w14:paraId="2737FD1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rPr>
          <w:rStyle w:val="10"/>
        </w:rPr>
        <w:t>关键词</w:t>
      </w:r>
      <w:r>
        <w:t>：专项贷款；商品化率；单产效率；经营性收入；玉树州；乡村振兴</w:t>
      </w:r>
    </w:p>
    <w:p w14:paraId="355BC2D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DACF5">
      <w:pPr>
        <w:pStyle w:val="3"/>
        <w:keepNext w:val="0"/>
        <w:keepLines w:val="0"/>
        <w:widowControl/>
        <w:suppressLineNumbers w:val="0"/>
      </w:pPr>
      <w:r>
        <w:t>一、问题提出：高原牧区转型的“真问题”是什么？</w:t>
      </w:r>
    </w:p>
    <w:p w14:paraId="2A6B008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在青藏高原生态红线约束下，“产业转型”常被简化为“第一产业向第二、三产业转移”的教科书式路径。然而，玉树州的实践揭示了一个被忽视的</w:t>
      </w:r>
      <w:r>
        <w:rPr>
          <w:rStyle w:val="10"/>
        </w:rPr>
        <w:t>真问题</w:t>
      </w:r>
      <w:r>
        <w:t xml:space="preserve">： </w:t>
      </w:r>
    </w:p>
    <w:p w14:paraId="0E9257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0"/>
        </w:rPr>
        <w:t>如何在不突破生态承载力、不脱离畜牧业传统的情况下，实现牧民可持续增收？</w:t>
      </w:r>
    </w:p>
    <w:p w14:paraId="67F8F12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实地调研显示（2023年玉树州农牧局访谈），当地牧民普遍反映：</w:t>
      </w:r>
    </w:p>
    <w:p w14:paraId="6F34AB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“加工厂建在州府，我们送牛过去运费比卖肉还贵”（称多县合作社理事长）；</w:t>
      </w:r>
    </w:p>
    <w:p w14:paraId="7C31A8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“草场承包到户后，谁敢多养？罚单比收入来得快”（杂多县牧户）；</w:t>
      </w:r>
    </w:p>
    <w:p w14:paraId="3B02B7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“最需要的不是开农家乐，是能把牦牛肉卖出去的钱”（玉树市电商带头人）。</w:t>
      </w:r>
    </w:p>
    <w:p w14:paraId="11AC1A7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这些声音指向一个核心判断：</w:t>
      </w:r>
      <w:r>
        <w:rPr>
          <w:rStyle w:val="10"/>
        </w:rPr>
        <w:t>高原牧区的转型，本质是第一产业内部的现代化过程</w:t>
      </w:r>
      <w:r>
        <w:t>——即在畜牧业框架内提升商品化率（出栏率↑），在种植业框架内提升单产效率（技术↑），而非产业类别的机械转换。</w:t>
      </w:r>
    </w:p>
    <w:p w14:paraId="53A76D1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既有研究对此关注不足：刘伟兵（2005）[1]、宋慧（2010）[9]等虽指出金融支持的重要性，但未区分</w:t>
      </w:r>
      <w:r>
        <w:rPr>
          <w:rStyle w:val="10"/>
        </w:rPr>
        <w:t>贷款类型</w:t>
      </w:r>
      <w:r>
        <w:t>与</w:t>
      </w:r>
      <w:r>
        <w:rPr>
          <w:rStyle w:val="10"/>
        </w:rPr>
        <w:t>转型质量</w:t>
      </w:r>
      <w:r>
        <w:t>；郭振海（2015）[17]强调普惠金融，却将“网点数量”等同于“服务效能”，忽视牧民真实需求结构。</w:t>
      </w:r>
    </w:p>
    <w:p w14:paraId="44AC8DF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本文以玉树州2015–2023年数据为样本，聚焦三类专项贷款，回答三个关键问题：</w:t>
      </w:r>
      <w:r>
        <w:br w:type="textWrapping"/>
      </w:r>
      <w:r>
        <w:t>（1）精准扶贫、助业、民生三类贷款对牧民经营性收入的影响是否存在异质性？</w:t>
      </w:r>
      <w:r>
        <w:br w:type="textWrapping"/>
      </w:r>
      <w:r>
        <w:t>（2）农牧业内部现代化（商品化率、单产效率）是否构成核心传导路径？</w:t>
      </w:r>
      <w:r>
        <w:br w:type="textWrapping"/>
      </w:r>
      <w:r>
        <w:t>（3）如何优化贷款结构以实现生态-经济双赢？</w:t>
      </w:r>
    </w:p>
    <w:p w14:paraId="0DACA6C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7D311">
      <w:pPr>
        <w:pStyle w:val="3"/>
        <w:keepNext w:val="0"/>
        <w:keepLines w:val="0"/>
        <w:widowControl/>
        <w:suppressLineNumbers w:val="0"/>
      </w:pPr>
      <w:r>
        <w:t>二、理论框架：金融赋能型内生现代化</w:t>
      </w:r>
    </w:p>
    <w:p w14:paraId="7006173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本文提出“</w:t>
      </w:r>
      <w:r>
        <w:rPr>
          <w:rStyle w:val="10"/>
        </w:rPr>
        <w:t>金融赋能型内生现代化</w:t>
      </w:r>
      <w:r>
        <w:t xml:space="preserve">”理论框架（图1），其核心在于： </w:t>
      </w:r>
    </w:p>
    <w:p w14:paraId="0C3E5A1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0"/>
        </w:rPr>
        <w:t>金融支持不改变产业归属，而提升产业内部质量；不追求外部产业植入，而激活内生发展动能</w:t>
      </w:r>
      <w:r>
        <w:t>。</w:t>
      </w:r>
    </w:p>
    <w:p w14:paraId="213FCA4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1410970"/>
            <wp:effectExtent l="0" t="0" r="15875" b="11430"/>
            <wp:docPr id="3" name="图片 3" descr="截屏2026-01-04 21.37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1-04 21.37.15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4AF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图1：金融赋能型内生现代化路径</w:t>
      </w:r>
    </w:p>
    <w:p w14:paraId="63A9929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该框架包含三层逻辑： </w:t>
      </w:r>
    </w:p>
    <w:p w14:paraId="48A81D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启动层</w:t>
      </w:r>
      <w:r>
        <w:t xml:space="preserve">：精准扶贫贷款解决“从0到1”问题，助牧户迈出商品化第一步； </w:t>
      </w:r>
    </w:p>
    <w:p w14:paraId="57B24D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扩张层</w:t>
      </w:r>
      <w:r>
        <w:t xml:space="preserve">：助业贷款支持“从1到N”跃升，推动规模经营与技术应用； </w:t>
      </w:r>
    </w:p>
    <w:p w14:paraId="506260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稳定层</w:t>
      </w:r>
      <w:r>
        <w:t>：民生贷款降低风险厌恶，释放生产性投资意愿。</w:t>
      </w:r>
    </w:p>
    <w:p w14:paraId="1B01C84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 w:firstLine="480" w:firstLineChars="200"/>
      </w:pPr>
      <w:r>
        <w:t>区别于传统“输血式扶贫”，本框架强调</w:t>
      </w:r>
      <w:r>
        <w:rPr>
          <w:rStyle w:val="10"/>
        </w:rPr>
        <w:t>金融的能力建设功能</w:t>
      </w:r>
      <w:r>
        <w:t>——不是简单给钱，而是通过信贷契约重塑牧民生产行为。</w:t>
      </w:r>
    </w:p>
    <w:p w14:paraId="1D4327EC">
      <w:pPr>
        <w:pStyle w:val="3"/>
        <w:keepNext w:val="0"/>
        <w:keepLines w:val="0"/>
        <w:widowControl/>
        <w:suppressLineNumbers w:val="0"/>
      </w:pPr>
      <w:r>
        <w:t>三、数据与方法</w:t>
      </w:r>
    </w:p>
    <w:p w14:paraId="5CEDB8AD">
      <w:pPr>
        <w:pStyle w:val="4"/>
        <w:keepNext w:val="0"/>
        <w:keepLines w:val="0"/>
        <w:widowControl/>
        <w:suppressLineNumbers w:val="0"/>
      </w:pPr>
      <w:r>
        <w:t>（一）数据来源与变量构建</w:t>
      </w:r>
    </w:p>
    <w:p w14:paraId="27F2DA8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数据来自玉树州统计局、金融办、农牧局2015–2023年公开报告，经交叉验证后构建平衡面板。关键变量说明如下：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7"/>
        <w:gridCol w:w="1236"/>
        <w:gridCol w:w="3177"/>
        <w:gridCol w:w="2886"/>
      </w:tblGrid>
      <w:tr w14:paraId="4BCF20D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98D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变量类型</w:t>
            </w:r>
          </w:p>
        </w:tc>
        <w:tc>
          <w:tcPr>
            <w:tcW w:w="0" w:type="auto"/>
            <w:shd w:val="clear"/>
            <w:vAlign w:val="center"/>
          </w:tcPr>
          <w:p w14:paraId="02E101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变量名</w:t>
            </w:r>
          </w:p>
        </w:tc>
        <w:tc>
          <w:tcPr>
            <w:tcW w:w="0" w:type="auto"/>
            <w:shd w:val="clear"/>
            <w:vAlign w:val="center"/>
          </w:tcPr>
          <w:p w14:paraId="19935E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构建方法</w:t>
            </w:r>
          </w:p>
        </w:tc>
        <w:tc>
          <w:tcPr>
            <w:tcW w:w="0" w:type="auto"/>
            <w:shd w:val="clear"/>
            <w:vAlign w:val="center"/>
          </w:tcPr>
          <w:p w14:paraId="04BF08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数据特征</w:t>
            </w:r>
          </w:p>
        </w:tc>
      </w:tr>
      <w:tr w14:paraId="5D15DB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81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核心解释变量</w:t>
            </w:r>
          </w:p>
        </w:tc>
        <w:tc>
          <w:tcPr>
            <w:tcW w:w="0" w:type="auto"/>
            <w:shd w:val="clear"/>
            <w:vAlign w:val="center"/>
          </w:tcPr>
          <w:p w14:paraId="736A9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精准扶贫贷款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557C1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2016年明确1.17亿，后续按政策退坡估算</w:t>
            </w:r>
          </w:p>
        </w:tc>
        <w:tc>
          <w:tcPr>
            <w:tcW w:w="0" w:type="auto"/>
            <w:shd w:val="clear"/>
            <w:vAlign w:val="center"/>
          </w:tcPr>
          <w:p w14:paraId="6A52C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2016–2023年，递减趋势</w:t>
            </w:r>
          </w:p>
        </w:tc>
      </w:tr>
      <w:tr w14:paraId="457275E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126A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F8A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助业贷款</w:t>
            </w:r>
          </w:p>
        </w:tc>
        <w:tc>
          <w:tcPr>
            <w:tcW w:w="0" w:type="auto"/>
            <w:shd w:val="clear"/>
            <w:vAlign w:val="center"/>
          </w:tcPr>
          <w:p w14:paraId="3452B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住户贷款中扣除精准扶贫/民生部分估算</w:t>
            </w:r>
          </w:p>
        </w:tc>
        <w:tc>
          <w:tcPr>
            <w:tcW w:w="0" w:type="auto"/>
            <w:shd w:val="clear"/>
            <w:vAlign w:val="center"/>
          </w:tcPr>
          <w:p w14:paraId="13EBD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2016–2023年，加速增长</w:t>
            </w:r>
          </w:p>
        </w:tc>
      </w:tr>
      <w:tr w14:paraId="2749A2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DB9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030B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民生贷款</w:t>
            </w:r>
          </w:p>
        </w:tc>
        <w:tc>
          <w:tcPr>
            <w:tcW w:w="0" w:type="auto"/>
            <w:shd w:val="clear"/>
            <w:vAlign w:val="center"/>
          </w:tcPr>
          <w:p w14:paraId="6B4BE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教育/医疗/住房专项贷款</w:t>
            </w:r>
          </w:p>
        </w:tc>
        <w:tc>
          <w:tcPr>
            <w:tcW w:w="0" w:type="auto"/>
            <w:shd w:val="clear"/>
            <w:vAlign w:val="center"/>
          </w:tcPr>
          <w:p w14:paraId="593C4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2016–2023年，稳步上升</w:t>
            </w:r>
          </w:p>
        </w:tc>
      </w:tr>
      <w:tr w14:paraId="5C0B05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91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中介变量</w:t>
            </w:r>
          </w:p>
        </w:tc>
        <w:tc>
          <w:tcPr>
            <w:tcW w:w="0" w:type="auto"/>
            <w:shd w:val="clear"/>
            <w:vAlign w:val="center"/>
          </w:tcPr>
          <w:p w14:paraId="72692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商品化率</w:t>
            </w:r>
          </w:p>
        </w:tc>
        <w:tc>
          <w:tcPr>
            <w:tcW w:w="0" w:type="auto"/>
            <w:shd w:val="clear"/>
            <w:vAlign w:val="center"/>
          </w:tcPr>
          <w:p w14:paraId="56D09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牲畜出栏率（%）</w:t>
            </w:r>
          </w:p>
        </w:tc>
        <w:tc>
          <w:tcPr>
            <w:tcW w:w="0" w:type="auto"/>
            <w:shd w:val="clear"/>
            <w:vAlign w:val="center"/>
          </w:tcPr>
          <w:p w14:paraId="0FB37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2016–2023年，29.02%→35.50%</w:t>
            </w:r>
          </w:p>
        </w:tc>
      </w:tr>
      <w:tr w14:paraId="229902D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262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FF8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单产效率</w:t>
            </w:r>
          </w:p>
        </w:tc>
        <w:tc>
          <w:tcPr>
            <w:tcW w:w="0" w:type="auto"/>
            <w:shd w:val="clear"/>
            <w:vAlign w:val="center"/>
          </w:tcPr>
          <w:p w14:paraId="7CB92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马铃薯产量/面积（吨/万亩）</w:t>
            </w:r>
          </w:p>
        </w:tc>
        <w:tc>
          <w:tcPr>
            <w:tcW w:w="0" w:type="auto"/>
            <w:shd w:val="clear"/>
            <w:vAlign w:val="center"/>
          </w:tcPr>
          <w:p w14:paraId="029C9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2016–2023年，提升48.33%</w:t>
            </w:r>
          </w:p>
        </w:tc>
      </w:tr>
      <w:tr w14:paraId="2FD493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84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被解释变量</w:t>
            </w:r>
          </w:p>
        </w:tc>
        <w:tc>
          <w:tcPr>
            <w:tcW w:w="0" w:type="auto"/>
            <w:shd w:val="clear"/>
            <w:vAlign w:val="center"/>
          </w:tcPr>
          <w:p w14:paraId="0906D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经营性收入占比</w:t>
            </w:r>
          </w:p>
        </w:tc>
        <w:tc>
          <w:tcPr>
            <w:tcW w:w="0" w:type="auto"/>
            <w:shd w:val="clear"/>
            <w:vAlign w:val="center"/>
          </w:tcPr>
          <w:p w14:paraId="620A0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（总收入 - 转移性收入）/总收入</w:t>
            </w:r>
          </w:p>
        </w:tc>
        <w:tc>
          <w:tcPr>
            <w:tcW w:w="0" w:type="auto"/>
            <w:shd w:val="clear"/>
            <w:vAlign w:val="center"/>
          </w:tcPr>
          <w:p w14:paraId="5CCBB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2016–2023年，68%→75%*</w:t>
            </w:r>
          </w:p>
        </w:tc>
      </w:tr>
      <w:tr w14:paraId="1B6F4C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FF0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53DE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人均经营性收入</w:t>
            </w:r>
          </w:p>
        </w:tc>
        <w:tc>
          <w:tcPr>
            <w:tcW w:w="0" w:type="auto"/>
            <w:shd w:val="clear"/>
            <w:vAlign w:val="center"/>
          </w:tcPr>
          <w:p w14:paraId="60B79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经营性收入占比 × 人均可支配收入</w:t>
            </w:r>
          </w:p>
        </w:tc>
        <w:tc>
          <w:tcPr>
            <w:tcW w:w="0" w:type="auto"/>
            <w:shd w:val="clear"/>
            <w:vAlign w:val="center"/>
          </w:tcPr>
          <w:p w14:paraId="13C19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核心被解释变量</w:t>
            </w:r>
          </w:p>
        </w:tc>
      </w:tr>
    </w:tbl>
    <w:p w14:paraId="612FB78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720"/>
      </w:pPr>
      <w:r>
        <w:t>*注：转移性收入占比来自《青海统计年鉴》牧区调查，经营性收入占比为估算值</w:t>
      </w:r>
    </w:p>
    <w:p w14:paraId="252B8C7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为缓解内生性，采用两策略： </w:t>
      </w:r>
    </w:p>
    <w:p w14:paraId="6349FD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工具变量法</w:t>
      </w:r>
      <w:r>
        <w:t xml:space="preserve">：以财政性存款作为贷款的工具变量（相关性r=0.82, p&lt;0.01；外生性通过过度识别检验）； </w:t>
      </w:r>
    </w:p>
    <w:p w14:paraId="7F1CAB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事件研究法</w:t>
      </w:r>
      <w:r>
        <w:t>：以2020年为疫情断点，检验金融支持的动态效应。</w:t>
      </w:r>
    </w:p>
    <w:p w14:paraId="3714DF43">
      <w:pPr>
        <w:pStyle w:val="4"/>
        <w:keepNext w:val="0"/>
        <w:keepLines w:val="0"/>
        <w:widowControl/>
        <w:suppressLineNumbers w:val="0"/>
      </w:pPr>
      <w:r>
        <w:t>（二）计量模型设定</w:t>
      </w:r>
    </w:p>
    <w:p w14:paraId="7419BB10"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533015"/>
            <wp:effectExtent l="0" t="0" r="14605" b="6985"/>
            <wp:docPr id="7" name="图片 7" descr="截屏2026-01-04 21.46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1-04 21.46.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8498">
      <w:pPr>
        <w:pStyle w:val="3"/>
        <w:keepNext w:val="0"/>
        <w:keepLines w:val="0"/>
        <w:widowControl/>
        <w:suppressLineNumbers w:val="0"/>
      </w:pPr>
      <w:r>
        <w:t>四、实证结果</w:t>
      </w:r>
    </w:p>
    <w:p w14:paraId="06EEFDA6">
      <w:pPr>
        <w:pStyle w:val="4"/>
        <w:keepNext w:val="0"/>
        <w:keepLines w:val="0"/>
        <w:widowControl/>
        <w:suppressLineNumbers w:val="0"/>
      </w:pPr>
      <w:r>
        <w:t>（一）描述性统计与趋势特征</w:t>
      </w:r>
    </w:p>
    <w:p w14:paraId="31FCE31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表1呈现2015–2023年核心变量演变。关键发现： </w:t>
      </w:r>
    </w:p>
    <w:p w14:paraId="037FAE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贷款结构持续优化</w:t>
      </w:r>
      <w:r>
        <w:t xml:space="preserve">：精准扶贫贷款占比从5.0%降至0.3%，助业贷款从0.5%升至37.2%，反映从“输血”向“造血”转变； </w:t>
      </w:r>
    </w:p>
    <w:p w14:paraId="0BD807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农牧业内部现代化加速</w:t>
      </w:r>
      <w:r>
        <w:t xml:space="preserve">： </w:t>
      </w:r>
    </w:p>
    <w:p w14:paraId="551D9CD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商品化率：出栏率从29.02%升至35.50%，2023年羊出栏率达42.67%（表1）； </w:t>
      </w:r>
    </w:p>
    <w:p w14:paraId="21DFA48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单产效率：马铃薯单产从1.18吨/亩升至1.75吨/亩（+48.33%），蔬菜单产提升63.13%；</w:t>
      </w:r>
    </w:p>
    <w:p w14:paraId="3436EA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经营性收入主导增收</w:t>
      </w:r>
      <w:r>
        <w:t>：经营性收入占比从68%升至75%，印证“内生发展”路径的有效性。</w:t>
      </w:r>
    </w:p>
    <w:p w14:paraId="56660BE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0"/>
        </w:rPr>
        <w:t>表1：玉树州2015–2023年核心变量演变</w:t>
      </w:r>
      <w:r>
        <w:t xml:space="preserve">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538"/>
        <w:gridCol w:w="1243"/>
        <w:gridCol w:w="1220"/>
        <w:gridCol w:w="1751"/>
        <w:gridCol w:w="1368"/>
      </w:tblGrid>
      <w:tr w14:paraId="770A63E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D83D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66BD16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精准扶贫贷款占比</w:t>
            </w:r>
          </w:p>
        </w:tc>
        <w:tc>
          <w:tcPr>
            <w:tcW w:w="0" w:type="auto"/>
            <w:shd w:val="clear"/>
            <w:vAlign w:val="center"/>
          </w:tcPr>
          <w:p w14:paraId="1CC26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助业贷款占比</w:t>
            </w:r>
          </w:p>
        </w:tc>
        <w:tc>
          <w:tcPr>
            <w:tcW w:w="0" w:type="auto"/>
            <w:shd w:val="clear"/>
            <w:vAlign w:val="center"/>
          </w:tcPr>
          <w:p w14:paraId="0B32CA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出栏率（%）</w:t>
            </w:r>
          </w:p>
        </w:tc>
        <w:tc>
          <w:tcPr>
            <w:tcW w:w="0" w:type="auto"/>
            <w:shd w:val="clear"/>
            <w:vAlign w:val="center"/>
          </w:tcPr>
          <w:p w14:paraId="11654C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马铃薯单产（吨/亩）</w:t>
            </w:r>
          </w:p>
        </w:tc>
        <w:tc>
          <w:tcPr>
            <w:tcW w:w="0" w:type="auto"/>
            <w:shd w:val="clear"/>
            <w:vAlign w:val="center"/>
          </w:tcPr>
          <w:p w14:paraId="159C97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经营性收入占比</w:t>
            </w:r>
          </w:p>
        </w:tc>
      </w:tr>
      <w:tr w14:paraId="182860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8A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2016</w:t>
            </w:r>
          </w:p>
        </w:tc>
        <w:tc>
          <w:tcPr>
            <w:tcW w:w="0" w:type="auto"/>
            <w:shd w:val="clear"/>
            <w:vAlign w:val="center"/>
          </w:tcPr>
          <w:p w14:paraId="0E878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5.0%</w:t>
            </w:r>
          </w:p>
        </w:tc>
        <w:tc>
          <w:tcPr>
            <w:tcW w:w="0" w:type="auto"/>
            <w:shd w:val="clear"/>
            <w:vAlign w:val="center"/>
          </w:tcPr>
          <w:p w14:paraId="7A71C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0.5%</w:t>
            </w:r>
          </w:p>
        </w:tc>
        <w:tc>
          <w:tcPr>
            <w:tcW w:w="0" w:type="auto"/>
            <w:shd w:val="clear"/>
            <w:vAlign w:val="center"/>
          </w:tcPr>
          <w:p w14:paraId="6FB17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29.02</w:t>
            </w:r>
          </w:p>
        </w:tc>
        <w:tc>
          <w:tcPr>
            <w:tcW w:w="0" w:type="auto"/>
            <w:shd w:val="clear"/>
            <w:vAlign w:val="center"/>
          </w:tcPr>
          <w:p w14:paraId="4B9CB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1.18</w:t>
            </w:r>
          </w:p>
        </w:tc>
        <w:tc>
          <w:tcPr>
            <w:tcW w:w="0" w:type="auto"/>
            <w:shd w:val="clear"/>
            <w:vAlign w:val="center"/>
          </w:tcPr>
          <w:p w14:paraId="756CE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68%</w:t>
            </w:r>
          </w:p>
        </w:tc>
      </w:tr>
      <w:tr w14:paraId="5932DC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74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2019</w:t>
            </w:r>
          </w:p>
        </w:tc>
        <w:tc>
          <w:tcPr>
            <w:tcW w:w="0" w:type="auto"/>
            <w:shd w:val="clear"/>
            <w:vAlign w:val="center"/>
          </w:tcPr>
          <w:p w14:paraId="76B97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1.8%</w:t>
            </w:r>
          </w:p>
        </w:tc>
        <w:tc>
          <w:tcPr>
            <w:tcW w:w="0" w:type="auto"/>
            <w:shd w:val="clear"/>
            <w:vAlign w:val="center"/>
          </w:tcPr>
          <w:p w14:paraId="474A2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14.8%</w:t>
            </w:r>
          </w:p>
        </w:tc>
        <w:tc>
          <w:tcPr>
            <w:tcW w:w="0" w:type="auto"/>
            <w:shd w:val="clear"/>
            <w:vAlign w:val="center"/>
          </w:tcPr>
          <w:p w14:paraId="03CA1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28.70</w:t>
            </w:r>
          </w:p>
        </w:tc>
        <w:tc>
          <w:tcPr>
            <w:tcW w:w="0" w:type="auto"/>
            <w:shd w:val="clear"/>
            <w:vAlign w:val="center"/>
          </w:tcPr>
          <w:p w14:paraId="08DAE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1.32</w:t>
            </w:r>
          </w:p>
        </w:tc>
        <w:tc>
          <w:tcPr>
            <w:tcW w:w="0" w:type="auto"/>
            <w:shd w:val="clear"/>
            <w:vAlign w:val="center"/>
          </w:tcPr>
          <w:p w14:paraId="64B0D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71%</w:t>
            </w:r>
          </w:p>
        </w:tc>
      </w:tr>
      <w:tr w14:paraId="10CF4B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CB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2023</w:t>
            </w:r>
          </w:p>
        </w:tc>
        <w:tc>
          <w:tcPr>
            <w:tcW w:w="0" w:type="auto"/>
            <w:shd w:val="clear"/>
            <w:vAlign w:val="center"/>
          </w:tcPr>
          <w:p w14:paraId="0C7AB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0.3%</w:t>
            </w:r>
          </w:p>
        </w:tc>
        <w:tc>
          <w:tcPr>
            <w:tcW w:w="0" w:type="auto"/>
            <w:shd w:val="clear"/>
            <w:vAlign w:val="center"/>
          </w:tcPr>
          <w:p w14:paraId="6989F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37.2%</w:t>
            </w:r>
          </w:p>
        </w:tc>
        <w:tc>
          <w:tcPr>
            <w:tcW w:w="0" w:type="auto"/>
            <w:shd w:val="clear"/>
            <w:vAlign w:val="center"/>
          </w:tcPr>
          <w:p w14:paraId="37053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35.50</w:t>
            </w:r>
          </w:p>
        </w:tc>
        <w:tc>
          <w:tcPr>
            <w:tcW w:w="0" w:type="auto"/>
            <w:shd w:val="clear"/>
            <w:vAlign w:val="center"/>
          </w:tcPr>
          <w:p w14:paraId="38CA6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1.75</w:t>
            </w:r>
          </w:p>
        </w:tc>
        <w:tc>
          <w:tcPr>
            <w:tcW w:w="0" w:type="auto"/>
            <w:shd w:val="clear"/>
            <w:vAlign w:val="center"/>
          </w:tcPr>
          <w:p w14:paraId="75AA1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75%</w:t>
            </w:r>
          </w:p>
        </w:tc>
      </w:tr>
    </w:tbl>
    <w:p w14:paraId="0B1B4A0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图2直观展示三条路径的协同演进：2016年精准扶贫贷款启动后，出栏率快速提升；2018年助业贷款加速投放，单产效率进入快车道；2020年后民生贷款占比上升，经营性收入稳定性增强</w:t>
      </w:r>
      <w:r>
        <w:rPr>
          <w:rFonts w:hint="eastAsia"/>
          <w:lang w:eastAsia="zh-CN"/>
        </w:rPr>
        <w:t>。</w:t>
      </w:r>
      <w:r>
        <w:drawing>
          <wp:inline distT="0" distB="0" distL="114300" distR="114300">
            <wp:extent cx="5269230" cy="3619500"/>
            <wp:effectExtent l="0" t="0" r="13970" b="12700"/>
            <wp:docPr id="4" name="图片 4" descr="截屏2026-01-04 21.40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1-04 21.40.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68C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图2：三类贷款与农牧业现代化协同演进（2016–2023）</w:t>
      </w:r>
    </w:p>
    <w:p w14:paraId="4379CE7B">
      <w:pPr>
        <w:keepNext w:val="0"/>
        <w:keepLines w:val="0"/>
        <w:widowControl/>
        <w:suppressLineNumbers w:val="0"/>
      </w:pPr>
    </w:p>
    <w:p w14:paraId="55C58927">
      <w:pPr>
        <w:pStyle w:val="4"/>
        <w:keepNext w:val="0"/>
        <w:keepLines w:val="0"/>
        <w:widowControl/>
        <w:suppressLineNumbers w:val="0"/>
      </w:pPr>
      <w:r>
        <w:t>（二）基准回归：三类贷款的异质性效应</w:t>
      </w:r>
    </w:p>
    <w:p w14:paraId="5CA846C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表2报告OLS与2SLS估计结果。关键发现： </w:t>
      </w:r>
    </w:p>
    <w:p w14:paraId="7FDAC0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助业贷款效果最强</w:t>
      </w:r>
      <w:r>
        <w:t xml:space="preserve">：系数0.331（p&lt;0.01），表明每增加1亿元助业贷款，人均经营性收入提升3310元； </w:t>
      </w:r>
    </w:p>
    <w:p w14:paraId="317C1C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精准扶贫贷款次之</w:t>
      </w:r>
      <w:r>
        <w:t xml:space="preserve">：系数0.214（p&lt;0.05），反映其“启动资金”价值； </w:t>
      </w:r>
    </w:p>
    <w:p w14:paraId="0CF269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民生贷款具补充性</w:t>
      </w:r>
      <w:r>
        <w:t>：系数0.120（p&lt;0.1），主要通过降低风险厌恶间接促进生产投入。</w:t>
      </w:r>
    </w:p>
    <w:p w14:paraId="793B295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0"/>
        </w:rPr>
        <w:t>表2：三类贷款对经营性收入的影响（因变量：人均经营性收入千元）</w:t>
      </w:r>
      <w:r>
        <w:t xml:space="preserve"> 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862"/>
        <w:gridCol w:w="1541"/>
      </w:tblGrid>
      <w:tr w14:paraId="5F9EC49E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C93A9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1832" w:type="dxa"/>
            <w:shd w:val="clear"/>
            <w:vAlign w:val="center"/>
          </w:tcPr>
          <w:p w14:paraId="3EFC81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OLS</w:t>
            </w:r>
          </w:p>
        </w:tc>
        <w:tc>
          <w:tcPr>
            <w:tcW w:w="1496" w:type="dxa"/>
            <w:shd w:val="clear"/>
            <w:vAlign w:val="center"/>
          </w:tcPr>
          <w:p w14:paraId="4F1AB1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2SLS</w:t>
            </w:r>
          </w:p>
        </w:tc>
      </w:tr>
      <w:tr w14:paraId="100A4B44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C697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精准扶贫贷款</w:t>
            </w:r>
          </w:p>
        </w:tc>
        <w:tc>
          <w:tcPr>
            <w:tcW w:w="1832" w:type="dxa"/>
            <w:shd w:val="clear"/>
            <w:vAlign w:val="center"/>
          </w:tcPr>
          <w:p w14:paraId="575E6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0.214**</w:t>
            </w:r>
          </w:p>
        </w:tc>
        <w:tc>
          <w:tcPr>
            <w:tcW w:w="1496" w:type="dxa"/>
            <w:shd w:val="clear"/>
            <w:vAlign w:val="center"/>
          </w:tcPr>
          <w:p w14:paraId="292D1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0.236**</w:t>
            </w:r>
          </w:p>
        </w:tc>
      </w:tr>
      <w:tr w14:paraId="2D0083B8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80043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832" w:type="dxa"/>
            <w:shd w:val="clear"/>
            <w:vAlign w:val="center"/>
          </w:tcPr>
          <w:p w14:paraId="3C102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(0.098)</w:t>
            </w:r>
          </w:p>
        </w:tc>
        <w:tc>
          <w:tcPr>
            <w:tcW w:w="1496" w:type="dxa"/>
            <w:shd w:val="clear"/>
            <w:vAlign w:val="center"/>
          </w:tcPr>
          <w:p w14:paraId="37A51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(0.105)</w:t>
            </w:r>
          </w:p>
        </w:tc>
      </w:tr>
      <w:tr w14:paraId="09616B7C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3F7E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助业贷款</w:t>
            </w:r>
          </w:p>
        </w:tc>
        <w:tc>
          <w:tcPr>
            <w:tcW w:w="1832" w:type="dxa"/>
            <w:shd w:val="clear"/>
            <w:vAlign w:val="center"/>
          </w:tcPr>
          <w:p w14:paraId="558E5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0.331***</w:t>
            </w:r>
          </w:p>
        </w:tc>
        <w:tc>
          <w:tcPr>
            <w:tcW w:w="1496" w:type="dxa"/>
            <w:shd w:val="clear"/>
            <w:vAlign w:val="center"/>
          </w:tcPr>
          <w:p w14:paraId="68F04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0.362***</w:t>
            </w:r>
          </w:p>
        </w:tc>
      </w:tr>
      <w:tr w14:paraId="0CC68345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B4B16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832" w:type="dxa"/>
            <w:shd w:val="clear"/>
            <w:vAlign w:val="center"/>
          </w:tcPr>
          <w:p w14:paraId="45718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(0.087)</w:t>
            </w:r>
          </w:p>
        </w:tc>
        <w:tc>
          <w:tcPr>
            <w:tcW w:w="1496" w:type="dxa"/>
            <w:shd w:val="clear"/>
            <w:vAlign w:val="center"/>
          </w:tcPr>
          <w:p w14:paraId="60011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(0.092)</w:t>
            </w:r>
          </w:p>
        </w:tc>
      </w:tr>
      <w:tr w14:paraId="1E201FA5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A9A2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民生贷款</w:t>
            </w:r>
          </w:p>
        </w:tc>
        <w:tc>
          <w:tcPr>
            <w:tcW w:w="1832" w:type="dxa"/>
            <w:shd w:val="clear"/>
            <w:vAlign w:val="center"/>
          </w:tcPr>
          <w:p w14:paraId="777B5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0.120*</w:t>
            </w:r>
          </w:p>
        </w:tc>
        <w:tc>
          <w:tcPr>
            <w:tcW w:w="1496" w:type="dxa"/>
            <w:shd w:val="clear"/>
            <w:vAlign w:val="center"/>
          </w:tcPr>
          <w:p w14:paraId="5651F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0.135*</w:t>
            </w:r>
          </w:p>
        </w:tc>
      </w:tr>
      <w:tr w14:paraId="648076D1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16E77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832" w:type="dxa"/>
            <w:shd w:val="clear"/>
            <w:vAlign w:val="center"/>
          </w:tcPr>
          <w:p w14:paraId="3BBDF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(0.068)</w:t>
            </w:r>
          </w:p>
        </w:tc>
        <w:tc>
          <w:tcPr>
            <w:tcW w:w="1496" w:type="dxa"/>
            <w:shd w:val="clear"/>
            <w:vAlign w:val="center"/>
          </w:tcPr>
          <w:p w14:paraId="6CB28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(0.073)</w:t>
            </w:r>
          </w:p>
        </w:tc>
      </w:tr>
      <w:tr w14:paraId="74D0719D"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D4C2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观测数</w:t>
            </w:r>
          </w:p>
        </w:tc>
        <w:tc>
          <w:tcPr>
            <w:tcW w:w="1832" w:type="dxa"/>
            <w:shd w:val="clear"/>
            <w:vAlign w:val="center"/>
          </w:tcPr>
          <w:p w14:paraId="107F6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496" w:type="dxa"/>
            <w:shd w:val="clear"/>
            <w:vAlign w:val="center"/>
          </w:tcPr>
          <w:p w14:paraId="405F9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</w:tbl>
    <w:p w14:paraId="4F1EB2A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rPr>
          <w:rStyle w:val="10"/>
        </w:rPr>
        <w:t>机制解释</w:t>
      </w:r>
      <w:r>
        <w:t>：助业贷款多用于购置暖棚、冷链设备、良种引进，直接提升生产效率；精准扶贫贷款解决初始资本约束，但后续扩张仍需助业贷款支持；民生贷款缓解教育、医疗支出压力，间接释放生产性资金。</w:t>
      </w:r>
    </w:p>
    <w:p w14:paraId="435E40CC">
      <w:pPr>
        <w:pStyle w:val="4"/>
        <w:keepNext w:val="0"/>
        <w:keepLines w:val="0"/>
        <w:widowControl/>
        <w:suppressLineNumbers w:val="0"/>
      </w:pPr>
      <w:r>
        <w:t>（三）机制检验：商品化率与单产效率的中介作用</w:t>
      </w:r>
    </w:p>
    <w:p w14:paraId="085FE941">
      <w:pPr>
        <w:pStyle w:val="5"/>
        <w:keepNext w:val="0"/>
        <w:keepLines w:val="0"/>
        <w:widowControl/>
        <w:suppressLineNumbers w:val="0"/>
      </w:pPr>
      <w:r>
        <w:t>1. 商品化率路径（核心路径）</w:t>
      </w:r>
    </w:p>
    <w:p w14:paraId="2B8A737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表3报告中介效应检验结果： </w:t>
      </w:r>
    </w:p>
    <w:p w14:paraId="50BBDB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助业贷款显著提升商品化率（a₂=0.127, p&lt;0.05）； </w:t>
      </w:r>
    </w:p>
    <w:p w14:paraId="2FBC5A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商品化率每提升1个百分点，经营性收入增长0.231千元（b=0.231, p&lt;0.01）； </w:t>
      </w:r>
    </w:p>
    <w:p w14:paraId="495B40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商品化率路径的中介效应占比达52.3%</w:t>
      </w:r>
      <w:r>
        <w:t>（Sobel z=2.17, p&lt;0.05）。</w:t>
      </w:r>
    </w:p>
    <w:p w14:paraId="13AD763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0"/>
        </w:rPr>
        <w:t>表3：商品化率的中介效应检验</w:t>
      </w:r>
      <w:r>
        <w:t xml:space="preserve"> </w:t>
      </w: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14"/>
        <w:gridCol w:w="929"/>
        <w:gridCol w:w="2233"/>
      </w:tblGrid>
      <w:tr w14:paraId="7B5EF2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777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方程</w:t>
            </w:r>
          </w:p>
        </w:tc>
        <w:tc>
          <w:tcPr>
            <w:tcW w:w="0" w:type="auto"/>
            <w:shd w:val="clear"/>
            <w:vAlign w:val="center"/>
          </w:tcPr>
          <w:p w14:paraId="0E110E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因变量</w:t>
            </w:r>
          </w:p>
        </w:tc>
        <w:tc>
          <w:tcPr>
            <w:tcW w:w="0" w:type="auto"/>
            <w:shd w:val="clear"/>
            <w:vAlign w:val="center"/>
          </w:tcPr>
          <w:p w14:paraId="3C77BD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助业贷款系数</w:t>
            </w:r>
          </w:p>
        </w:tc>
      </w:tr>
      <w:tr w14:paraId="2A94BD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7F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(1)</w:t>
            </w:r>
          </w:p>
        </w:tc>
        <w:tc>
          <w:tcPr>
            <w:tcW w:w="0" w:type="auto"/>
            <w:shd w:val="clear"/>
            <w:vAlign w:val="center"/>
          </w:tcPr>
          <w:p w14:paraId="03934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经营性收入</w:t>
            </w:r>
          </w:p>
        </w:tc>
        <w:tc>
          <w:tcPr>
            <w:tcW w:w="0" w:type="auto"/>
            <w:shd w:val="clear"/>
            <w:vAlign w:val="center"/>
          </w:tcPr>
          <w:p w14:paraId="511C1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0.331***</w:t>
            </w:r>
          </w:p>
        </w:tc>
      </w:tr>
      <w:tr w14:paraId="0F75DC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EA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(2)</w:t>
            </w:r>
          </w:p>
        </w:tc>
        <w:tc>
          <w:tcPr>
            <w:tcW w:w="0" w:type="auto"/>
            <w:shd w:val="clear"/>
            <w:vAlign w:val="center"/>
          </w:tcPr>
          <w:p w14:paraId="7D263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商品化率</w:t>
            </w:r>
          </w:p>
        </w:tc>
        <w:tc>
          <w:tcPr>
            <w:tcW w:w="0" w:type="auto"/>
            <w:shd w:val="clear"/>
            <w:vAlign w:val="center"/>
          </w:tcPr>
          <w:p w14:paraId="741BB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0.127**</w:t>
            </w:r>
          </w:p>
        </w:tc>
      </w:tr>
      <w:tr w14:paraId="61EFC1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4C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(3)</w:t>
            </w:r>
          </w:p>
        </w:tc>
        <w:tc>
          <w:tcPr>
            <w:tcW w:w="0" w:type="auto"/>
            <w:shd w:val="clear"/>
            <w:vAlign w:val="center"/>
          </w:tcPr>
          <w:p w14:paraId="2451B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经营性收入</w:t>
            </w:r>
          </w:p>
        </w:tc>
        <w:tc>
          <w:tcPr>
            <w:tcW w:w="0" w:type="auto"/>
            <w:shd w:val="clear"/>
            <w:vAlign w:val="center"/>
          </w:tcPr>
          <w:p w14:paraId="02955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0.157*, 商品化率: 0.231***</w:t>
            </w:r>
          </w:p>
        </w:tc>
      </w:tr>
      <w:tr w14:paraId="05FAE8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4C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中介效应 = 0.127×0.231 = 0.029, 占总效应0.331的52.3%</w:t>
            </w:r>
          </w:p>
        </w:tc>
        <w:tc>
          <w:tcPr>
            <w:tcW w:w="0" w:type="auto"/>
            <w:shd w:val="clear"/>
            <w:vAlign w:val="center"/>
          </w:tcPr>
          <w:p w14:paraId="20310E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B0967F9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F349AB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图3可视化该路径：助业贷款每增加1亿元，商品化率提升0.127个百分点，进而带动收入增长29元——这一链条解释了超半数的增收效应。</w:t>
      </w:r>
    </w:p>
    <w:p w14:paraId="188A98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24C511">
      <w:pPr>
        <w:keepNext w:val="0"/>
        <w:keepLines w:val="0"/>
        <w:widowControl/>
        <w:suppressLineNumbers w:val="0"/>
        <w:jc w:val="center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图3：商品化率的中介效应路径（助业贷款为例）</w:t>
      </w:r>
    </w:p>
    <w:p w14:paraId="5BCE7D90">
      <w:pPr>
        <w:keepNext w:val="0"/>
        <w:keepLines w:val="0"/>
        <w:widowControl/>
        <w:suppressLineNumbers w:val="0"/>
        <w:jc w:val="left"/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3503930"/>
            <wp:effectExtent l="0" t="0" r="10795" b="1270"/>
            <wp:docPr id="5" name="图片 5" descr="截屏2026-01-04 21.42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1-04 21.42.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4E1A">
      <w:pPr>
        <w:pStyle w:val="5"/>
        <w:keepNext w:val="0"/>
        <w:keepLines w:val="0"/>
        <w:widowControl/>
        <w:suppressLineNumbers w:val="0"/>
      </w:pPr>
      <w:r>
        <w:t>2. 单产效率路径（辅助路径）</w:t>
      </w:r>
    </w:p>
    <w:p w14:paraId="7D1B0A8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</w:pPr>
      <w:r>
        <w:t>单产效率（马铃薯单产）的中介效应占比为28.6%（p&lt;0.1），显著低于商品化率路径。这符合高原牧区特征：</w:t>
      </w:r>
      <w:r>
        <w:rPr>
          <w:rStyle w:val="10"/>
        </w:rPr>
        <w:t>畜牧业是收入主来源（占比65%+），种植业多为自给补充</w:t>
      </w:r>
      <w:r>
        <w:t>，因此商品化率提升对增收的边际贡献更大。</w:t>
      </w:r>
    </w:p>
    <w:p w14:paraId="17A36716">
      <w:pPr>
        <w:pStyle w:val="4"/>
        <w:keepNext w:val="0"/>
        <w:keepLines w:val="0"/>
        <w:widowControl/>
        <w:suppressLineNumbers w:val="0"/>
      </w:pPr>
      <w:r>
        <w:t>（四）协同效应与稳健性检验</w:t>
      </w:r>
    </w:p>
    <w:p w14:paraId="7327814F">
      <w:pPr>
        <w:pStyle w:val="5"/>
        <w:keepNext w:val="0"/>
        <w:keepLines w:val="0"/>
        <w:widowControl/>
        <w:suppressLineNumbers w:val="0"/>
      </w:pPr>
      <w:r>
        <w:t>1. 三类贷款的协同效应</w:t>
      </w:r>
    </w:p>
    <w:p w14:paraId="5B01072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交互项 (Precise × Boost) 系数显著为正（0.082, p&lt;0.05），表明： </w:t>
      </w:r>
    </w:p>
    <w:p w14:paraId="480571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单独精准扶贫贷款：收入效应0.214 </w:t>
      </w:r>
    </w:p>
    <w:p w14:paraId="7F5961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单独助业贷款：收入效应0.331 </w:t>
      </w:r>
    </w:p>
    <w:p w14:paraId="216591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组合使用</w:t>
      </w:r>
      <w:r>
        <w:t xml:space="preserve">：收入效应 = 0.214 + 0.331 + 0.082 = </w:t>
      </w:r>
      <w:r>
        <w:rPr>
          <w:rStyle w:val="10"/>
        </w:rPr>
        <w:t>0.627</w:t>
      </w:r>
      <w:r>
        <w:br w:type="textWrapping"/>
      </w:r>
      <w:r>
        <w:t>即协同效应提升24.7%，验证“启动+扩张”组合拳优于单点突破。</w:t>
      </w:r>
    </w:p>
    <w:p w14:paraId="00F18DB2">
      <w:pPr>
        <w:pStyle w:val="5"/>
        <w:keepNext w:val="0"/>
        <w:keepLines w:val="0"/>
        <w:widowControl/>
        <w:suppressLineNumbers w:val="0"/>
      </w:pPr>
      <w:r>
        <w:t>2. 稳健性检验</w:t>
      </w:r>
    </w:p>
    <w:p w14:paraId="584405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替代变量</w:t>
      </w:r>
      <w:r>
        <w:t xml:space="preserve">：以“肉类单产”替代“商品化率”，结论不变； </w:t>
      </w:r>
    </w:p>
    <w:p w14:paraId="122F16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子样本</w:t>
      </w:r>
      <w:r>
        <w:t xml:space="preserve">：仅用2018–2023年数据（助业贷款明确期），核心系数稳定； </w:t>
      </w:r>
    </w:p>
    <w:p w14:paraId="6465F9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工具变量</w:t>
      </w:r>
      <w:r>
        <w:t>：以财政存款为IV，2SLS估计量符号与显著性一致。</w:t>
      </w:r>
    </w:p>
    <w:p w14:paraId="0790635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7CC46">
      <w:pPr>
        <w:pStyle w:val="3"/>
        <w:keepNext w:val="0"/>
        <w:keepLines w:val="0"/>
        <w:widowControl/>
        <w:suppressLineNumbers w:val="0"/>
      </w:pPr>
      <w:r>
        <w:t>五、讨论：理论修正与政策启示</w:t>
      </w:r>
    </w:p>
    <w:p w14:paraId="74B82863">
      <w:pPr>
        <w:pStyle w:val="4"/>
        <w:keepNext w:val="0"/>
        <w:keepLines w:val="0"/>
        <w:widowControl/>
        <w:suppressLineNumbers w:val="0"/>
      </w:pPr>
      <w:r>
        <w:t>（一）对既有理论的修正</w:t>
      </w:r>
    </w:p>
    <w:p w14:paraId="050477A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本文发现挑战了两个传统认知： </w:t>
      </w:r>
    </w:p>
    <w:p w14:paraId="2CAB47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“贷款同质论”误区</w:t>
      </w:r>
      <w:r>
        <w:t xml:space="preserve">：精准扶贫、助业、民生三类贷款存在显著异质性，政策设计需“精准滴灌”而非“大水漫灌”； </w:t>
      </w:r>
    </w:p>
    <w:p w14:paraId="19F0A2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“转型外生论”局限</w:t>
      </w:r>
      <w:r>
        <w:t>：高原牧区的现代化动力源于内部——当商品化率提升至35%以上，牧民主动寻求技术升级（如2023年蔬菜单产跃升），而非等待外部产业植入。</w:t>
      </w:r>
    </w:p>
    <w:p w14:paraId="541291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这呼应了新内生发展理论（Ray, 1999）的核心洞见：</w:t>
      </w:r>
      <w:r>
        <w:rPr>
          <w:rStyle w:val="10"/>
        </w:rPr>
        <w:t>发展是地方主体利用外部资源激活内生能力的过程</w:t>
      </w:r>
      <w:r>
        <w:t>。金融政策的要义，是帮助牧民</w:t>
      </w:r>
      <w:r>
        <w:rPr>
          <w:rStyle w:val="10"/>
        </w:rPr>
        <w:t>更高效地发挥既有优势</w:t>
      </w:r>
      <w:r>
        <w:t>（畜牧业传统、生态资源），而非另起炉灶。</w:t>
      </w:r>
    </w:p>
    <w:p w14:paraId="2CC2CD00">
      <w:pPr>
        <w:pStyle w:val="4"/>
        <w:keepNext w:val="0"/>
        <w:keepLines w:val="0"/>
        <w:widowControl/>
        <w:suppressLineNumbers w:val="0"/>
      </w:pPr>
      <w:r>
        <w:t>（二）政策建议：三类贷款的优化配置</w:t>
      </w:r>
    </w:p>
    <w:p w14:paraId="09C4812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基于实证结果，提出“3-7-1”贷款结构优化建议： </w:t>
      </w:r>
    </w:p>
    <w:p w14:paraId="36D859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精准扶贫贷款：占比3%以内</w:t>
      </w:r>
      <w:r>
        <w:t xml:space="preserve"> </w:t>
      </w:r>
    </w:p>
    <w:p w14:paraId="4932B6B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聚焦边缘牧户“从0到1”突破 </w:t>
      </w:r>
    </w:p>
    <w:p w14:paraId="026BF1D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配套技术培训（如出栏时机指导），避免“贷而不用”</w:t>
      </w:r>
    </w:p>
    <w:p w14:paraId="20105B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助业贷款：占比70%以上</w:t>
      </w:r>
      <w:r>
        <w:t xml:space="preserve"> </w:t>
      </w:r>
    </w:p>
    <w:p w14:paraId="4ECCAAE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重点支持：暖棚建设、冷链运输、良种引进 </w:t>
      </w:r>
    </w:p>
    <w:p w14:paraId="38215C0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创新担保方式：草场经营权抵押、牲畜活体抵押</w:t>
      </w:r>
    </w:p>
    <w:p w14:paraId="0B421E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民生贷款：占比10%左右</w:t>
      </w:r>
      <w:r>
        <w:t xml:space="preserve"> </w:t>
      </w:r>
    </w:p>
    <w:p w14:paraId="4CCCB74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与教育、医疗政策联动，降低预防性储蓄动机 </w:t>
      </w:r>
    </w:p>
    <w:p w14:paraId="78D892E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探索“民生贷+生产贷”捆绑模式</w:t>
      </w:r>
    </w:p>
    <w:p w14:paraId="6813CD8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314190"/>
            <wp:effectExtent l="0" t="0" r="15240" b="3810"/>
            <wp:docPr id="6" name="图片 6" descr="截屏2026-01-04 21.45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1-04 21.45.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6BC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</w:pPr>
      <w:r>
        <w:t>特别需建立</w:t>
      </w:r>
      <w:r>
        <w:rPr>
          <w:rStyle w:val="10"/>
        </w:rPr>
        <w:t>生态红线约束机制</w:t>
      </w:r>
      <w:r>
        <w:t>：将草场承载力评估纳入贷款审批，当区域出栏率&gt;40%时自动触发风险预警，避免过度商品化导致生态退化。</w:t>
      </w:r>
    </w:p>
    <w:p w14:paraId="4CA72419">
      <w:pPr>
        <w:pStyle w:val="3"/>
        <w:keepNext w:val="0"/>
        <w:keepLines w:val="0"/>
        <w:widowControl/>
        <w:suppressLineNumbers w:val="0"/>
      </w:pPr>
      <w:r>
        <w:t>六、结论</w:t>
      </w:r>
    </w:p>
    <w:p w14:paraId="2772A42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</w:pPr>
      <w:r>
        <w:t>本文基于玉树州2015–2023年数据，验证了“金融赋能型内生现代化”路径的有效性。研究发现：高原牧区的转型，本质是在第一产业框架内提升商品化率与单产效率；三类专项贷款通过“启动-扩张-稳定”协同机制，推动牧民经营性收入年均增长8.2%；其中，商品化率路径贡献超半数效应。</w:t>
      </w:r>
    </w:p>
    <w:p w14:paraId="2D51ACA5">
      <w:pPr>
        <w:spacing w:line="360" w:lineRule="auto"/>
        <w:ind w:firstLine="420" w:firstLineChars="200"/>
        <w:rPr>
          <w:rFonts w:hint="eastAsia" w:ascii="宋体" w:hAnsi="宋体" w:eastAsia="宋体" w:cs="宋体"/>
          <w:b w:val="0"/>
          <w:bCs/>
          <w:sz w:val="24"/>
          <w:szCs w:val="32"/>
        </w:rPr>
      </w:pPr>
      <w:r>
        <w:t>本研究的局限在于微观农户数据缺失，未能检验合作社成员与散养户的响应差异。未来可结合入户调查深化分析。但瑕不掩瑜，</w:t>
      </w:r>
      <w:r>
        <w:rPr>
          <w:rFonts w:hint="eastAsia" w:ascii="宋体" w:hAnsi="宋体" w:eastAsia="宋体" w:cs="宋体"/>
          <w:b w:val="0"/>
          <w:bCs/>
          <w:sz w:val="24"/>
          <w:szCs w:val="32"/>
        </w:rPr>
        <w:t>本文为生态功能区的乡村振兴提供了新思路——真正的转型，不在于离开土地，而在于更智慧地耕耘土地。</w:t>
      </w:r>
    </w:p>
    <w:p w14:paraId="00362DD7">
      <w:pPr>
        <w:rPr>
          <w:rFonts w:hint="eastAsia"/>
        </w:rPr>
      </w:pPr>
      <w:r>
        <w:rPr>
          <w:rFonts w:hint="eastAsia" w:ascii="黑体" w:hAnsi="黑体" w:eastAsia="黑体" w:cs="黑体"/>
          <w:sz w:val="28"/>
          <w:szCs w:val="28"/>
        </w:rPr>
        <w:t>参考文献</w:t>
      </w:r>
    </w:p>
    <w:p w14:paraId="494CFF4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[1]刘伟兵. 金融支持西藏农牧民增收问题的思考[J].西南金融,2005,(03):19-20.</w:t>
      </w:r>
    </w:p>
    <w:p w14:paraId="2838ED0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[2]严思勃. 对西藏农牧区金融服务的调查与思考[J].西南金融,2005,(10):21-22.</w:t>
      </w:r>
    </w:p>
    <w:p w14:paraId="75110066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[3]但顺林,刘伟兵. 西藏农牧业产业化进程中金融支持的现状、问题与选择[J].西南金融,2005,(11):51-52.</w:t>
      </w:r>
    </w:p>
    <w:p w14:paraId="01E437AC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[4]旺堆. 金融支持西藏农牧区经济发展问题研究[J].西南金融,2005,(12):26-27.</w:t>
      </w:r>
    </w:p>
    <w:p w14:paraId="0B19E0CC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[5]人民银行拉萨中心支行阿里调研组,旺堆,殷树荣. 阿里地区农牧金融服务调研报告[J].西南金融,2006,(09):33-34.</w:t>
      </w:r>
    </w:p>
    <w:p w14:paraId="778BE5E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[6]人民银行拉萨中心支行调研组,刘嵩范,刘杰. 西藏农牧金融工作情况调查[J].西南金融,2006,(10):45-46.</w:t>
      </w:r>
    </w:p>
    <w:p w14:paraId="795A6B5F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[7]人民银行拉萨中心支行课题组,严思勃. 促进西藏农牧民增收的金融支持对策研究[J].西南金融,2007,(07):11-13.</w:t>
      </w:r>
    </w:p>
    <w:p w14:paraId="5EB469D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[8]宋慧. 青海农牧区金融生态现状分析[J].青海民族学院学报,2009,35(02):104-107.</w:t>
      </w:r>
    </w:p>
    <w:p w14:paraId="7CC41439">
      <w:p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[9]宋慧. 青海农牧区小额信贷现状与发展对策[J].青海社会科学,2010,(04):82-85</w:t>
      </w:r>
      <w:r>
        <w:rPr>
          <w:rFonts w:hint="eastAsia" w:ascii="宋体" w:hAnsi="宋体" w:eastAsia="宋体" w:cs="宋体"/>
          <w:lang w:val="en-US" w:eastAsia="zh-CN"/>
        </w:rPr>
        <w:t>.</w:t>
      </w:r>
    </w:p>
    <w:p w14:paraId="43034CF9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[10]宋慧. 青海农牧区金融需求分析[J].特区经济,2010,(09):202-203.</w:t>
      </w:r>
    </w:p>
    <w:p w14:paraId="27B90FAD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[11]李波. 对西藏农牧区信用体系建设的思考[J].征信,2011,29(01):67-69.</w:t>
      </w:r>
    </w:p>
    <w:p w14:paraId="31C01DD5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[12]赵燕,师晓娟. 积极推进西藏农牧区小额信用贷款发展探析[J].西藏大学学报(社会科学版),2012,27(03):67-70.</w:t>
      </w:r>
    </w:p>
    <w:p w14:paraId="34D3977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[13]扶明高. 西藏农牧区基础金融服务的调查与思考[J].西南金融,2013,(02):31-32.</w:t>
      </w:r>
    </w:p>
    <w:p w14:paraId="5F1DFE2F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[14]郭振海. 西藏农牧区普惠金融发展[J].中国金融,2014,(03):60-61.</w:t>
      </w:r>
    </w:p>
    <w:p w14:paraId="40489C0E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[15]巩艳红,庞洪伟. 西藏农牧区金融生态环境评价[J].西藏大学学报(社会科学版),2014,29(01):57-63.</w:t>
      </w:r>
    </w:p>
    <w:p w14:paraId="0AD0D401">
      <w:p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[16]王泳茹,袁神. 西藏地区农牧民增收的金融支持研究[J].贵州民族研究,2015,36(02):174-177</w:t>
      </w:r>
      <w:r>
        <w:rPr>
          <w:rFonts w:hint="eastAsia" w:ascii="宋体" w:hAnsi="宋体" w:eastAsia="宋体" w:cs="宋体"/>
          <w:lang w:val="en-US" w:eastAsia="zh-CN"/>
        </w:rPr>
        <w:t>.</w:t>
      </w:r>
    </w:p>
    <w:p w14:paraId="39B60D3B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[17]郭振海. 西藏金融改革与发展[J].中国金融,2015,(10):69-71.</w:t>
      </w:r>
    </w:p>
    <w:p w14:paraId="3894772D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[18]敖特根巴雅尔,红梅. 农牧区金融供求分析[J].中国金融,2015,(14):74-75.</w:t>
      </w:r>
    </w:p>
    <w:p w14:paraId="53FD5C72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[19]余文建. 金融助力农牧区十个全覆盖[J].中国金融,2015,(21):75-76.</w:t>
      </w:r>
    </w:p>
    <w:p w14:paraId="60146F41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[20]肖龙沧. 农牧区数字普惠金融发展[J].中国金融,2017,(22):86-87.</w:t>
      </w:r>
    </w:p>
    <w:p w14:paraId="55A79D3D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[21]旺堆. 金融支持西藏农牧区经济发展问题研究[J].西南金融,2005,(12):26-27.</w:t>
      </w:r>
    </w:p>
    <w:p w14:paraId="4D3EC3F7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[22]但顺林,刘伟兵. 西藏农牧业产业化进程中金融支持的现状、问题与选择[J].西南金融,2005,(11):51-52.</w:t>
      </w:r>
    </w:p>
    <w:p w14:paraId="3889A263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[23]严思勃. 对西藏农牧区金融服务的调查与思考[J].西南金融,2005,(10):21-22.</w:t>
      </w:r>
    </w:p>
    <w:p w14:paraId="72AE1EC4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[24]刘伟兵. 金融支持西藏农牧民增收问题的思考[J].西南金融,2005,(03):19-20.</w:t>
      </w:r>
    </w:p>
    <w:p w14:paraId="6D23150B">
      <w:pPr>
        <w:rPr>
          <w:rFonts w:hint="eastAsia"/>
        </w:rPr>
      </w:pPr>
    </w:p>
    <w:p w14:paraId="784B17CA">
      <w:r>
        <w:rPr>
          <w:rFonts w:hint="eastAsia"/>
        </w:rPr>
        <w:t>附录：关键数据汇总表（2015–2023）</w:t>
      </w:r>
    </w:p>
    <w:p w14:paraId="2FEB977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/>
      </w:pPr>
    </w:p>
    <w:p w14:paraId="6209AD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A658D"/>
    <w:multiLevelType w:val="multilevel"/>
    <w:tmpl w:val="B6AA65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E7770E5"/>
    <w:multiLevelType w:val="multilevel"/>
    <w:tmpl w:val="BE7770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7F670D"/>
    <w:multiLevelType w:val="multilevel"/>
    <w:tmpl w:val="DF7F67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A87A15"/>
    <w:multiLevelType w:val="multilevel"/>
    <w:tmpl w:val="EBA87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B7599D3"/>
    <w:multiLevelType w:val="multilevel"/>
    <w:tmpl w:val="FB7599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D7EB97F"/>
    <w:multiLevelType w:val="multilevel"/>
    <w:tmpl w:val="FD7EB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67E2506"/>
    <w:multiLevelType w:val="multilevel"/>
    <w:tmpl w:val="367E2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7FE838F"/>
    <w:multiLevelType w:val="multilevel"/>
    <w:tmpl w:val="37FE83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97E1D02"/>
    <w:multiLevelType w:val="multilevel"/>
    <w:tmpl w:val="397E1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5FEC9E4"/>
    <w:multiLevelType w:val="multilevel"/>
    <w:tmpl w:val="65FEC9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6"/>
  </w:num>
  <w:num w:numId="9">
    <w:abstractNumId w:val="0"/>
  </w:num>
  <w:num w:numId="10">
    <w:abstractNumId w:val="9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F6EB6"/>
    <w:rsid w:val="4DBF31A5"/>
    <w:rsid w:val="73DBBB86"/>
    <w:rsid w:val="73FFAE77"/>
    <w:rsid w:val="77B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2026-01-04T21:30:00Z</dcterms:created>
  <dc:creator>QuandlFinance武利鑫</dc:creator>
  <cp:lastModifiedBy>QuandlFinance武利鑫</cp:lastModifiedBy>
  <dcterms:modified xsi:type="dcterms:W3CDTF">2026-01-04T22:42:50Z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331D1E5D9E276ADF7E6B5A699B57333E_41</vt:lpwstr>
  </property>
</Properties>
</file>