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6816"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780"/>
        <w:gridCol w:w="3543"/>
      </w:tblGrid>
      <w:tr w14:paraId="1F27D497">
        <w:trPr>
          <w:gridAfter w:val="1"/>
          <w:wAfter w:w="1564" w:type="pct"/>
          <w:trHeight w:val="1601" w:hRule="atLeast"/>
        </w:trPr>
        <w:tc>
          <w:tcPr>
            <w:tcW w:w="3435" w:type="pct"/>
            <w:shd w:val="clear"/>
            <w:vAlign w:val="center"/>
          </w:tcPr>
          <w:tbl>
            <w:tblPr>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780"/>
            </w:tblGrid>
            <w:tr w14:paraId="6A5B0CF8">
              <w:trPr>
                <w:trHeight w:val="1100" w:hRule="atLeast"/>
                <w:jc w:val="center"/>
              </w:trPr>
              <w:tc>
                <w:tcPr>
                  <w:tcW w:w="0" w:type="auto"/>
                  <w:shd w:val="clear"/>
                  <w:vAlign w:val="center"/>
                </w:tcPr>
                <w:p w14:paraId="4E9250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eastAsia" w:ascii="宋体" w:hAnsi="宋体" w:eastAsia="宋体" w:cs="宋体"/>
                      <w:color w:val="333333"/>
                      <w:sz w:val="32"/>
                      <w:szCs w:val="32"/>
                    </w:rPr>
                  </w:pPr>
                  <w:r>
                    <w:rPr>
                      <w:rFonts w:hint="eastAsia" w:ascii="宋体" w:hAnsi="宋体" w:eastAsia="宋体" w:cs="宋体"/>
                      <w:color w:val="333333"/>
                      <w:sz w:val="32"/>
                      <w:szCs w:val="32"/>
                      <w:bdr w:val="none" w:color="auto" w:sz="0" w:space="0"/>
                    </w:rPr>
                    <w:t>青</w:t>
                  </w:r>
                  <w:bookmarkStart w:id="0" w:name="_GoBack"/>
                  <w:bookmarkEnd w:id="0"/>
                  <w:r>
                    <w:rPr>
                      <w:rFonts w:hint="eastAsia" w:ascii="宋体" w:hAnsi="宋体" w:eastAsia="宋体" w:cs="宋体"/>
                      <w:color w:val="333333"/>
                      <w:sz w:val="32"/>
                      <w:szCs w:val="32"/>
                      <w:bdr w:val="none" w:color="auto" w:sz="0" w:space="0"/>
                    </w:rPr>
                    <w:t>海玉树金融赋予“她”力量</w:t>
                  </w:r>
                </w:p>
              </w:tc>
            </w:tr>
          </w:tbl>
          <w:p w14:paraId="7B24100D">
            <w:pPr>
              <w:jc w:val="center"/>
              <w:rPr>
                <w:rFonts w:hint="eastAsia" w:ascii="宋体" w:hAnsi="宋体" w:eastAsia="宋体" w:cs="宋体"/>
                <w:i w:val="0"/>
                <w:iCs w:val="0"/>
                <w:caps w:val="0"/>
                <w:color w:val="666666"/>
                <w:spacing w:val="0"/>
                <w:sz w:val="24"/>
                <w:szCs w:val="24"/>
                <w:u w:val="none"/>
              </w:rPr>
            </w:pPr>
          </w:p>
        </w:tc>
      </w:tr>
      <w:tr w14:paraId="25FEE0C9">
        <w:trPr>
          <w:trHeight w:val="1601" w:hRule="atLeast"/>
        </w:trPr>
        <w:tc>
          <w:tcPr>
            <w:tcW w:w="3435" w:type="pct"/>
            <w:shd w:val="clear" w:color="auto" w:fill="auto"/>
            <w:vAlign w:val="center"/>
          </w:tcPr>
          <w:p w14:paraId="1F077E99">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666666"/>
                <w:spacing w:val="0"/>
                <w:kern w:val="2"/>
                <w:sz w:val="24"/>
                <w:szCs w:val="24"/>
                <w:u w:val="none"/>
                <w:lang w:val="en-US" w:eastAsia="zh-CN" w:bidi="ar-SA"/>
              </w:rPr>
            </w:pPr>
            <w:r>
              <w:rPr>
                <w:rFonts w:hint="eastAsia" w:ascii="宋体" w:hAnsi="宋体" w:eastAsia="宋体" w:cs="宋体"/>
                <w:i w:val="0"/>
                <w:iCs w:val="0"/>
                <w:caps w:val="0"/>
                <w:color w:val="666666"/>
                <w:spacing w:val="0"/>
                <w:kern w:val="0"/>
                <w:sz w:val="24"/>
                <w:szCs w:val="24"/>
                <w:u w:val="none"/>
                <w:lang w:val="en-US" w:eastAsia="zh-CN" w:bidi="ar"/>
              </w:rPr>
              <w:t xml:space="preserve">文章来源：青海省分行2024-06-28 </w:t>
            </w:r>
          </w:p>
        </w:tc>
        <w:tc>
          <w:tcPr>
            <w:tcW w:w="1564" w:type="pct"/>
            <w:shd w:val="clear"/>
            <w:vAlign w:val="center"/>
          </w:tcPr>
          <w:p w14:paraId="37651BED">
            <w:pPr>
              <w:keepNext w:val="0"/>
              <w:keepLines w:val="0"/>
              <w:widowControl/>
              <w:suppressLineNumbers w:val="0"/>
              <w:spacing w:before="0" w:beforeAutospacing="0" w:after="0" w:afterAutospacing="0"/>
              <w:ind w:left="0" w:leftChars="0" w:right="0" w:rightChars="0"/>
              <w:jc w:val="right"/>
              <w:rPr>
                <w:rFonts w:hint="eastAsia" w:ascii="宋体" w:hAnsi="宋体" w:eastAsia="宋体" w:cs="宋体"/>
                <w:i w:val="0"/>
                <w:iCs w:val="0"/>
                <w:caps w:val="0"/>
                <w:color w:val="666666"/>
                <w:spacing w:val="0"/>
                <w:kern w:val="2"/>
                <w:sz w:val="24"/>
                <w:szCs w:val="24"/>
                <w:u w:val="none"/>
                <w:lang w:val="en-US" w:eastAsia="zh-CN" w:bidi="ar-SA"/>
              </w:rPr>
            </w:pPr>
            <w:r>
              <w:rPr>
                <w:rFonts w:hint="eastAsia" w:ascii="宋体" w:hAnsi="宋体" w:eastAsia="宋体" w:cs="宋体"/>
                <w:i w:val="0"/>
                <w:iCs w:val="0"/>
                <w:caps w:val="0"/>
                <w:color w:val="666666"/>
                <w:spacing w:val="0"/>
                <w:kern w:val="0"/>
                <w:sz w:val="24"/>
                <w:szCs w:val="24"/>
                <w:u w:val="none"/>
                <w:lang w:val="en-US" w:eastAsia="zh-CN" w:bidi="ar"/>
              </w:rPr>
              <w:t>0:58</w:t>
            </w:r>
          </w:p>
        </w:tc>
      </w:tr>
    </w:tbl>
    <w:p w14:paraId="3EDE30C9">
      <w:pPr>
        <w:rPr>
          <w:vanish/>
          <w:sz w:val="24"/>
          <w:szCs w:val="24"/>
        </w:rPr>
      </w:pPr>
    </w:p>
    <w:p w14:paraId="27615CAC">
      <w:pPr>
        <w:rPr>
          <w:vanish/>
          <w:sz w:val="24"/>
          <w:szCs w:val="24"/>
        </w:rPr>
      </w:pPr>
    </w:p>
    <w:p w14:paraId="31ED39C8">
      <w:pPr>
        <w:rPr>
          <w:vanish/>
          <w:sz w:val="24"/>
          <w:szCs w:val="24"/>
        </w:rPr>
      </w:pPr>
    </w:p>
    <w:tbl>
      <w:tblPr>
        <w:tblW w:w="45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7475"/>
      </w:tblGrid>
      <w:tr w14:paraId="7560FC76">
        <w:tc>
          <w:tcPr>
            <w:tcW w:w="0" w:type="auto"/>
            <w:shd w:val="clear"/>
            <w:vAlign w:val="top"/>
          </w:tcPr>
          <w:p w14:paraId="703E8A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500" w:lineRule="atLeast"/>
              <w:ind w:left="0" w:righ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走进青海省玉树市浪漫花屋花卉种植有限公司的花卉种植大棚，三角梅、蝴蝶兰、四季海棠、红掌、长寿花、文竹等花卉争先绽放，花卉种类琳琅满目，数名工人正熟练地给花卉浇水、施肥。</w:t>
            </w:r>
          </w:p>
          <w:p w14:paraId="3CD4B47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500" w:lineRule="atLeast"/>
              <w:ind w:left="0" w:righ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“非常感谢建行玉树支行的‘高原巾帼贷’，及时满足了我的资金需求，现在公司花卉热销，月销售额达3万元。”玉树市浪漫花屋花卉种植有限公司负责人拉毛卓玛高兴地说。</w:t>
            </w:r>
          </w:p>
          <w:p w14:paraId="66EC946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500" w:lineRule="atLeast"/>
              <w:ind w:left="0" w:righ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拉毛卓玛从事花卉大棚种植已经有3个年头，但随着生产经营规模的扩大，资金流转方面遇到困难，关键时刻，她被邀请参加了玉树州“高原巾帼贷”推介会，在听取建行玉树支行的产品推介会后，她立即向建行玉树支行提交了“高原巾帼贷”的申请，不到半个月的时间，一笔100万元的“高原巾帼贷”就到账了，切实解决了她的资金问题。</w:t>
            </w:r>
          </w:p>
          <w:p w14:paraId="12786DD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500" w:lineRule="atLeast"/>
              <w:ind w:left="0" w:righ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就业是民生之本，创业是发展之基，为进一步加大对玉树州从事涉农生产经营的妇女创业就业支持力度，发挥好信贷资金源头活水作用，拓宽妇女创业致富之路，2023年以来，人民银行玉树州分行认真贯彻落实创业担保贷款、“巾帼创业”贷款等政策要求，多举措推动妇女创业就业。</w:t>
            </w:r>
          </w:p>
          <w:p w14:paraId="3CC43F5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500" w:lineRule="atLeast"/>
              <w:ind w:left="0" w:righ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人民银行玉树州分行以解决妇女创业融资难题为抓手，“线上+线下”双管齐下切实提高政策知晓度和普及面。一方面，联合玉树州银行业金融机构组成调研队，通过开展金融服务“助企暖企春风行动”专题调研、重点企业专项调研、政银企对接会等方式，全方位了解妇女等重点人群创业融资需求，组织银行业金融机构早对接、早放款。2023年以来，共开展实地调研活动8次，共走访对接各类企业25家，举办各类对接活动2次。另一方面，引导银行业金融机构广泛借助机构网点、手机银行APP、微信公众号、抖音、快手等媒介开展政策宣传解读，确保政策传递不留盲点和死角。2023年以来，全州银行业金融机构共开展政策宣讲类活动30余次，组织借助各种媒介宣传100余次。</w:t>
            </w:r>
          </w:p>
          <w:p w14:paraId="5150EFB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50" w:afterAutospacing="0" w:line="500" w:lineRule="atLeast"/>
              <w:ind w:left="0" w:right="0" w:firstLine="420"/>
              <w:jc w:val="both"/>
              <w:rPr>
                <w:rFonts w:hint="eastAsia" w:ascii="宋体" w:hAnsi="宋体" w:eastAsia="宋体" w:cs="宋体"/>
                <w:sz w:val="21"/>
                <w:szCs w:val="21"/>
              </w:rPr>
            </w:pPr>
            <w:r>
              <w:rPr>
                <w:rFonts w:hint="eastAsia" w:ascii="宋体" w:hAnsi="宋体" w:eastAsia="宋体" w:cs="宋体"/>
                <w:i w:val="0"/>
                <w:iCs w:val="0"/>
                <w:caps w:val="0"/>
                <w:color w:val="000000"/>
                <w:spacing w:val="0"/>
                <w:sz w:val="21"/>
                <w:szCs w:val="21"/>
                <w:u w:val="none"/>
                <w:bdr w:val="none" w:color="auto" w:sz="0" w:space="0"/>
              </w:rPr>
              <w:t>人民银行玉树州分行还鼓励引导全州银行业金融机构在完善工作机制、扩大政策宣传、简化贷款流程、畅通融资渠道、提供优惠利率、降低贷款门槛等方面狠下功夫，创新推出“青创贷”等重点人群信贷产品，进一步加大对妇女等重点人群就业和再就业的融资支持。截至2024年4月末，玉树州金融机构累计发放相关贷款3956万元，辐射带动周边妇女就业创业60余人。（来源：金融时报）</w:t>
            </w:r>
          </w:p>
        </w:tc>
      </w:tr>
    </w:tbl>
    <w:p w14:paraId="6148871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6922A"/>
    <w:rsid w:val="3FF69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2025-12-09T15:27:00Z</dcterms:created>
  <dc:creator>QuandlFinance武利鑫</dc:creator>
  <cp:lastModifiedBy>QuandlFinance武利鑫</cp:lastModifiedBy>
  <dcterms:modified xsi:type="dcterms:W3CDTF">2025-12-09T15:29:21Z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947A8EC86D18FDD963CF376960229BDF_41</vt:lpwstr>
  </property>
</Properties>
</file>