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8306"/>
      </w:tblGrid>
      <w:tr w14:paraId="5A2BE802">
        <w:trPr>
          <w:trHeight w:val="1601" w:hRule="atLeast"/>
        </w:trPr>
        <w:tc>
          <w:tcPr>
            <w:tcW w:w="0" w:type="auto"/>
            <w:shd w:val="clear"/>
            <w:vAlign w:val="center"/>
          </w:tcPr>
          <w:tbl>
            <w:tblPr>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8306"/>
            </w:tblGrid>
            <w:tr w14:paraId="22B9F891">
              <w:trPr>
                <w:trHeight w:val="1100" w:hRule="atLeast"/>
                <w:jc w:val="center"/>
              </w:trPr>
              <w:tc>
                <w:tcPr>
                  <w:tcW w:w="0" w:type="auto"/>
                  <w:shd w:val="clear"/>
                  <w:vAlign w:val="center"/>
                </w:tcPr>
                <w:p w14:paraId="4BF715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color w:val="333333"/>
                      <w:sz w:val="32"/>
                      <w:szCs w:val="32"/>
                    </w:rPr>
                  </w:pPr>
                  <w:r>
                    <w:rPr>
                      <w:rFonts w:hint="eastAsia" w:ascii="宋体" w:hAnsi="宋体" w:eastAsia="宋体" w:cs="宋体"/>
                      <w:color w:val="333333"/>
                      <w:sz w:val="32"/>
                      <w:szCs w:val="32"/>
                      <w:bdr w:val="none" w:color="auto" w:sz="0" w:space="0"/>
                    </w:rPr>
                    <w:t>青海玉树：</w:t>
                  </w:r>
                  <w:bookmarkStart w:id="0" w:name="_GoBack"/>
                  <w:bookmarkEnd w:id="0"/>
                  <w:r>
                    <w:rPr>
                      <w:rFonts w:hint="eastAsia" w:ascii="宋体" w:hAnsi="宋体" w:eastAsia="宋体" w:cs="宋体"/>
                      <w:color w:val="333333"/>
                      <w:sz w:val="32"/>
                      <w:szCs w:val="32"/>
                      <w:bdr w:val="none" w:color="auto" w:sz="0" w:space="0"/>
                    </w:rPr>
                    <w:t>惠农适老金融服务无盲区</w:t>
                  </w:r>
                </w:p>
              </w:tc>
            </w:tr>
          </w:tbl>
          <w:p w14:paraId="0F096F49">
            <w:pPr>
              <w:jc w:val="center"/>
              <w:rPr>
                <w:rFonts w:hint="eastAsia" w:ascii="宋体" w:hAnsi="宋体" w:eastAsia="宋体" w:cs="宋体"/>
                <w:i w:val="0"/>
                <w:iCs w:val="0"/>
                <w:caps w:val="0"/>
                <w:color w:val="666666"/>
                <w:spacing w:val="0"/>
                <w:sz w:val="24"/>
                <w:szCs w:val="24"/>
                <w:u w:val="none"/>
              </w:rPr>
            </w:pPr>
          </w:p>
        </w:tc>
      </w:tr>
    </w:tbl>
    <w:p w14:paraId="3636B200">
      <w:pPr>
        <w:rPr>
          <w:vanish/>
          <w:sz w:val="24"/>
          <w:szCs w:val="24"/>
        </w:rPr>
      </w:pPr>
    </w:p>
    <w:tbl>
      <w:tblPr>
        <w:tblW w:w="4500" w:type="pct"/>
        <w:tblInd w:w="0" w:type="dxa"/>
        <w:tblBorders>
          <w:top w:val="single" w:color="CCCCCC" w:sz="8" w:space="0"/>
          <w:left w:val="none" w:color="auto" w:sz="0" w:space="0"/>
          <w:bottom w:val="single" w:color="CCCCCC" w:sz="8"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0"/>
        <w:gridCol w:w="10"/>
        <w:gridCol w:w="3957"/>
        <w:gridCol w:w="3498"/>
      </w:tblGrid>
      <w:tr w14:paraId="20A016E4">
        <w:trPr>
          <w:trHeight w:val="520" w:hRule="atLeast"/>
        </w:trPr>
        <w:tc>
          <w:tcPr>
            <w:tcW w:w="0" w:type="auto"/>
            <w:shd w:val="clear"/>
            <w:vAlign w:val="center"/>
          </w:tcPr>
          <w:p w14:paraId="0BB20D5E">
            <w:pPr>
              <w:jc w:val="left"/>
              <w:rPr>
                <w:rFonts w:hint="eastAsia" w:ascii="宋体" w:hAnsi="宋体" w:eastAsia="宋体" w:cs="宋体"/>
                <w:i w:val="0"/>
                <w:iCs w:val="0"/>
                <w:caps w:val="0"/>
                <w:color w:val="666666"/>
                <w:spacing w:val="0"/>
                <w:sz w:val="24"/>
                <w:szCs w:val="24"/>
                <w:u w:val="none"/>
              </w:rPr>
            </w:pPr>
          </w:p>
        </w:tc>
        <w:tc>
          <w:tcPr>
            <w:tcW w:w="0" w:type="auto"/>
            <w:shd w:val="clear"/>
            <w:vAlign w:val="center"/>
          </w:tcPr>
          <w:p w14:paraId="2BB823CA">
            <w:pPr>
              <w:keepNext w:val="0"/>
              <w:keepLines w:val="0"/>
              <w:widowControl/>
              <w:suppressLineNumbers w:val="0"/>
              <w:spacing w:before="0" w:beforeAutospacing="0" w:after="0" w:afterAutospacing="0"/>
              <w:ind w:left="0" w:right="0"/>
              <w:jc w:val="left"/>
              <w:rPr>
                <w:rFonts w:hint="eastAsia" w:ascii="宋体" w:hAnsi="宋体" w:eastAsia="宋体" w:cs="宋体"/>
                <w:i w:val="0"/>
                <w:iCs w:val="0"/>
                <w:caps w:val="0"/>
                <w:color w:val="666666"/>
                <w:spacing w:val="0"/>
                <w:sz w:val="24"/>
                <w:szCs w:val="24"/>
                <w:u w:val="none"/>
              </w:rPr>
            </w:pPr>
          </w:p>
        </w:tc>
        <w:tc>
          <w:tcPr>
            <w:tcW w:w="0" w:type="auto"/>
            <w:shd w:val="clear"/>
            <w:vAlign w:val="center"/>
          </w:tcPr>
          <w:p w14:paraId="5CDA74ED">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666666"/>
                <w:spacing w:val="0"/>
                <w:sz w:val="24"/>
                <w:szCs w:val="24"/>
                <w:u w:val="none"/>
              </w:rPr>
            </w:pPr>
            <w:r>
              <w:rPr>
                <w:rFonts w:hint="eastAsia" w:ascii="宋体" w:hAnsi="宋体" w:eastAsia="宋体" w:cs="宋体"/>
                <w:i w:val="0"/>
                <w:iCs w:val="0"/>
                <w:caps w:val="0"/>
                <w:color w:val="666666"/>
                <w:spacing w:val="0"/>
                <w:kern w:val="0"/>
                <w:sz w:val="24"/>
                <w:szCs w:val="24"/>
                <w:u w:val="none"/>
                <w:bdr w:val="none" w:color="auto" w:sz="0" w:space="0"/>
                <w:lang w:val="en-US" w:eastAsia="zh-CN" w:bidi="ar"/>
              </w:rPr>
              <w:t>文章来源：青海省分行</w:t>
            </w:r>
          </w:p>
        </w:tc>
        <w:tc>
          <w:tcPr>
            <w:tcW w:w="0" w:type="auto"/>
            <w:shd w:val="clear"/>
            <w:vAlign w:val="center"/>
          </w:tcPr>
          <w:p w14:paraId="77F547E5">
            <w:pPr>
              <w:keepNext w:val="0"/>
              <w:keepLines w:val="0"/>
              <w:widowControl/>
              <w:suppressLineNumbers w:val="0"/>
              <w:spacing w:before="0" w:beforeAutospacing="0" w:after="0" w:afterAutospacing="0"/>
              <w:ind w:left="0" w:right="0"/>
              <w:jc w:val="right"/>
              <w:rPr>
                <w:rFonts w:hint="eastAsia" w:ascii="宋体" w:hAnsi="宋体" w:eastAsia="宋体" w:cs="宋体"/>
                <w:i w:val="0"/>
                <w:iCs w:val="0"/>
                <w:caps w:val="0"/>
                <w:color w:val="666666"/>
                <w:spacing w:val="0"/>
                <w:sz w:val="24"/>
                <w:szCs w:val="24"/>
                <w:u w:val="none"/>
              </w:rPr>
            </w:pPr>
            <w:r>
              <w:rPr>
                <w:rFonts w:hint="eastAsia" w:ascii="宋体" w:hAnsi="宋体" w:eastAsia="宋体" w:cs="宋体"/>
                <w:i w:val="0"/>
                <w:iCs w:val="0"/>
                <w:caps w:val="0"/>
                <w:color w:val="666666"/>
                <w:spacing w:val="0"/>
                <w:kern w:val="0"/>
                <w:sz w:val="24"/>
                <w:szCs w:val="24"/>
                <w:u w:val="none"/>
                <w:bdr w:val="none" w:color="auto" w:sz="0" w:space="0"/>
                <w:lang w:val="en-US" w:eastAsia="zh-CN" w:bidi="ar"/>
              </w:rPr>
              <w:t>2024-05-17 10:22:56</w:t>
            </w:r>
          </w:p>
        </w:tc>
      </w:tr>
    </w:tbl>
    <w:p w14:paraId="0DE1BDE3">
      <w:pPr>
        <w:rPr>
          <w:vanish/>
          <w:sz w:val="24"/>
          <w:szCs w:val="24"/>
        </w:rPr>
      </w:pPr>
    </w:p>
    <w:p w14:paraId="69D24874">
      <w:pPr>
        <w:rPr>
          <w:vanish/>
          <w:sz w:val="24"/>
          <w:szCs w:val="24"/>
        </w:rPr>
      </w:pPr>
    </w:p>
    <w:tbl>
      <w:tblPr>
        <w:tblW w:w="45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7475"/>
      </w:tblGrid>
      <w:tr w14:paraId="6EDED465">
        <w:tc>
          <w:tcPr>
            <w:tcW w:w="0" w:type="auto"/>
            <w:shd w:val="clear"/>
            <w:vAlign w:val="top"/>
          </w:tcPr>
          <w:p w14:paraId="15379701">
            <w:pPr>
              <w:pStyle w:val="3"/>
              <w:keepNext w:val="0"/>
              <w:keepLines w:val="0"/>
              <w:widowControl/>
              <w:suppressLineNumbers w:val="0"/>
              <w:spacing w:line="500" w:lineRule="atLeast"/>
              <w:ind w:left="0" w:firstLine="420"/>
              <w:jc w:val="both"/>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u w:val="none"/>
                <w:bdr w:val="none" w:color="auto" w:sz="0" w:space="0"/>
              </w:rPr>
              <w:t>“孩子在外念书，需要学费和生活费，我们家距离县上的银行80多公里，去县上的车又少，我年纪大了骑摩托车跑那么远实在不方便，自从村里设立了惠农金融服务点，能够取钱、转账，真是太方便了。”家住青海省玉树州杂多县昂赛乡年都村的弋西大爷说道。</w:t>
            </w:r>
          </w:p>
          <w:p w14:paraId="36D81299">
            <w:pPr>
              <w:pStyle w:val="3"/>
              <w:keepNext w:val="0"/>
              <w:keepLines w:val="0"/>
              <w:widowControl/>
              <w:suppressLineNumbers w:val="0"/>
              <w:spacing w:line="500" w:lineRule="atLeast"/>
              <w:ind w:left="0" w:firstLine="420"/>
              <w:jc w:val="both"/>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u w:val="none"/>
                <w:bdr w:val="none" w:color="auto" w:sz="0" w:space="0"/>
              </w:rPr>
              <w:t>年都村距离杂多县城80余公里，距玉树州州府所在地200公里，平均海拔4000米以上，共有村民2982人，年轻人都外出念书工作，村里居住的大部分是老年人，过去日常取款转账都需要去杂多县城。为解决年都村金融服务盲区问题，2020年，人民银行玉树州分行指导辖内金融机构在杂多县昂赛乡年都村海螺百货商店设立了惠农金融服务点，有效解决了当地居民日常取款难、转账难的问题。这样的惠农金融服务点在杂多县共有46个，在玉树州共有345个，已经实现了玉树州所有乡镇和行政村全覆盖。</w:t>
            </w:r>
          </w:p>
          <w:p w14:paraId="13FE8C14">
            <w:pPr>
              <w:pStyle w:val="3"/>
              <w:keepNext w:val="0"/>
              <w:keepLines w:val="0"/>
              <w:widowControl/>
              <w:suppressLineNumbers w:val="0"/>
              <w:spacing w:line="500" w:lineRule="atLeast"/>
              <w:ind w:left="0" w:firstLine="420"/>
              <w:jc w:val="both"/>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u w:val="none"/>
                <w:bdr w:val="none" w:color="auto" w:sz="0" w:space="0"/>
              </w:rPr>
              <w:t>为积极践行“金融为民”理念，优化支付服务环境，提升服务效能，弘扬尊老爱老的传统美德，人民银行玉树州分行聚焦优化网点建设、提升软硬件实力、加强宣传推广、提升居民金融综合素养等四个方面，积极引导辖内金融机构克服高原地区基础设施条件不足、服务对象分散、服务成本高的困难，以实际行动持续优化支付适老服务，让金融服务覆盖三江源头。</w:t>
            </w:r>
          </w:p>
          <w:p w14:paraId="06AD5352">
            <w:pPr>
              <w:pStyle w:val="3"/>
              <w:keepNext w:val="0"/>
              <w:keepLines w:val="0"/>
              <w:widowControl/>
              <w:suppressLineNumbers w:val="0"/>
              <w:spacing w:line="500" w:lineRule="atLeast"/>
              <w:ind w:left="0" w:firstLine="420"/>
              <w:jc w:val="both"/>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u w:val="none"/>
                <w:bdr w:val="none" w:color="auto" w:sz="0" w:space="0"/>
              </w:rPr>
              <w:t>人民银行玉树州分行指导辖内银行机构以建立“敬老驿站”、开设老年人绿色通道、支付服务便捷窗口为切入点，设置爱心窗口、爱心座椅、配备老花镜、医药箱、轮椅等便民设施，不断推进营业网点软硬件设施适老化改造，为老年人营造温馨服务环境。各银行机构通过配备藏语业务引导员、弹性设置大堂经理等方式，为老年人提供一对一全程服务，辅助老年客户完成业务办理，有效缩短老年人业务办理等待时间。截至目前，玉树州各银行网点均已开通老年人支付服务绿色通道，设立咨询台、助老服务窗口等52个，配备服务专员36名。</w:t>
            </w:r>
          </w:p>
          <w:p w14:paraId="10F67263">
            <w:pPr>
              <w:pStyle w:val="3"/>
              <w:keepNext w:val="0"/>
              <w:keepLines w:val="0"/>
              <w:widowControl/>
              <w:suppressLineNumbers w:val="0"/>
              <w:spacing w:line="500" w:lineRule="atLeast"/>
              <w:ind w:left="0" w:firstLine="420"/>
              <w:jc w:val="both"/>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u w:val="none"/>
                <w:bdr w:val="none" w:color="auto" w:sz="0" w:space="0"/>
              </w:rPr>
              <w:t>该行指导辖内银行机构全面简化基础业务流程，在合规前提下，实施多元化、多渠道业务办理机制，如上门为行动不便的老年人提供完善社保卡信息和照片采集、卡片激活、密码重置、补办卡片等一对一支付服务，将“柜台”搬到老人身边，做好柜台延伸工作，让老人足不出户即可享受便捷的金融服务。开设老年人人工电话服务专用通道，5家银行机构均推广手机银行APP“大字版”，上线手机银行“简洁版”，新增语音搜索、语音转账功能，从界面、操作等方面完善相关产品与服务的应用功能和使用流程，为老年人提供特殊关爱。依托惠农金融服务点，不断优化提升惠农服务点业务受理范围和办理效率，让老年人在家门口就可以享受到基本的金融服务和了解相关金融知识。此外，各银行机构制定切合地方实际的服务标准，并加强员工日常培训教育，通过优化服务流程，为金融服务“提速度”，为优化客户体验“强基础”。截至目前，玉树州各银行机构累计完成咨询协助及上门服务665余次。</w:t>
            </w:r>
          </w:p>
          <w:p w14:paraId="14AAACDB">
            <w:pPr>
              <w:pStyle w:val="3"/>
              <w:keepNext w:val="0"/>
              <w:keepLines w:val="0"/>
              <w:widowControl/>
              <w:suppressLineNumbers w:val="0"/>
              <w:spacing w:line="500" w:lineRule="atLeast"/>
              <w:ind w:left="0" w:firstLine="420"/>
              <w:jc w:val="both"/>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u w:val="none"/>
                <w:bdr w:val="none" w:color="auto" w:sz="0" w:space="0"/>
              </w:rPr>
              <w:t>人民银行玉树州分行结合玉树藏族自治州地广人稀的特点，针对偏远农牧村金融基础设施薄弱情况，充分利用流动金融服务车，深入农牧区开展流动金融服务，切实打通金融服务“最后一公里”，实现偏远地区农牧民办理基础金融业务“零跑腿”。同时，针对老年人对手机银行APP“想用不会用”“想用不敢用”等痛点和需求，组织辖内金融机构成立藏汉双语金融服务志愿者公益团队，印发《提升老年人支付服务便利化程度志愿服务活动实施方案》，在玉树州团委的支持下，建立“老年人支付服务志愿活动群”，志愿者通过“进养老院”“进社区”“进牧委会”等方式，“面对面”“手把手”讲解银行自助终端、手机银行、网上银行操作方式，普及线上支付安全使用要点，提高老年人识骗防骗能力，提升牧区老年人数字素养。截至目前，玉树州各银行机构累计开展流动金融服务28次，覆盖900余人次，办理业务425笔。（来源：金融时报）</w:t>
            </w:r>
          </w:p>
        </w:tc>
      </w:tr>
    </w:tbl>
    <w:p w14:paraId="3B9A37C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EFEE9C"/>
    <w:rsid w:val="7FEFEE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2025-12-09T15:26:00Z</dcterms:created>
  <dc:creator>QuandlFinance武利鑫</dc:creator>
  <cp:lastModifiedBy>QuandlFinance武利鑫</cp:lastModifiedBy>
  <dcterms:modified xsi:type="dcterms:W3CDTF">2025-12-09T15:27:25Z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043C292274FDB73616CF3769E354DE11_41</vt:lpwstr>
  </property>
</Properties>
</file>