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0" w:type="dxa"/>
          <w:bottom w:w="0" w:type="dxa"/>
          <w:right w:w="0" w:type="dxa"/>
        </w:tblCellMar>
      </w:tblPr>
      <w:tblGrid>
        <w:gridCol w:w="8306"/>
      </w:tblGrid>
      <w:tr w14:paraId="7F01942B">
        <w:trPr>
          <w:trHeight w:val="1601" w:hRule="atLeast"/>
        </w:trPr>
        <w:tc>
          <w:tcPr>
            <w:tcW w:w="0" w:type="auto"/>
            <w:shd w:val="clear"/>
            <w:vAlign w:val="center"/>
          </w:tcPr>
          <w:tbl>
            <w:tblPr>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0" w:type="dxa"/>
                <w:bottom w:w="0" w:type="dxa"/>
                <w:right w:w="0" w:type="dxa"/>
              </w:tblCellMar>
            </w:tblPr>
            <w:tblGrid>
              <w:gridCol w:w="8306"/>
            </w:tblGrid>
            <w:tr w14:paraId="3D2D76DA">
              <w:trPr>
                <w:trHeight w:val="1100" w:hRule="atLeast"/>
                <w:jc w:val="center"/>
              </w:trPr>
              <w:tc>
                <w:tcPr>
                  <w:tcW w:w="0" w:type="auto"/>
                  <w:shd w:val="clear"/>
                  <w:vAlign w:val="center"/>
                </w:tcPr>
                <w:p w14:paraId="005A6D8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color w:val="333333"/>
                      <w:sz w:val="32"/>
                      <w:szCs w:val="32"/>
                    </w:rPr>
                  </w:pPr>
                  <w:r>
                    <w:rPr>
                      <w:rFonts w:hint="eastAsia" w:ascii="宋体" w:hAnsi="宋体" w:eastAsia="宋体" w:cs="宋体"/>
                      <w:color w:val="333333"/>
                      <w:sz w:val="32"/>
                      <w:szCs w:val="32"/>
                      <w:bdr w:val="none" w:color="auto" w:sz="0" w:space="0"/>
                    </w:rPr>
                    <w:t>青海玉树：生物多样性金融倾力</w:t>
                  </w:r>
                  <w:bookmarkStart w:id="0" w:name="_GoBack"/>
                  <w:bookmarkEnd w:id="0"/>
                  <w:r>
                    <w:rPr>
                      <w:rFonts w:hint="eastAsia" w:ascii="宋体" w:hAnsi="宋体" w:eastAsia="宋体" w:cs="宋体"/>
                      <w:color w:val="333333"/>
                      <w:sz w:val="32"/>
                      <w:szCs w:val="32"/>
                      <w:bdr w:val="none" w:color="auto" w:sz="0" w:space="0"/>
                    </w:rPr>
                    <w:t>守护“世界野血牦牛故乡”</w:t>
                  </w:r>
                </w:p>
              </w:tc>
            </w:tr>
          </w:tbl>
          <w:p w14:paraId="03246FFB">
            <w:pPr>
              <w:jc w:val="center"/>
              <w:rPr>
                <w:rFonts w:hint="eastAsia" w:ascii="宋体" w:hAnsi="宋体" w:eastAsia="宋体" w:cs="宋体"/>
                <w:color w:val="666666"/>
                <w:sz w:val="24"/>
                <w:szCs w:val="24"/>
              </w:rPr>
            </w:pPr>
          </w:p>
        </w:tc>
      </w:tr>
    </w:tbl>
    <w:p w14:paraId="2EAF2408">
      <w:pPr>
        <w:rPr>
          <w:vanish/>
          <w:sz w:val="24"/>
          <w:szCs w:val="24"/>
        </w:rPr>
      </w:pPr>
    </w:p>
    <w:tbl>
      <w:tblPr>
        <w:tblW w:w="4500" w:type="pct"/>
        <w:tblInd w:w="0" w:type="dxa"/>
        <w:tblBorders>
          <w:top w:val="single" w:color="CCCCCC" w:sz="8" w:space="0"/>
          <w:left w:val="none" w:color="auto" w:sz="0" w:space="0"/>
          <w:bottom w:val="single" w:color="CCCCCC" w:sz="8" w:space="0"/>
          <w:right w:val="none" w:color="auto" w:sz="0" w:space="0"/>
          <w:insideH w:val="none" w:color="auto" w:sz="0" w:space="0"/>
          <w:insideV w:val="none" w:color="auto" w:sz="0" w:space="0"/>
        </w:tblBorders>
        <w:shd w:val="clear"/>
        <w:tblLayout w:type="autofit"/>
        <w:tblCellMar>
          <w:top w:w="0" w:type="dxa"/>
          <w:left w:w="0" w:type="dxa"/>
          <w:bottom w:w="0" w:type="dxa"/>
          <w:right w:w="0" w:type="dxa"/>
        </w:tblCellMar>
      </w:tblPr>
      <w:tblGrid>
        <w:gridCol w:w="10"/>
        <w:gridCol w:w="10"/>
        <w:gridCol w:w="3957"/>
        <w:gridCol w:w="3498"/>
      </w:tblGrid>
      <w:tr w14:paraId="6BF4630C">
        <w:trPr>
          <w:trHeight w:val="520" w:hRule="atLeast"/>
        </w:trPr>
        <w:tc>
          <w:tcPr>
            <w:tcW w:w="0" w:type="auto"/>
            <w:shd w:val="clear"/>
            <w:vAlign w:val="center"/>
          </w:tcPr>
          <w:p w14:paraId="0A9406CF">
            <w:pPr>
              <w:jc w:val="left"/>
              <w:rPr>
                <w:rFonts w:hint="eastAsia" w:ascii="宋体" w:hAnsi="宋体" w:eastAsia="宋体" w:cs="宋体"/>
                <w:color w:val="666666"/>
                <w:sz w:val="24"/>
                <w:szCs w:val="24"/>
              </w:rPr>
            </w:pPr>
          </w:p>
        </w:tc>
        <w:tc>
          <w:tcPr>
            <w:tcW w:w="0" w:type="auto"/>
            <w:shd w:val="clear"/>
            <w:vAlign w:val="center"/>
          </w:tcPr>
          <w:p w14:paraId="1563B3E7">
            <w:pPr>
              <w:keepNext w:val="0"/>
              <w:keepLines w:val="0"/>
              <w:widowControl/>
              <w:suppressLineNumbers w:val="0"/>
              <w:spacing w:before="0" w:beforeAutospacing="0" w:after="0" w:afterAutospacing="0"/>
              <w:ind w:left="0" w:right="0"/>
              <w:jc w:val="left"/>
              <w:rPr>
                <w:rFonts w:hint="eastAsia" w:ascii="宋体" w:hAnsi="宋体" w:eastAsia="宋体" w:cs="宋体"/>
                <w:color w:val="666666"/>
                <w:sz w:val="24"/>
                <w:szCs w:val="24"/>
              </w:rPr>
            </w:pPr>
          </w:p>
        </w:tc>
        <w:tc>
          <w:tcPr>
            <w:tcW w:w="0" w:type="auto"/>
            <w:shd w:val="clear"/>
            <w:vAlign w:val="center"/>
          </w:tcPr>
          <w:p w14:paraId="78EE756E">
            <w:pPr>
              <w:keepNext w:val="0"/>
              <w:keepLines w:val="0"/>
              <w:widowControl/>
              <w:suppressLineNumbers w:val="0"/>
              <w:spacing w:before="0" w:beforeAutospacing="0" w:after="0" w:afterAutospacing="0"/>
              <w:ind w:left="0" w:right="0"/>
              <w:jc w:val="center"/>
              <w:rPr>
                <w:rFonts w:hint="eastAsia" w:ascii="宋体" w:hAnsi="宋体" w:eastAsia="宋体" w:cs="宋体"/>
                <w:color w:val="666666"/>
                <w:sz w:val="24"/>
                <w:szCs w:val="24"/>
              </w:rPr>
            </w:pPr>
            <w:r>
              <w:rPr>
                <w:rFonts w:hint="eastAsia" w:ascii="宋体" w:hAnsi="宋体" w:eastAsia="宋体" w:cs="宋体"/>
                <w:color w:val="666666"/>
                <w:kern w:val="0"/>
                <w:sz w:val="24"/>
                <w:szCs w:val="24"/>
                <w:bdr w:val="none" w:color="auto" w:sz="0" w:space="0"/>
                <w:lang w:val="en-US" w:eastAsia="zh-CN" w:bidi="ar"/>
              </w:rPr>
              <w:t>文章来源：青海省分行</w:t>
            </w:r>
          </w:p>
        </w:tc>
        <w:tc>
          <w:tcPr>
            <w:tcW w:w="0" w:type="auto"/>
            <w:shd w:val="clear"/>
            <w:vAlign w:val="center"/>
          </w:tcPr>
          <w:p w14:paraId="1CECC800">
            <w:pPr>
              <w:keepNext w:val="0"/>
              <w:keepLines w:val="0"/>
              <w:widowControl/>
              <w:suppressLineNumbers w:val="0"/>
              <w:spacing w:before="0" w:beforeAutospacing="0" w:after="0" w:afterAutospacing="0"/>
              <w:ind w:left="0" w:right="0"/>
              <w:jc w:val="right"/>
              <w:rPr>
                <w:rFonts w:hint="eastAsia" w:ascii="宋体" w:hAnsi="宋体" w:eastAsia="宋体" w:cs="宋体"/>
                <w:color w:val="666666"/>
                <w:sz w:val="24"/>
                <w:szCs w:val="24"/>
              </w:rPr>
            </w:pPr>
            <w:r>
              <w:rPr>
                <w:rFonts w:hint="eastAsia" w:ascii="宋体" w:hAnsi="宋体" w:eastAsia="宋体" w:cs="宋体"/>
                <w:color w:val="666666"/>
                <w:kern w:val="0"/>
                <w:sz w:val="24"/>
                <w:szCs w:val="24"/>
                <w:bdr w:val="none" w:color="auto" w:sz="0" w:space="0"/>
                <w:lang w:val="en-US" w:eastAsia="zh-CN" w:bidi="ar"/>
              </w:rPr>
              <w:t>2025-12-05 10:03:22</w:t>
            </w:r>
          </w:p>
        </w:tc>
      </w:tr>
    </w:tbl>
    <w:p w14:paraId="451CB606">
      <w:pPr>
        <w:rPr>
          <w:vanish/>
          <w:sz w:val="24"/>
          <w:szCs w:val="24"/>
        </w:rPr>
      </w:pPr>
    </w:p>
    <w:tbl>
      <w:tblPr>
        <w:tblW w:w="45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0" w:type="dxa"/>
          <w:bottom w:w="0" w:type="dxa"/>
          <w:right w:w="0" w:type="dxa"/>
        </w:tblCellMar>
      </w:tblPr>
      <w:tblGrid>
        <w:gridCol w:w="3737"/>
        <w:gridCol w:w="3738"/>
      </w:tblGrid>
      <w:tr w14:paraId="5432F93A">
        <w:trPr>
          <w:trHeight w:val="800" w:hRule="atLeast"/>
        </w:trPr>
        <w:tc>
          <w:tcPr>
            <w:tcW w:w="0" w:type="auto"/>
            <w:shd w:val="clear"/>
            <w:vAlign w:val="center"/>
          </w:tcPr>
          <w:p w14:paraId="35A0336D">
            <w:pPr>
              <w:jc w:val="left"/>
              <w:rPr>
                <w:rFonts w:hint="eastAsia" w:ascii="宋体" w:hAnsi="宋体" w:eastAsia="宋体" w:cs="宋体"/>
                <w:color w:val="666666"/>
                <w:sz w:val="24"/>
                <w:szCs w:val="24"/>
              </w:rPr>
            </w:pPr>
          </w:p>
        </w:tc>
        <w:tc>
          <w:tcPr>
            <w:tcW w:w="0" w:type="auto"/>
            <w:shd w:val="clear"/>
            <w:vAlign w:val="center"/>
          </w:tcPr>
          <w:p w14:paraId="667875BE">
            <w:pPr>
              <w:keepNext w:val="0"/>
              <w:keepLines w:val="0"/>
              <w:widowControl/>
              <w:suppressLineNumbers w:val="0"/>
              <w:spacing w:before="0" w:beforeAutospacing="0" w:after="0" w:afterAutospacing="0"/>
              <w:ind w:left="0" w:right="0"/>
              <w:jc w:val="right"/>
              <w:rPr>
                <w:rFonts w:hint="eastAsia" w:ascii="宋体" w:hAnsi="宋体" w:eastAsia="宋体" w:cs="宋体"/>
                <w:color w:val="666666"/>
                <w:sz w:val="24"/>
                <w:szCs w:val="24"/>
              </w:rPr>
            </w:pPr>
          </w:p>
        </w:tc>
      </w:tr>
    </w:tbl>
    <w:p w14:paraId="70C5EACE">
      <w:pPr>
        <w:rPr>
          <w:vanish/>
          <w:sz w:val="24"/>
          <w:szCs w:val="24"/>
        </w:rPr>
      </w:pPr>
    </w:p>
    <w:tbl>
      <w:tblPr>
        <w:tblW w:w="45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0" w:type="dxa"/>
          <w:bottom w:w="0" w:type="dxa"/>
          <w:right w:w="0" w:type="dxa"/>
        </w:tblCellMar>
      </w:tblPr>
      <w:tblGrid>
        <w:gridCol w:w="3737"/>
        <w:gridCol w:w="3738"/>
      </w:tblGrid>
      <w:tr w14:paraId="40780206">
        <w:tc>
          <w:tcPr>
            <w:tcW w:w="0" w:type="auto"/>
            <w:gridSpan w:val="2"/>
            <w:shd w:val="clear"/>
            <w:vAlign w:val="top"/>
          </w:tcPr>
          <w:p w14:paraId="00215DB4">
            <w:pPr>
              <w:pStyle w:val="3"/>
              <w:keepNext w:val="0"/>
              <w:keepLines w:val="0"/>
              <w:widowControl/>
              <w:suppressLineNumbers w:val="0"/>
              <w:spacing w:line="500" w:lineRule="atLeast"/>
              <w:ind w:left="0" w:firstLine="420"/>
              <w:jc w:val="both"/>
              <w:rPr>
                <w:rFonts w:hint="eastAsia" w:ascii="宋体" w:hAnsi="宋体" w:eastAsia="宋体" w:cs="宋体"/>
                <w:sz w:val="21"/>
                <w:szCs w:val="21"/>
              </w:rPr>
            </w:pPr>
            <w:r>
              <w:rPr>
                <w:rFonts w:hint="eastAsia" w:ascii="宋体" w:hAnsi="宋体" w:eastAsia="宋体" w:cs="宋体"/>
                <w:i w:val="0"/>
                <w:iCs w:val="0"/>
                <w:caps w:val="0"/>
                <w:color w:val="000000"/>
                <w:spacing w:val="0"/>
                <w:sz w:val="21"/>
                <w:szCs w:val="21"/>
                <w:u w:val="none"/>
                <w:bdr w:val="none" w:color="auto" w:sz="0" w:space="0"/>
              </w:rPr>
              <w:t>　　青海省玉树藏族自治州是青藏高原生态安全屏障核心区域，也是高原特有物种生存繁衍的关键栖息地。高原野血牦牛作为该区域“旗舰物种”，种群健康与遗传多样性直接关系高寒草地生态系统结构稳定与功能完善。玉树州曲麻莱县地处黄河源头，素有“世界野血牦牛故乡”之称，是全球重要野生牦牛种源核心区。自2025年7月中国人民银行生物多样性金融标准试用工作启动以来，在中国人民银行青海省分行指导下，中国人民银行玉树州分行聚焦野血牦牛这一关键物种资源，从遗传资源保护、生态养殖模式优化两大维度发力，构建“金融支持-物种保护-生态修复”闭环体系，引导金融机构加大信贷投放，助力打造世界牦牛种源基地。</w:t>
            </w:r>
          </w:p>
          <w:p w14:paraId="6DAAFF04">
            <w:pPr>
              <w:pStyle w:val="3"/>
              <w:keepNext w:val="0"/>
              <w:keepLines w:val="0"/>
              <w:widowControl/>
              <w:suppressLineNumbers w:val="0"/>
              <w:spacing w:line="500" w:lineRule="atLeast"/>
              <w:ind w:left="0" w:firstLine="420"/>
              <w:jc w:val="both"/>
              <w:rPr>
                <w:rFonts w:hint="eastAsia" w:ascii="宋体" w:hAnsi="宋体" w:eastAsia="宋体" w:cs="宋体"/>
                <w:sz w:val="21"/>
                <w:szCs w:val="21"/>
              </w:rPr>
            </w:pPr>
            <w:r>
              <w:rPr>
                <w:rFonts w:hint="eastAsia" w:ascii="宋体" w:hAnsi="宋体" w:eastAsia="宋体" w:cs="宋体"/>
                <w:i w:val="0"/>
                <w:iCs w:val="0"/>
                <w:caps w:val="0"/>
                <w:color w:val="000000"/>
                <w:spacing w:val="0"/>
                <w:sz w:val="21"/>
                <w:szCs w:val="21"/>
                <w:u w:val="none"/>
                <w:bdr w:val="none" w:color="auto" w:sz="0" w:space="0"/>
              </w:rPr>
              <w:t>　　近期，农行玉树分行向曲麻莱县托俄俄加畜牧养殖专业合作社成功发放生物多样性贷款200万元，用于采购优质野血牦牛种群，经认定符合《生物多样性金融目录（试用稿）》中“1.4.4畜牧业良种培育与推广”相关标准。该合作社是曲麻莱县野血牦牛遗传资源保护与产业发展的重要载体，为满足其扩大优质种群规模、提升生态养殖水平的资金需求，农行玉树分行创新推出“活体牦牛抵押+养殖收益权质押”组合担保模式，以合作社存栏纯种野血牦牛为核心抵押物，有效盘活生物资产金融价值。贷款利率与生物多样性保护成效挂钩，合作社若达成“草畜平衡目标”“纯种牦牛存栏量目标”等生态指标，即可申请农牧部门贷款贴息，以此激励其持续投入物种保护。农行玉树分行还建立生物多样性保护项目“三优先”（优先受理、优先调查、优先审批）绿色通道，将审批时限压缩30%以上，保障良种繁育等时效性工作高效推进。</w:t>
            </w:r>
          </w:p>
          <w:p w14:paraId="57F67552">
            <w:pPr>
              <w:pStyle w:val="3"/>
              <w:keepNext w:val="0"/>
              <w:keepLines w:val="0"/>
              <w:widowControl/>
              <w:suppressLineNumbers w:val="0"/>
              <w:spacing w:line="500" w:lineRule="atLeast"/>
              <w:ind w:left="0" w:firstLine="420"/>
              <w:jc w:val="both"/>
              <w:rPr>
                <w:rFonts w:hint="eastAsia" w:ascii="宋体" w:hAnsi="宋体" w:eastAsia="宋体" w:cs="宋体"/>
                <w:sz w:val="21"/>
                <w:szCs w:val="21"/>
              </w:rPr>
            </w:pPr>
            <w:r>
              <w:rPr>
                <w:rFonts w:hint="eastAsia" w:ascii="宋体" w:hAnsi="宋体" w:eastAsia="宋体" w:cs="宋体"/>
                <w:i w:val="0"/>
                <w:iCs w:val="0"/>
                <w:caps w:val="0"/>
                <w:color w:val="000000"/>
                <w:spacing w:val="0"/>
                <w:sz w:val="21"/>
                <w:szCs w:val="21"/>
                <w:u w:val="none"/>
                <w:bdr w:val="none" w:color="auto" w:sz="0" w:space="0"/>
              </w:rPr>
              <w:t>　　贷款的成功落地，将助力合作社扩大纯种野血牦牛繁育规模，建立标准化基因库，遏制基因污染，保障物种遗传多样性。随着当地草原生态逐步修复，藏原羚、旱獭等伴生物种数量也稳步增长，形成“牦牛保护-草原修复-伴生物种增多”良性循环。贷款还支持合作社延伸“生态养殖+精深加工”产业链，以产业收益反哺保护投入，形成“保护有资金、产业有生态、物种有保障”发展闭环，为高原地区生物多样性保护提供了可复制、可推广的范例。</w:t>
            </w:r>
          </w:p>
        </w:tc>
      </w:tr>
      <w:tr w14:paraId="304A0F03">
        <w:trPr>
          <w:trHeight w:val="400" w:hRule="atLeast"/>
        </w:trPr>
        <w:tc>
          <w:tcPr>
            <w:tcW w:w="0" w:type="auto"/>
            <w:shd w:val="clear"/>
            <w:tcMar>
              <w:top w:w="400" w:type="dxa"/>
            </w:tcMar>
            <w:vAlign w:val="top"/>
          </w:tcPr>
          <w:p w14:paraId="64D8ED51">
            <w:pPr>
              <w:jc w:val="left"/>
              <w:rPr>
                <w:rFonts w:hint="eastAsia" w:ascii="宋体" w:hAnsi="宋体" w:eastAsia="宋体" w:cs="宋体"/>
                <w:i w:val="0"/>
                <w:iCs w:val="0"/>
                <w:caps w:val="0"/>
                <w:color w:val="666666"/>
                <w:spacing w:val="0"/>
                <w:sz w:val="24"/>
                <w:szCs w:val="24"/>
                <w:u w:val="none"/>
              </w:rPr>
            </w:pPr>
          </w:p>
        </w:tc>
        <w:tc>
          <w:tcPr>
            <w:tcW w:w="0" w:type="auto"/>
            <w:shd w:val="clear"/>
            <w:vAlign w:val="center"/>
          </w:tcPr>
          <w:p w14:paraId="64716787">
            <w:pPr>
              <w:keepNext w:val="0"/>
              <w:keepLines w:val="0"/>
              <w:widowControl/>
              <w:suppressLineNumbers w:val="0"/>
              <w:spacing w:before="0" w:beforeAutospacing="0" w:after="0" w:afterAutospacing="0"/>
              <w:ind w:left="0" w:right="0" w:firstLine="0"/>
              <w:jc w:val="left"/>
              <w:rPr>
                <w:rFonts w:hint="eastAsia" w:ascii="宋体" w:hAnsi="宋体" w:eastAsia="宋体" w:cs="宋体"/>
                <w:i w:val="0"/>
                <w:iCs w:val="0"/>
                <w:caps w:val="0"/>
                <w:color w:val="666666"/>
                <w:spacing w:val="0"/>
                <w:sz w:val="24"/>
                <w:szCs w:val="24"/>
                <w:u w:val="none"/>
              </w:rPr>
            </w:pPr>
            <w:r>
              <w:rPr>
                <w:rFonts w:hint="eastAsia" w:ascii="宋体" w:hAnsi="宋体" w:eastAsia="宋体" w:cs="宋体"/>
                <w:color w:val="666666"/>
                <w:kern w:val="0"/>
                <w:sz w:val="24"/>
                <w:szCs w:val="24"/>
                <w:bdr w:val="none" w:color="auto" w:sz="0" w:space="0"/>
                <w:lang w:val="en-US" w:eastAsia="zh-CN" w:bidi="ar"/>
              </w:rPr>
              <w:br w:type="textWrapping"/>
            </w:r>
          </w:p>
        </w:tc>
      </w:tr>
    </w:tbl>
    <w:p w14:paraId="785FDAA1"/>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8"/>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FFB309F"/>
    <w:rsid w:val="6FFB309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Office_12.1.24031.24031_F1E327BC-269C-435d-A152-05C5408002CA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2025-12-09T15:32:00Z</dcterms:created>
  <dc:creator>QuandlFinance武利鑫</dc:creator>
  <cp:lastModifiedBy>QuandlFinance武利鑫</cp:lastModifiedBy>
  <dcterms:modified xsi:type="dcterms:W3CDTF">2025-12-09T15:32:56Z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2052-12.1.24031.24031</vt:lpwstr>
  </property>
  <property fmtid="{D5CDD505-2E9C-101B-9397-08002B2CF9AE}" pid="3" name="ICV">
    <vt:lpwstr>8DDE5D51922362EF87D0376968C6BC39_41</vt:lpwstr>
  </property>
</Properties>
</file>