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040C1454">
        <w:trPr>
          <w:trHeight w:val="1601" w:hRule="atLeast"/>
        </w:trPr>
        <w:tc>
          <w:tcPr>
            <w:tcW w:w="0" w:type="auto"/>
            <w:shd w:val="clear"/>
            <w:vAlign w:val="center"/>
          </w:tcPr>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76D00B09">
              <w:trPr>
                <w:trHeight w:val="1100" w:hRule="atLeast"/>
                <w:jc w:val="center"/>
              </w:trPr>
              <w:tc>
                <w:tcPr>
                  <w:tcW w:w="0" w:type="auto"/>
                  <w:shd w:val="clear"/>
                  <w:vAlign w:val="center"/>
                </w:tcPr>
                <w:p w14:paraId="1863D2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宋体" w:hAnsi="宋体" w:eastAsia="宋体" w:cs="宋体"/>
                      <w:color w:val="333333"/>
                      <w:sz w:val="32"/>
                      <w:szCs w:val="32"/>
                      <w:lang w:val="en-US" w:eastAsia="zh-CN"/>
                    </w:rPr>
                  </w:pPr>
                  <w:bookmarkStart w:id="0" w:name="_GoBack"/>
                  <w:r>
                    <w:rPr>
                      <w:rFonts w:hint="eastAsia" w:ascii="宋体" w:hAnsi="宋体" w:eastAsia="宋体" w:cs="宋体"/>
                      <w:color w:val="333333"/>
                      <w:sz w:val="32"/>
                      <w:szCs w:val="32"/>
                      <w:bdr w:val="none" w:color="auto" w:sz="0" w:space="0"/>
                    </w:rPr>
                    <w:t>青海玉树：银政企对接“面对面”</w:t>
                  </w:r>
                  <w:bookmarkEnd w:id="0"/>
                  <w:r>
                    <w:rPr>
                      <w:rFonts w:hint="eastAsia" w:cs="宋体"/>
                      <w:color w:val="333333"/>
                      <w:sz w:val="32"/>
                      <w:szCs w:val="32"/>
                      <w:bdr w:val="none" w:color="auto" w:sz="0" w:space="0"/>
                      <w:lang w:val="en-US" w:eastAsia="zh-CN"/>
                    </w:rPr>
                    <w:t>2024-08-02</w:t>
                  </w:r>
                </w:p>
              </w:tc>
            </w:tr>
          </w:tbl>
          <w:p w14:paraId="7893D075">
            <w:pPr>
              <w:jc w:val="center"/>
              <w:rPr>
                <w:rFonts w:hint="eastAsia" w:ascii="宋体" w:hAnsi="宋体" w:eastAsia="宋体" w:cs="宋体"/>
                <w:i w:val="0"/>
                <w:iCs w:val="0"/>
                <w:caps w:val="0"/>
                <w:color w:val="666666"/>
                <w:spacing w:val="0"/>
                <w:sz w:val="24"/>
                <w:szCs w:val="24"/>
                <w:u w:val="none"/>
              </w:rPr>
            </w:pPr>
          </w:p>
        </w:tc>
      </w:tr>
    </w:tbl>
    <w:p w14:paraId="23CEBA08">
      <w:pPr>
        <w:rPr>
          <w:vanish/>
          <w:sz w:val="24"/>
          <w:szCs w:val="24"/>
        </w:rPr>
      </w:pPr>
    </w:p>
    <w:p w14:paraId="62B16215">
      <w:pPr>
        <w:rPr>
          <w:vanish/>
          <w:sz w:val="24"/>
          <w:szCs w:val="24"/>
        </w:rPr>
      </w:pPr>
    </w:p>
    <w:p w14:paraId="3EFF5F10">
      <w:pPr>
        <w:rPr>
          <w:vanish/>
          <w:sz w:val="24"/>
          <w:szCs w:val="24"/>
        </w:rPr>
      </w:pPr>
    </w:p>
    <w:tbl>
      <w:tblPr>
        <w:tblW w:w="45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475"/>
      </w:tblGrid>
      <w:tr w14:paraId="602CF959">
        <w:tc>
          <w:tcPr>
            <w:tcW w:w="0" w:type="auto"/>
            <w:shd w:val="clear"/>
            <w:vAlign w:val="top"/>
          </w:tcPr>
          <w:p w14:paraId="52A633C0">
            <w:pPr>
              <w:pStyle w:val="3"/>
              <w:keepNext w:val="0"/>
              <w:keepLines w:val="0"/>
              <w:widowControl/>
              <w:suppressLineNumbers w:val="0"/>
              <w:spacing w:line="500" w:lineRule="atLeast"/>
              <w:ind w:left="0" w:firstLine="420"/>
              <w:jc w:val="both"/>
            </w:pPr>
            <w:r>
              <w:rPr>
                <w:rFonts w:hint="eastAsia" w:ascii="宋体" w:hAnsi="宋体" w:eastAsia="宋体" w:cs="宋体"/>
                <w:i w:val="0"/>
                <w:iCs w:val="0"/>
                <w:caps w:val="0"/>
                <w:color w:val="000000"/>
                <w:spacing w:val="0"/>
                <w:sz w:val="28"/>
                <w:szCs w:val="28"/>
                <w:u w:val="none"/>
                <w:bdr w:val="none" w:color="auto" w:sz="0" w:space="0"/>
              </w:rPr>
              <w:t>“玉树是国家级藏族文化生态保护试验区，有新寨嘉那嘛呢石经城、勒巴沟千年摩崖石刻、古墓葬、古渡口遗址群等文化资源，也有藏羚羊、雪豹、野牦牛等高原珍稀野生动物资源，目前玉树州政府正在打造玉树博物馆小镇和‘一核三廊三板块’精品主题旅游路线，我相信，在相关政府部门和社会公众的共同努力下，玉树的旅游业将会越来越好。”青海省玉树北纬叁拾叁度文旅服务有限公司负责人才仁拉措激动地说。</w:t>
            </w:r>
          </w:p>
          <w:p w14:paraId="5453083D">
            <w:pPr>
              <w:pStyle w:val="3"/>
              <w:keepNext w:val="0"/>
              <w:keepLines w:val="0"/>
              <w:widowControl/>
              <w:suppressLineNumbers w:val="0"/>
              <w:spacing w:line="500" w:lineRule="atLeast"/>
              <w:ind w:left="0" w:firstLine="420"/>
              <w:jc w:val="both"/>
            </w:pPr>
            <w:r>
              <w:rPr>
                <w:rFonts w:hint="eastAsia" w:ascii="宋体" w:hAnsi="宋体" w:eastAsia="宋体" w:cs="宋体"/>
                <w:i w:val="0"/>
                <w:iCs w:val="0"/>
                <w:caps w:val="0"/>
                <w:color w:val="000000"/>
                <w:spacing w:val="0"/>
                <w:sz w:val="28"/>
                <w:szCs w:val="28"/>
                <w:u w:val="none"/>
                <w:bdr w:val="none" w:color="auto" w:sz="0" w:space="0"/>
              </w:rPr>
              <w:t>据了解，该公司成立于2022年，主要经营旅游向导、餐饮住宿、乡村旅游资源开发经营、工艺美术品及礼仪用品销售等业务。在2024年金融服务文旅产业发展政银企对接活动中，该企业获得邮储银行玉树支行提供的180万元一年期贷款，满足了企业信贷需求。</w:t>
            </w:r>
          </w:p>
          <w:p w14:paraId="20667119">
            <w:pPr>
              <w:pStyle w:val="3"/>
              <w:keepNext w:val="0"/>
              <w:keepLines w:val="0"/>
              <w:widowControl/>
              <w:suppressLineNumbers w:val="0"/>
              <w:spacing w:line="500" w:lineRule="atLeast"/>
              <w:ind w:left="0" w:firstLine="420"/>
              <w:jc w:val="both"/>
            </w:pPr>
            <w:r>
              <w:rPr>
                <w:rFonts w:hint="eastAsia" w:ascii="宋体" w:hAnsi="宋体" w:eastAsia="宋体" w:cs="宋体"/>
                <w:i w:val="0"/>
                <w:iCs w:val="0"/>
                <w:caps w:val="0"/>
                <w:color w:val="000000"/>
                <w:spacing w:val="0"/>
                <w:sz w:val="28"/>
                <w:szCs w:val="28"/>
                <w:u w:val="none"/>
                <w:bdr w:val="none" w:color="auto" w:sz="0" w:space="0"/>
              </w:rPr>
              <w:t>玉树有着得天独厚的生态资源，2024年，人民银行玉树州分行紧跟《玉树州国际生态旅游目的地首选区建设三年行动方案（2023-2025年）》工作部署，统领全州金融系统着眼产业，落子文旅，为玉树州文旅产业高质量发展注入源源不断的金融动能。</w:t>
            </w:r>
          </w:p>
          <w:p w14:paraId="0EB39DE8">
            <w:pPr>
              <w:pStyle w:val="3"/>
              <w:keepNext w:val="0"/>
              <w:keepLines w:val="0"/>
              <w:widowControl/>
              <w:suppressLineNumbers w:val="0"/>
              <w:spacing w:line="500" w:lineRule="atLeast"/>
              <w:ind w:left="0" w:firstLine="420"/>
              <w:jc w:val="both"/>
            </w:pPr>
            <w:r>
              <w:rPr>
                <w:rFonts w:hint="eastAsia" w:ascii="宋体" w:hAnsi="宋体" w:eastAsia="宋体" w:cs="宋体"/>
                <w:i w:val="0"/>
                <w:iCs w:val="0"/>
                <w:caps w:val="0"/>
                <w:color w:val="000000"/>
                <w:spacing w:val="0"/>
                <w:sz w:val="28"/>
                <w:szCs w:val="28"/>
                <w:u w:val="none"/>
                <w:bdr w:val="none" w:color="auto" w:sz="0" w:space="0"/>
              </w:rPr>
              <w:t>人民银行玉树州分行印发《金融支持玉树州文化旅游产业链指导意见》，从拓宽融资担保渠道、降低企业信贷融资成本、强化央行货币政策工具运用等6个方面提供信贷指导。同时，印发《玉树州金融服务文旅产业发展活动年实施方案》，明确了2024年全年全州文旅产业信贷增长目标，建立金融服务实体经济发展考核评估机制，初步搭建了金融服务文旅产业发展的“四梁八柱”。</w:t>
            </w:r>
          </w:p>
          <w:p w14:paraId="41087718">
            <w:pPr>
              <w:pStyle w:val="3"/>
              <w:keepNext w:val="0"/>
              <w:keepLines w:val="0"/>
              <w:widowControl/>
              <w:suppressLineNumbers w:val="0"/>
              <w:spacing w:line="500" w:lineRule="atLeast"/>
              <w:ind w:left="0" w:firstLine="420"/>
              <w:jc w:val="both"/>
            </w:pPr>
            <w:r>
              <w:rPr>
                <w:rFonts w:hint="eastAsia" w:ascii="宋体" w:hAnsi="宋体" w:eastAsia="宋体" w:cs="宋体"/>
                <w:i w:val="0"/>
                <w:iCs w:val="0"/>
                <w:caps w:val="0"/>
                <w:color w:val="000000"/>
                <w:spacing w:val="0"/>
                <w:sz w:val="28"/>
                <w:szCs w:val="28"/>
                <w:u w:val="none"/>
                <w:bdr w:val="none" w:color="auto" w:sz="0" w:space="0"/>
              </w:rPr>
              <w:t>玉树州地处青藏高原腹地，金融机构网点服务半径小、金融科技效果弱、政策宣传手段单一是目前货币政策传导的主要梗阻，开展银政企对接活动是解决信贷信息不对称的必由途径。2024年，人民银行玉树州分行借助县域金融服务推进工作开展契机建立了州、县两级银政企工作对接机制，组织辖区6家银行业金融机构与21家文旅企业代表开展了“金融服务文旅产业发展”专场政银企对接会，实现银政企三方金融政策面对面交流，融资需求点对点对接。2024年以来，玉树州金融机构累计为585家文旅企业发放贷款1.28亿元，有效满足文旅企业融资需求。（来源：金融时报）</w:t>
            </w:r>
          </w:p>
        </w:tc>
      </w:tr>
    </w:tbl>
    <w:p w14:paraId="28AACEF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6DBAA0"/>
    <w:rsid w:val="7F6DB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2025-12-09T15:29:00Z</dcterms:created>
  <dc:creator>QuandlFinance武利鑫</dc:creator>
  <cp:lastModifiedBy>QuandlFinance武利鑫</cp:lastModifiedBy>
  <dcterms:modified xsi:type="dcterms:W3CDTF">2025-12-09T15:30:19Z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883F4624CF68B0F7D9CF37693A74824C_41</vt:lpwstr>
  </property>
</Properties>
</file>