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179"/>
        <w:pBdr/>
        <w:spacing w:line="480" w:lineRule="auto"/>
        <w:ind/>
        <w:jc w:val="center"/>
        <w:rPr>
          <w:rFonts w:ascii="宋體-繁" w:hAnsi="宋體-繁" w:cs="宋體-繁"/>
        </w:rPr>
      </w:pPr>
      <w:r>
        <w:rPr>
          <w:rFonts w:ascii="宋體-繁" w:hAnsi="宋體-繁" w:eastAsia="宋體-繁" w:cs="宋體-繁"/>
        </w:rPr>
      </w:r>
      <w:bookmarkStart w:id="0" w:name="__RefHeading___Toc6987_4090689648"/>
      <w:r>
        <w:rPr>
          <w:rFonts w:ascii="宋體-繁" w:hAnsi="宋體-繁" w:eastAsia="宋體-繁" w:cs="宋體-繁"/>
        </w:rPr>
      </w:r>
      <w:bookmarkEnd w:id="0"/>
      <w:r>
        <w:rPr>
          <w:rFonts w:ascii="宋體-繁" w:hAnsi="宋體-繁" w:eastAsia="宋體-繁" w:cs="宋體-繁"/>
          <w:sz w:val="44"/>
          <w:szCs w:val="44"/>
        </w:rPr>
        <w:t xml:space="preserve">中華民族聯邦共和國憲法</w:t>
      </w:r>
      <w:r>
        <w:rPr>
          <w:rFonts w:ascii="宋體-繁" w:hAnsi="宋體-繁" w:cs="宋體-繁"/>
        </w:rPr>
      </w:r>
      <w:r>
        <w:rPr>
          <w:rFonts w:ascii="宋體-繁" w:hAnsi="宋體-繁" w:cs="宋體-繁"/>
        </w:rPr>
      </w:r>
    </w:p>
    <w:p>
      <w:pPr>
        <w:pStyle w:val="1203"/>
        <w:numPr>
          <w:ilvl w:val="0"/>
          <w:numId w:val="0"/>
        </w:numPr>
        <w:pBdr/>
        <w:tabs>
          <w:tab w:val="clear" w:leader="none" w:pos="210"/>
          <w:tab w:val="left" w:leader="none" w:pos="420"/>
        </w:tabs>
        <w:spacing w:line="360" w:lineRule="auto"/>
        <w:ind w:firstLine="0" w:left="0"/>
        <w:jc w:val="center"/>
        <w:outlineLvl w:val="1"/>
        <w:rPr>
          <w:rFonts w:ascii="宋體-繁" w:hAnsi="宋體-繁" w:cs="宋體-繁"/>
        </w:rPr>
      </w:pPr>
      <w:r/>
      <w:bookmarkStart w:id="75" w:name="_Toc1"/>
      <w:r>
        <w:rPr>
          <w:rFonts w:ascii="宋體-繁" w:hAnsi="宋體-繁" w:eastAsia="宋體-繁" w:cs="宋體-繁"/>
        </w:rPr>
      </w:r>
      <w:bookmarkStart w:id="4" w:name="__RefHeading___Toc6989_4090689648"/>
      <w:r>
        <w:rPr>
          <w:rFonts w:ascii="宋體-繁" w:hAnsi="宋體-繁" w:eastAsia="宋體-繁" w:cs="宋體-繁"/>
        </w:rPr>
      </w:r>
      <w:bookmarkEnd w:id="4"/>
      <w:r>
        <w:rPr>
          <w:rFonts w:ascii="宋體-繁" w:hAnsi="宋體-繁" w:eastAsia="宋體-繁" w:cs="宋體-繁"/>
          <w:color w:val="000000" w:themeColor="text1"/>
          <w:sz w:val="36"/>
          <w:szCs w:val="36"/>
        </w:rPr>
        <w:t xml:space="preserve">目錄</w:t>
      </w:r>
      <w:r>
        <w:rPr>
          <w:rFonts w:ascii="宋體-繁" w:hAnsi="宋體-繁" w:eastAsia="宋體-繁" w:cs="宋體-繁"/>
        </w:rPr>
      </w:r>
      <w:bookmarkEnd w:id="75"/>
      <w:r>
        <w:rPr>
          <w:rFonts w:ascii="宋體-繁" w:hAnsi="宋體-繁" w:cs="宋體-繁"/>
        </w:rPr>
      </w:r>
      <w:r>
        <w:rPr>
          <w:rFonts w:ascii="宋體-繁" w:hAnsi="宋體-繁" w:cs="宋體-繁"/>
        </w:rPr>
      </w:r>
    </w:p>
    <w:sdt>
      <w:sdtPr>
        <w15:appearance w15:val="boundingBox"/>
        <w:docPartObj>
          <w:docPartGallery w:val="Table of Contents"/>
          <w:docPartUnique w:val="true"/>
        </w:docPartObj>
        <w:rPr/>
      </w:sdtPr>
      <w:sdtContent>
        <w:p>
          <w:pPr>
            <w:pStyle w:val="1202"/>
            <w:pBdr/>
            <w:tabs>
              <w:tab w:val="right" w:leader="dot" w:pos="9689"/>
            </w:tabs>
            <w:spacing/>
            <w:ind/>
            <w:rPr>
              <w:rFonts w:ascii="宋體-繁" w:hAnsi="宋體-繁" w:cs="宋體-繁"/>
              <w:b w:val="0"/>
              <w:bCs w:val="0"/>
            </w:rPr>
          </w:pPr>
          <w:r>
            <w:rPr>
              <w:rFonts w:ascii="宋體-繁" w:hAnsi="宋體-繁" w:eastAsia="宋體-繁" w:cs="宋體-繁"/>
              <w:b w:val="0"/>
              <w:bCs w:val="0"/>
            </w:rPr>
            <w:fldChar w:fldCharType="begin"/>
          </w:r>
          <w:r>
            <w:rPr>
              <w:rStyle w:val="1184"/>
              <w:rFonts w:ascii="宋體-繁" w:hAnsi="宋體-繁" w:eastAsia="宋體-繁" w:cs="宋體-繁"/>
              <w:b w:val="0"/>
              <w:bCs w:val="0"/>
            </w:rPr>
            <w:instrText xml:space="preserve"> TOC \f \o "1-2" \h</w:instrText>
          </w:r>
          <w:r>
            <w:rPr>
              <w:rStyle w:val="1184"/>
              <w:rFonts w:ascii="宋體-繁" w:hAnsi="宋體-繁" w:eastAsia="宋體-繁" w:cs="宋體-繁"/>
              <w:b w:val="0"/>
              <w:bCs w:val="0"/>
            </w:rPr>
            <w:fldChar w:fldCharType="separate"/>
          </w:r>
          <w:r>
            <w:rPr>
              <w:rFonts w:ascii="宋體-繁" w:hAnsi="宋體-繁" w:eastAsia="宋體-繁" w:cs="宋體-繁"/>
              <w:b w:val="0"/>
              <w:bCs w:val="0"/>
            </w:rPr>
          </w:r>
          <w:hyperlink w:tooltip="#_Toc1" w:anchor="_Toc1" w:history="1">
            <w:r>
              <w:rPr>
                <w:rStyle w:val="1191"/>
                <w:rFonts w:ascii="宋體-繁" w:hAnsi="宋體-繁" w:eastAsia="宋體-繁" w:cs="宋體-繁"/>
                <w:b w:val="0"/>
                <w:bCs w:val="0"/>
              </w:rPr>
            </w:r>
            <w:r>
              <w:rPr>
                <w:rStyle w:val="1191"/>
                <w:rFonts w:ascii="宋體-繁" w:hAnsi="宋體-繁" w:eastAsia="宋體-繁" w:cs="宋體-繁"/>
                <w:b/>
                <w:bCs/>
              </w:rPr>
              <w:t xml:space="preserve">目錄</w:t>
            </w:r>
            <w:r>
              <w:rPr>
                <w:rStyle w:val="1191"/>
                <w:rFonts w:ascii="宋體-繁" w:hAnsi="宋體-繁" w:eastAsia="宋體-繁" w:cs="宋體-繁"/>
                <w:b/>
                <w:bCs/>
              </w:rPr>
            </w:r>
            <w:r>
              <w:rPr>
                <w:rFonts w:ascii="宋體-繁" w:hAnsi="宋體-繁" w:eastAsia="宋體-繁" w:cs="宋體-繁"/>
                <w:b/>
                <w:bCs/>
              </w:rPr>
              <w:tab/>
            </w:r>
            <w:r>
              <w:rPr>
                <w:rFonts w:ascii="宋體-繁" w:hAnsi="宋體-繁" w:eastAsia="宋體-繁" w:cs="宋體-繁"/>
                <w:b/>
                <w:bCs/>
              </w:rPr>
              <w:fldChar w:fldCharType="begin"/>
              <w:instrText xml:space="preserve">PAGEREF _Toc1 \h</w:instrText>
              <w:fldChar w:fldCharType="separate"/>
            </w:r>
            <w:r>
              <w:rPr>
                <w:rStyle w:val="1191"/>
                <w:rFonts w:ascii="宋體-繁" w:hAnsi="宋體-繁" w:eastAsia="宋體-繁" w:cs="宋體-繁"/>
                <w:b w:val="0"/>
                <w:bCs w:val="0"/>
              </w:rPr>
              <w:t xml:space="preserve">1</w:t>
            </w:r>
            <w:r>
              <w:rPr>
                <w:rFonts w:ascii="宋體-繁" w:hAnsi="宋體-繁" w:eastAsia="宋體-繁" w:cs="宋體-繁"/>
                <w:b/>
                <w:bCs/>
              </w:rPr>
            </w:r>
            <w:r>
              <w:rPr>
                <w:rFonts w:ascii="宋體-繁" w:hAnsi="宋體-繁" w:eastAsia="宋體-繁" w:cs="宋體-繁"/>
                <w:b/>
                <w:bCs/>
              </w:rPr>
              <w:fldChar w:fldCharType="end"/>
            </w:r>
          </w:hyperlink>
          <w:r>
            <w:rPr>
              <w:rFonts w:ascii="宋體-繁" w:hAnsi="宋體-繁" w:cs="宋體-繁"/>
              <w:b w:val="0"/>
              <w:bCs w:val="0"/>
            </w:rPr>
          </w:r>
          <w:r>
            <w:rPr>
              <w:rFonts w:ascii="宋體-繁" w:hAnsi="宋體-繁" w:cs="宋體-繁"/>
              <w:b w:val="0"/>
              <w:bCs w:val="0"/>
            </w:rPr>
          </w:r>
        </w:p>
        <w:p>
          <w:pPr>
            <w:pStyle w:val="1201"/>
            <w:pBdr/>
            <w:tabs>
              <w:tab w:val="left" w:leader="none" w:pos="1134"/>
              <w:tab w:val="right" w:leader="dot" w:pos="9689"/>
            </w:tabs>
            <w:spacing/>
            <w:ind/>
            <w:rPr>
              <w:rFonts w:ascii="宋體-繁" w:hAnsi="宋體-繁" w:cs="宋體-繁"/>
              <w:b/>
              <w:bCs/>
            </w:rPr>
          </w:pPr>
          <w:r/>
          <w:hyperlink w:tooltip="#_Toc2" w:anchor="_Toc2" w:history="1">
            <w:r>
              <w:rPr>
                <w:rFonts w:ascii="宋體-繁" w:hAnsi="宋體-繁" w:eastAsia="宋體-繁" w:cs="宋體-繁"/>
                <w:b/>
                <w:bCs/>
              </w:rPr>
              <w:t xml:space="preserve">第一章</w:t>
            </w:r>
            <w:r>
              <w:rPr>
                <w:rStyle w:val="1191"/>
                <w:rFonts w:ascii="宋體-繁" w:hAnsi="宋體-繁" w:eastAsia="宋體-繁" w:cs="宋體-繁"/>
                <w:b/>
                <w:bCs/>
              </w:rPr>
              <w:t xml:space="preserve">   </w:t>
            </w:r>
            <w:r>
              <w:rPr>
                <w:rStyle w:val="1191"/>
                <w:rFonts w:ascii="宋體-繁" w:hAnsi="宋體-繁" w:eastAsia="宋體-繁" w:cs="宋體-繁"/>
                <w:b/>
                <w:bCs/>
              </w:rPr>
              <w:t xml:space="preserve">總則</w:t>
            </w:r>
            <w:r>
              <w:rPr>
                <w:rStyle w:val="1191"/>
                <w:rFonts w:ascii="宋體-繁" w:hAnsi="宋體-繁" w:eastAsia="宋體-繁" w:cs="宋體-繁"/>
                <w:b/>
                <w:bCs/>
              </w:rPr>
            </w:r>
            <w:r>
              <w:rPr>
                <w:rFonts w:ascii="宋體-繁" w:hAnsi="宋體-繁" w:eastAsia="宋體-繁" w:cs="宋體-繁"/>
                <w:b/>
                <w:bCs/>
              </w:rPr>
              <w:tab/>
            </w:r>
            <w:r>
              <w:rPr>
                <w:rFonts w:ascii="宋體-繁" w:hAnsi="宋體-繁" w:eastAsia="宋體-繁" w:cs="宋體-繁"/>
                <w:b/>
                <w:bCs/>
              </w:rPr>
              <w:fldChar w:fldCharType="begin"/>
              <w:instrText xml:space="preserve">PAGEREF _Toc2 \h</w:instrText>
              <w:fldChar w:fldCharType="separate"/>
            </w:r>
            <w:r>
              <w:rPr>
                <w:rFonts w:ascii="宋體-繁" w:hAnsi="宋體-繁" w:eastAsia="宋體-繁" w:cs="宋體-繁"/>
                <w:b/>
                <w:bCs/>
              </w:rPr>
              <w:t xml:space="preserve">1</w:t>
            </w:r>
            <w:r>
              <w:rPr>
                <w:rFonts w:ascii="宋體-繁" w:hAnsi="宋體-繁" w:eastAsia="宋體-繁" w:cs="宋體-繁"/>
                <w:b/>
                <w:bCs/>
              </w:rPr>
            </w:r>
            <w:r>
              <w:rPr>
                <w:rFonts w:ascii="宋體-繁" w:hAnsi="宋體-繁" w:eastAsia="宋體-繁" w:cs="宋體-繁"/>
                <w:b/>
                <w:bCs/>
              </w:rPr>
              <w:fldChar w:fldCharType="end"/>
            </w:r>
          </w:hyperlink>
          <w:r>
            <w:rPr>
              <w:rFonts w:ascii="宋體-繁" w:hAnsi="宋體-繁" w:cs="宋體-繁"/>
              <w:b/>
              <w:bCs/>
            </w:rPr>
          </w:r>
          <w:r>
            <w:rPr>
              <w:rFonts w:ascii="宋體-繁" w:hAnsi="宋體-繁" w:cs="宋體-繁"/>
              <w:b/>
              <w:bCs/>
            </w:rPr>
          </w:r>
        </w:p>
        <w:p>
          <w:pPr>
            <w:pStyle w:val="1202"/>
            <w:pBdr/>
            <w:tabs>
              <w:tab w:val="left" w:leader="none" w:pos="1134"/>
              <w:tab w:val="right" w:leader="dot" w:pos="9689"/>
            </w:tabs>
            <w:spacing/>
            <w:ind/>
            <w:rPr>
              <w:rFonts w:ascii="宋體-繁" w:hAnsi="宋體-繁" w:cs="宋體-繁"/>
              <w:b w:val="0"/>
              <w:bCs w:val="0"/>
            </w:rPr>
          </w:pPr>
          <w:r/>
          <w:hyperlink w:tooltip="#_Toc3" w:anchor="_Toc3" w:history="1">
            <w:r>
              <w:rPr>
                <w:rFonts w:ascii="宋體-繁" w:hAnsi="宋體-繁" w:eastAsia="宋體-繁" w:cs="宋體-繁"/>
                <w:b w:val="0"/>
                <w:bCs w:val="0"/>
              </w:rPr>
              <w:t xml:space="preserve">第一節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國家的定義</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_Toc3 \h</w:instrText>
              <w:fldChar w:fldCharType="separate"/>
            </w:r>
            <w:r>
              <w:rPr>
                <w:rFonts w:ascii="宋體-繁" w:hAnsi="宋體-繁" w:eastAsia="宋體-繁" w:cs="宋體-繁"/>
                <w:b w:val="0"/>
                <w:bCs w:val="0"/>
              </w:rPr>
              <w:t xml:space="preserve">2</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4" w:anchor="_Toc4" w:history="1">
            <w:r>
              <w:rPr>
                <w:rFonts w:ascii="宋體-繁" w:hAnsi="宋體-繁" w:eastAsia="宋體-繁" w:cs="宋體-繁"/>
                <w:b w:val="0"/>
                <w:bCs w:val="0"/>
              </w:rPr>
              <w:t xml:space="preserve">第二節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憲法的定義</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_Toc4 \h</w:instrText>
              <w:fldChar w:fldCharType="separate"/>
            </w:r>
            <w:r>
              <w:rPr>
                <w:rFonts w:ascii="宋體-繁" w:hAnsi="宋體-繁" w:eastAsia="宋體-繁" w:cs="宋體-繁"/>
                <w:b w:val="0"/>
                <w:bCs w:val="0"/>
              </w:rPr>
              <w:t xml:space="preserve">4</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5" w:anchor="_Toc5" w:history="1">
            <w:r>
              <w:rPr>
                <w:rFonts w:ascii="宋體-繁" w:hAnsi="宋體-繁" w:eastAsia="宋體-繁" w:cs="宋體-繁"/>
                <w:b w:val="0"/>
                <w:bCs w:val="0"/>
              </w:rPr>
              <w:t xml:space="preserve">第三節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軍隊的定義</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_Toc5 \h</w:instrText>
              <w:fldChar w:fldCharType="separate"/>
            </w:r>
            <w:r>
              <w:rPr>
                <w:rFonts w:ascii="宋體-繁" w:hAnsi="宋體-繁" w:eastAsia="宋體-繁" w:cs="宋體-繁"/>
                <w:b w:val="0"/>
                <w:bCs w:val="0"/>
              </w:rPr>
              <w:t xml:space="preserve">5</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6" w:anchor="_Toc6" w:history="1">
            <w:r>
              <w:rPr>
                <w:rFonts w:ascii="宋體-繁" w:hAnsi="宋體-繁" w:eastAsia="宋體-繁" w:cs="宋體-繁"/>
                <w:b w:val="0"/>
                <w:bCs w:val="0"/>
              </w:rPr>
              <w:t xml:space="preserve">第四節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公民的權利與義務</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_Toc6 \h</w:instrText>
              <w:fldChar w:fldCharType="separate"/>
            </w:r>
            <w:r>
              <w:rPr>
                <w:rFonts w:ascii="宋體-繁" w:hAnsi="宋體-繁" w:eastAsia="宋體-繁" w:cs="宋體-繁"/>
                <w:b w:val="0"/>
                <w:bCs w:val="0"/>
              </w:rPr>
              <w:t xml:space="preserve">6</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7" w:anchor="_Toc7" w:history="1">
            <w:r>
              <w:rPr>
                <w:rFonts w:ascii="宋體-繁" w:hAnsi="宋體-繁" w:eastAsia="宋體-繁" w:cs="宋體-繁"/>
                <w:b w:val="0"/>
                <w:bCs w:val="0"/>
              </w:rPr>
              <w:t xml:space="preserve">第五節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憲法的特別條款</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_Toc7 \h</w:instrText>
              <w:fldChar w:fldCharType="separate"/>
            </w:r>
            <w:r>
              <w:rPr>
                <w:rFonts w:ascii="宋體-繁" w:hAnsi="宋體-繁" w:eastAsia="宋體-繁" w:cs="宋體-繁"/>
                <w:b w:val="0"/>
                <w:bCs w:val="0"/>
              </w:rPr>
              <w:t xml:space="preserve">7</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1"/>
            <w:pBdr/>
            <w:tabs>
              <w:tab w:val="left" w:leader="none" w:pos="1134"/>
              <w:tab w:val="right" w:leader="dot" w:pos="9689"/>
            </w:tabs>
            <w:spacing/>
            <w:ind/>
            <w:rPr>
              <w:rFonts w:ascii="宋體-繁" w:hAnsi="宋體-繁" w:cs="宋體-繁"/>
              <w:b/>
              <w:bCs/>
            </w:rPr>
          </w:pPr>
          <w:r/>
          <w:hyperlink w:tooltip="#_Toc8" w:anchor="_Toc8" w:history="1">
            <w:r>
              <w:rPr>
                <w:rFonts w:ascii="宋體-繁" w:hAnsi="宋體-繁" w:eastAsia="宋體-繁" w:cs="宋體-繁"/>
                <w:b/>
                <w:bCs/>
              </w:rPr>
              <w:t xml:space="preserve">第二章</w:t>
            </w:r>
            <w:r>
              <w:rPr>
                <w:rStyle w:val="1191"/>
                <w:rFonts w:ascii="宋體-繁" w:hAnsi="宋體-繁" w:eastAsia="宋體-繁" w:cs="宋體-繁"/>
                <w:b/>
                <w:bCs/>
              </w:rPr>
              <w:t xml:space="preserve">   </w:t>
            </w:r>
            <w:r>
              <w:rPr>
                <w:rStyle w:val="1191"/>
                <w:rFonts w:ascii="宋體-繁" w:hAnsi="宋體-繁" w:eastAsia="宋體-繁" w:cs="宋體-繁"/>
                <w:b/>
                <w:bCs/>
              </w:rPr>
              <w:t xml:space="preserve">政府</w:t>
            </w:r>
            <w:r>
              <w:rPr>
                <w:rStyle w:val="1191"/>
                <w:rFonts w:ascii="宋體-繁" w:hAnsi="宋體-繁" w:eastAsia="宋體-繁" w:cs="宋體-繁"/>
                <w:b/>
                <w:bCs/>
              </w:rPr>
            </w:r>
            <w:r>
              <w:rPr>
                <w:rFonts w:ascii="宋體-繁" w:hAnsi="宋體-繁" w:eastAsia="宋體-繁" w:cs="宋體-繁"/>
                <w:b/>
                <w:bCs/>
              </w:rPr>
              <w:tab/>
            </w:r>
            <w:r>
              <w:rPr>
                <w:rFonts w:ascii="宋體-繁" w:hAnsi="宋體-繁" w:eastAsia="宋體-繁" w:cs="宋體-繁"/>
                <w:b/>
                <w:bCs/>
              </w:rPr>
              <w:fldChar w:fldCharType="begin"/>
              <w:instrText xml:space="preserve">PAGEREF _Toc8 \h</w:instrText>
              <w:fldChar w:fldCharType="separate"/>
            </w:r>
            <w:r>
              <w:rPr>
                <w:rFonts w:ascii="宋體-繁" w:hAnsi="宋體-繁" w:eastAsia="宋體-繁" w:cs="宋體-繁"/>
                <w:b/>
                <w:bCs/>
              </w:rPr>
              <w:t xml:space="preserve">9</w:t>
            </w:r>
            <w:r>
              <w:rPr>
                <w:rFonts w:ascii="宋體-繁" w:hAnsi="宋體-繁" w:eastAsia="宋體-繁" w:cs="宋體-繁"/>
                <w:b/>
                <w:bCs/>
              </w:rPr>
            </w:r>
            <w:r>
              <w:rPr>
                <w:rFonts w:ascii="宋體-繁" w:hAnsi="宋體-繁" w:eastAsia="宋體-繁" w:cs="宋體-繁"/>
                <w:b/>
                <w:bCs/>
              </w:rPr>
              <w:fldChar w:fldCharType="end"/>
            </w:r>
          </w:hyperlink>
          <w:r>
            <w:rPr>
              <w:rFonts w:ascii="宋體-繁" w:hAnsi="宋體-繁" w:cs="宋體-繁"/>
              <w:b/>
              <w:bCs/>
            </w:rPr>
          </w:r>
          <w:r>
            <w:rPr>
              <w:rFonts w:ascii="宋體-繁" w:hAnsi="宋體-繁" w:cs="宋體-繁"/>
              <w:b/>
              <w:bCs/>
            </w:rPr>
          </w:r>
        </w:p>
        <w:p>
          <w:pPr>
            <w:pStyle w:val="1202"/>
            <w:pBdr/>
            <w:tabs>
              <w:tab w:val="left" w:leader="none" w:pos="1134"/>
              <w:tab w:val="right" w:leader="dot" w:pos="9689"/>
            </w:tabs>
            <w:spacing/>
            <w:ind/>
            <w:rPr>
              <w:rFonts w:ascii="宋體-繁" w:hAnsi="宋體-繁" w:cs="宋體-繁"/>
              <w:b w:val="0"/>
              <w:bCs w:val="0"/>
            </w:rPr>
          </w:pPr>
          <w:r/>
          <w:hyperlink w:tooltip="#_Toc9" w:anchor="_Toc9" w:history="1">
            <w:r>
              <w:rPr>
                <w:rFonts w:ascii="宋體-繁" w:hAnsi="宋體-繁" w:eastAsia="宋體-繁" w:cs="宋體-繁"/>
                <w:b w:val="0"/>
                <w:bCs w:val="0"/>
              </w:rPr>
              <w:t xml:space="preserve">第一節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總統府</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_Toc9 \h</w:instrText>
              <w:fldChar w:fldCharType="separate"/>
            </w:r>
            <w:r>
              <w:rPr>
                <w:rFonts w:ascii="宋體-繁" w:hAnsi="宋體-繁" w:eastAsia="宋體-繁" w:cs="宋體-繁"/>
                <w:b w:val="0"/>
                <w:bCs w:val="0"/>
              </w:rPr>
              <w:t xml:space="preserve">9</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10" w:anchor="_Toc10" w:history="1">
            <w:r>
              <w:rPr>
                <w:rFonts w:ascii="宋體-繁" w:hAnsi="宋體-繁" w:eastAsia="宋體-繁" w:cs="宋體-繁"/>
                <w:b w:val="0"/>
                <w:bCs w:val="0"/>
              </w:rPr>
              <w:t xml:space="preserve">第二節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省政府</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_Toc10 \h</w:instrText>
              <w:fldChar w:fldCharType="separate"/>
            </w:r>
            <w:r>
              <w:rPr>
                <w:rFonts w:ascii="宋體-繁" w:hAnsi="宋體-繁" w:eastAsia="宋體-繁" w:cs="宋體-繁"/>
                <w:b w:val="0"/>
                <w:bCs w:val="0"/>
              </w:rPr>
              <w:t xml:space="preserve">10</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11" w:anchor="_Toc11" w:history="1">
            <w:r>
              <w:rPr>
                <w:rFonts w:ascii="宋體-繁" w:hAnsi="宋體-繁" w:eastAsia="宋體-繁" w:cs="宋體-繁"/>
                <w:b w:val="0"/>
                <w:bCs w:val="0"/>
              </w:rPr>
              <w:t xml:space="preserve">第三節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市政府</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_Toc11 \h</w:instrText>
              <w:fldChar w:fldCharType="separate"/>
            </w:r>
            <w:r>
              <w:rPr>
                <w:rFonts w:ascii="宋體-繁" w:hAnsi="宋體-繁" w:eastAsia="宋體-繁" w:cs="宋體-繁"/>
                <w:b w:val="0"/>
                <w:bCs w:val="0"/>
              </w:rPr>
              <w:t xml:space="preserve">11</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12" w:anchor="_Toc12" w:history="1">
            <w:r>
              <w:rPr>
                <w:rFonts w:ascii="宋體-繁" w:hAnsi="宋體-繁" w:eastAsia="宋體-繁" w:cs="宋體-繁"/>
                <w:b w:val="0"/>
                <w:bCs w:val="0"/>
              </w:rPr>
              <w:t xml:space="preserve">第四節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鎮</w:t>
            </w:r>
            <w:r>
              <w:rPr>
                <w:rStyle w:val="1191"/>
                <w:rFonts w:ascii="宋體-繁" w:hAnsi="宋體-繁" w:eastAsia="宋體-繁" w:cs="宋體-繁"/>
                <w:b w:val="0"/>
                <w:bCs w:val="0"/>
              </w:rPr>
              <w:t xml:space="preserve">政府</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_Toc12 \h</w:instrText>
              <w:fldChar w:fldCharType="separate"/>
            </w:r>
            <w:r>
              <w:rPr>
                <w:rFonts w:ascii="宋體-繁" w:hAnsi="宋體-繁" w:eastAsia="宋體-繁" w:cs="宋體-繁"/>
                <w:b w:val="0"/>
                <w:bCs w:val="0"/>
              </w:rPr>
              <w:t xml:space="preserve">12</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1"/>
            <w:pBdr/>
            <w:tabs>
              <w:tab w:val="left" w:leader="none" w:pos="1134"/>
              <w:tab w:val="right" w:leader="dot" w:pos="9689"/>
            </w:tabs>
            <w:spacing/>
            <w:ind/>
            <w:rPr>
              <w:rFonts w:ascii="宋體-繁" w:hAnsi="宋體-繁" w:cs="宋體-繁"/>
              <w:b/>
              <w:bCs/>
            </w:rPr>
          </w:pPr>
          <w:r/>
          <w:hyperlink w:tooltip="#_Toc13" w:anchor="_Toc13" w:history="1">
            <w:r>
              <w:rPr>
                <w:rFonts w:ascii="宋體-繁" w:hAnsi="宋體-繁" w:eastAsia="宋體-繁" w:cs="宋體-繁"/>
                <w:b/>
                <w:bCs/>
              </w:rPr>
              <w:t xml:space="preserve">第三章</w:t>
            </w:r>
            <w:r>
              <w:rPr>
                <w:rStyle w:val="1191"/>
                <w:rFonts w:ascii="宋體-繁" w:hAnsi="宋體-繁" w:eastAsia="宋體-繁" w:cs="宋體-繁"/>
                <w:b/>
                <w:bCs/>
              </w:rPr>
              <w:t xml:space="preserve">   </w:t>
            </w:r>
            <w:r>
              <w:rPr>
                <w:rStyle w:val="1191"/>
                <w:rFonts w:ascii="宋體-繁" w:hAnsi="宋體-繁" w:eastAsia="宋體-繁" w:cs="宋體-繁"/>
                <w:b/>
                <w:bCs/>
              </w:rPr>
              <w:t xml:space="preserve">立法院</w:t>
            </w:r>
            <w:r>
              <w:rPr>
                <w:rStyle w:val="1191"/>
                <w:rFonts w:ascii="宋體-繁" w:hAnsi="宋體-繁" w:eastAsia="宋體-繁" w:cs="宋體-繁"/>
                <w:b/>
                <w:bCs/>
              </w:rPr>
            </w:r>
            <w:r>
              <w:rPr>
                <w:rFonts w:ascii="宋體-繁" w:hAnsi="宋體-繁" w:eastAsia="宋體-繁" w:cs="宋體-繁"/>
                <w:b/>
                <w:bCs/>
              </w:rPr>
              <w:tab/>
            </w:r>
            <w:r>
              <w:rPr>
                <w:rFonts w:ascii="宋體-繁" w:hAnsi="宋體-繁" w:eastAsia="宋體-繁" w:cs="宋體-繁"/>
                <w:b/>
                <w:bCs/>
              </w:rPr>
              <w:fldChar w:fldCharType="begin"/>
              <w:instrText xml:space="preserve">PAGEREF _Toc13 \h</w:instrText>
              <w:fldChar w:fldCharType="separate"/>
            </w:r>
            <w:r>
              <w:rPr>
                <w:rFonts w:ascii="宋體-繁" w:hAnsi="宋體-繁" w:eastAsia="宋體-繁" w:cs="宋體-繁"/>
                <w:b/>
                <w:bCs/>
              </w:rPr>
              <w:t xml:space="preserve">12</w:t>
            </w:r>
            <w:r>
              <w:rPr>
                <w:rFonts w:ascii="宋體-繁" w:hAnsi="宋體-繁" w:eastAsia="宋體-繁" w:cs="宋體-繁"/>
                <w:b/>
                <w:bCs/>
              </w:rPr>
            </w:r>
            <w:r>
              <w:rPr>
                <w:rFonts w:ascii="宋體-繁" w:hAnsi="宋體-繁" w:eastAsia="宋體-繁" w:cs="宋體-繁"/>
                <w:b/>
                <w:bCs/>
              </w:rPr>
              <w:fldChar w:fldCharType="end"/>
            </w:r>
          </w:hyperlink>
          <w:r>
            <w:rPr>
              <w:rFonts w:ascii="宋體-繁" w:hAnsi="宋體-繁" w:cs="宋體-繁"/>
              <w:b/>
              <w:bCs/>
            </w:rPr>
          </w:r>
          <w:r>
            <w:rPr>
              <w:rFonts w:ascii="宋體-繁" w:hAnsi="宋體-繁" w:cs="宋體-繁"/>
              <w:b/>
              <w:bCs/>
            </w:rPr>
          </w:r>
        </w:p>
        <w:p>
          <w:pPr>
            <w:pStyle w:val="1202"/>
            <w:pBdr/>
            <w:tabs>
              <w:tab w:val="left" w:leader="none" w:pos="1134"/>
              <w:tab w:val="right" w:leader="dot" w:pos="9689"/>
            </w:tabs>
            <w:spacing/>
            <w:ind/>
            <w:rPr>
              <w:rFonts w:ascii="宋體-繁" w:hAnsi="宋體-繁" w:cs="宋體-繁"/>
              <w:b w:val="0"/>
              <w:bCs w:val="0"/>
            </w:rPr>
          </w:pPr>
          <w:r/>
          <w:hyperlink w:tooltip="#_Toc14" w:anchor="_Toc14" w:history="1">
            <w:r>
              <w:rPr>
                <w:rFonts w:ascii="宋體-繁" w:hAnsi="宋體-繁" w:eastAsia="宋體-繁" w:cs="宋體-繁"/>
                <w:b w:val="0"/>
                <w:bCs w:val="0"/>
              </w:rPr>
              <w:t xml:space="preserve">第一節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國家立法院</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_Toc14 \h</w:instrText>
              <w:fldChar w:fldCharType="separate"/>
            </w:r>
            <w:r>
              <w:rPr>
                <w:rFonts w:ascii="宋體-繁" w:hAnsi="宋體-繁" w:eastAsia="宋體-繁" w:cs="宋體-繁"/>
                <w:b w:val="0"/>
                <w:bCs w:val="0"/>
              </w:rPr>
              <w:t xml:space="preserve">12</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15" w:anchor="_Toc15" w:history="1">
            <w:r>
              <w:rPr>
                <w:rFonts w:ascii="宋體-繁" w:hAnsi="宋體-繁" w:eastAsia="宋體-繁" w:cs="宋體-繁"/>
                <w:b w:val="0"/>
                <w:bCs w:val="0"/>
              </w:rPr>
              <w:t xml:space="preserve">第二節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省立法院</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_Toc15 \h</w:instrText>
              <w:fldChar w:fldCharType="separate"/>
            </w:r>
            <w:r>
              <w:rPr>
                <w:rFonts w:ascii="宋體-繁" w:hAnsi="宋體-繁" w:eastAsia="宋體-繁" w:cs="宋體-繁"/>
                <w:b w:val="0"/>
                <w:bCs w:val="0"/>
              </w:rPr>
              <w:t xml:space="preserve">13</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16" w:anchor="_Toc16" w:history="1">
            <w:r>
              <w:rPr>
                <w:rFonts w:ascii="宋體-繁" w:hAnsi="宋體-繁" w:eastAsia="宋體-繁" w:cs="宋體-繁"/>
                <w:b w:val="0"/>
                <w:bCs w:val="0"/>
              </w:rPr>
              <w:t xml:space="preserve">第三節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市立法</w:t>
            </w:r>
            <w:r>
              <w:rPr>
                <w:rStyle w:val="1191"/>
                <w:rFonts w:ascii="宋體-繁" w:hAnsi="宋體-繁" w:eastAsia="宋體-繁" w:cs="宋體-繁"/>
                <w:b w:val="0"/>
                <w:bCs w:val="0"/>
                <w:lang w:eastAsia="zh-TW"/>
              </w:rPr>
              <w:t xml:space="preserve">會</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_Toc16 \h</w:instrText>
              <w:fldChar w:fldCharType="separate"/>
            </w:r>
            <w:r>
              <w:rPr>
                <w:rFonts w:ascii="宋體-繁" w:hAnsi="宋體-繁" w:eastAsia="宋體-繁" w:cs="宋體-繁"/>
                <w:b w:val="0"/>
                <w:bCs w:val="0"/>
              </w:rPr>
              <w:t xml:space="preserve">14</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1"/>
            <w:pBdr/>
            <w:tabs>
              <w:tab w:val="left" w:leader="none" w:pos="1134"/>
              <w:tab w:val="right" w:leader="dot" w:pos="9689"/>
            </w:tabs>
            <w:spacing/>
            <w:ind/>
            <w:rPr>
              <w:rFonts w:ascii="宋體-繁" w:hAnsi="宋體-繁" w:cs="宋體-繁"/>
              <w:b/>
              <w:bCs/>
            </w:rPr>
          </w:pPr>
          <w:r/>
          <w:hyperlink w:tooltip="#_Toc17" w:anchor="_Toc17" w:history="1">
            <w:r>
              <w:rPr>
                <w:rFonts w:ascii="宋體-繁" w:hAnsi="宋體-繁" w:eastAsia="宋體-繁" w:cs="宋體-繁"/>
                <w:b/>
                <w:bCs/>
              </w:rPr>
              <w:t xml:space="preserve">第四章</w:t>
            </w:r>
            <w:r>
              <w:rPr>
                <w:rStyle w:val="1191"/>
                <w:rFonts w:ascii="宋體-繁" w:hAnsi="宋體-繁" w:eastAsia="宋體-繁" w:cs="宋體-繁"/>
                <w:b/>
                <w:bCs/>
              </w:rPr>
              <w:t xml:space="preserve">   </w:t>
            </w:r>
            <w:r>
              <w:rPr>
                <w:rStyle w:val="1191"/>
                <w:rFonts w:ascii="宋體-繁" w:hAnsi="宋體-繁" w:eastAsia="宋體-繁" w:cs="宋體-繁"/>
                <w:b/>
                <w:bCs/>
              </w:rPr>
              <w:t xml:space="preserve">司法院</w:t>
            </w:r>
            <w:r>
              <w:rPr>
                <w:rStyle w:val="1191"/>
                <w:rFonts w:ascii="宋體-繁" w:hAnsi="宋體-繁" w:eastAsia="宋體-繁" w:cs="宋體-繁"/>
                <w:b/>
                <w:bCs/>
              </w:rPr>
            </w:r>
            <w:r>
              <w:rPr>
                <w:rFonts w:ascii="宋體-繁" w:hAnsi="宋體-繁" w:eastAsia="宋體-繁" w:cs="宋體-繁"/>
                <w:b/>
                <w:bCs/>
              </w:rPr>
              <w:tab/>
            </w:r>
            <w:r>
              <w:rPr>
                <w:rFonts w:ascii="宋體-繁" w:hAnsi="宋體-繁" w:eastAsia="宋體-繁" w:cs="宋體-繁"/>
                <w:b/>
                <w:bCs/>
              </w:rPr>
              <w:fldChar w:fldCharType="begin"/>
              <w:instrText xml:space="preserve">PAGEREF _Toc17 \h</w:instrText>
              <w:fldChar w:fldCharType="separate"/>
            </w:r>
            <w:r>
              <w:rPr>
                <w:rFonts w:ascii="宋體-繁" w:hAnsi="宋體-繁" w:eastAsia="宋體-繁" w:cs="宋體-繁"/>
                <w:b/>
                <w:bCs/>
              </w:rPr>
              <w:t xml:space="preserve">14</w:t>
            </w:r>
            <w:r>
              <w:rPr>
                <w:rFonts w:ascii="宋體-繁" w:hAnsi="宋體-繁" w:eastAsia="宋體-繁" w:cs="宋體-繁"/>
                <w:b/>
                <w:bCs/>
              </w:rPr>
            </w:r>
            <w:r>
              <w:rPr>
                <w:rFonts w:ascii="宋體-繁" w:hAnsi="宋體-繁" w:eastAsia="宋體-繁" w:cs="宋體-繁"/>
                <w:b/>
                <w:bCs/>
              </w:rPr>
              <w:fldChar w:fldCharType="end"/>
            </w:r>
          </w:hyperlink>
          <w:r>
            <w:rPr>
              <w:rFonts w:ascii="宋體-繁" w:hAnsi="宋體-繁" w:cs="宋體-繁"/>
              <w:b/>
              <w:bCs/>
            </w:rPr>
          </w:r>
          <w:r>
            <w:rPr>
              <w:rFonts w:ascii="宋體-繁" w:hAnsi="宋體-繁" w:cs="宋體-繁"/>
              <w:b/>
              <w:bCs/>
            </w:rPr>
          </w:r>
        </w:p>
        <w:p>
          <w:pPr>
            <w:pStyle w:val="1202"/>
            <w:pBdr/>
            <w:tabs>
              <w:tab w:val="left" w:leader="none" w:pos="1134"/>
              <w:tab w:val="right" w:leader="dot" w:pos="9689"/>
            </w:tabs>
            <w:spacing/>
            <w:ind/>
            <w:rPr>
              <w:rFonts w:ascii="宋體-繁" w:hAnsi="宋體-繁" w:cs="宋體-繁"/>
              <w:b w:val="0"/>
              <w:bCs w:val="0"/>
            </w:rPr>
          </w:pPr>
          <w:r/>
          <w:hyperlink w:tooltip="#_Toc18" w:anchor="_Toc18" w:history="1">
            <w:r>
              <w:rPr>
                <w:rFonts w:ascii="宋體-繁" w:hAnsi="宋體-繁" w:eastAsia="宋體-繁" w:cs="宋體-繁"/>
                <w:b w:val="0"/>
                <w:bCs w:val="0"/>
              </w:rPr>
              <w:t xml:space="preserve">第一節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國家司法院</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_Toc18 \h</w:instrText>
              <w:fldChar w:fldCharType="separate"/>
            </w:r>
            <w:r>
              <w:rPr>
                <w:rFonts w:ascii="宋體-繁" w:hAnsi="宋體-繁" w:eastAsia="宋體-繁" w:cs="宋體-繁"/>
                <w:b w:val="0"/>
                <w:bCs w:val="0"/>
              </w:rPr>
              <w:t xml:space="preserve">14</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19" w:anchor="_Toc19" w:history="1">
            <w:r>
              <w:rPr>
                <w:rFonts w:ascii="宋體-繁" w:hAnsi="宋體-繁" w:eastAsia="宋體-繁" w:cs="宋體-繁"/>
                <w:b w:val="0"/>
                <w:bCs w:val="0"/>
              </w:rPr>
              <w:t xml:space="preserve">第二節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省司法院</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_Toc19 \h</w:instrText>
              <w:fldChar w:fldCharType="separate"/>
            </w:r>
            <w:r>
              <w:rPr>
                <w:rFonts w:ascii="宋體-繁" w:hAnsi="宋體-繁" w:eastAsia="宋體-繁" w:cs="宋體-繁"/>
                <w:b w:val="0"/>
                <w:bCs w:val="0"/>
              </w:rPr>
              <w:t xml:space="preserve">15</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20" w:anchor="_Toc20" w:history="1">
            <w:r>
              <w:rPr>
                <w:rFonts w:ascii="宋體-繁" w:hAnsi="宋體-繁" w:eastAsia="宋體-繁" w:cs="宋體-繁"/>
                <w:b w:val="0"/>
                <w:bCs w:val="0"/>
              </w:rPr>
              <w:t xml:space="preserve">第三節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市司法院</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_Toc20 \h</w:instrText>
              <w:fldChar w:fldCharType="separate"/>
            </w:r>
            <w:r>
              <w:rPr>
                <w:rFonts w:ascii="宋體-繁" w:hAnsi="宋體-繁" w:eastAsia="宋體-繁" w:cs="宋體-繁"/>
                <w:b w:val="0"/>
                <w:bCs w:val="0"/>
              </w:rPr>
              <w:t xml:space="preserve">15</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1"/>
            <w:pBdr/>
            <w:tabs>
              <w:tab w:val="left" w:leader="none" w:pos="1134"/>
              <w:tab w:val="right" w:leader="dot" w:pos="9689"/>
            </w:tabs>
            <w:spacing/>
            <w:ind/>
            <w:rPr>
              <w:rFonts w:ascii="宋體-繁" w:hAnsi="宋體-繁" w:cs="宋體-繁"/>
              <w:b/>
              <w:bCs/>
            </w:rPr>
          </w:pPr>
          <w:r/>
          <w:hyperlink w:tooltip="#_Toc21" w:anchor="_Toc21" w:history="1">
            <w:r>
              <w:rPr>
                <w:rFonts w:ascii="宋體-繁" w:hAnsi="宋體-繁" w:eastAsia="宋體-繁" w:cs="宋體-繁"/>
                <w:b/>
                <w:bCs/>
              </w:rPr>
              <w:t xml:space="preserve">第五章</w:t>
            </w:r>
            <w:r>
              <w:rPr>
                <w:rStyle w:val="1191"/>
                <w:rFonts w:ascii="宋體-繁" w:hAnsi="宋體-繁" w:eastAsia="宋體-繁" w:cs="宋體-繁"/>
                <w:b/>
                <w:bCs/>
              </w:rPr>
              <w:t xml:space="preserve">   </w:t>
            </w:r>
            <w:r>
              <w:rPr>
                <w:rStyle w:val="1191"/>
                <w:rFonts w:ascii="宋體-繁" w:hAnsi="宋體-繁" w:eastAsia="宋體-繁" w:cs="宋體-繁"/>
                <w:b/>
                <w:bCs/>
                <w:lang w:eastAsia="zh-TW"/>
              </w:rPr>
              <w:t xml:space="preserve">監察院</w:t>
            </w:r>
            <w:r>
              <w:rPr>
                <w:rStyle w:val="1191"/>
                <w:rFonts w:ascii="宋體-繁" w:hAnsi="宋體-繁" w:eastAsia="宋體-繁" w:cs="宋體-繁"/>
                <w:b/>
                <w:bCs/>
              </w:rPr>
            </w:r>
            <w:r>
              <w:rPr>
                <w:rFonts w:ascii="宋體-繁" w:hAnsi="宋體-繁" w:eastAsia="宋體-繁" w:cs="宋體-繁"/>
                <w:b/>
                <w:bCs/>
              </w:rPr>
              <w:tab/>
            </w:r>
            <w:r>
              <w:rPr>
                <w:rFonts w:ascii="宋體-繁" w:hAnsi="宋體-繁" w:eastAsia="宋體-繁" w:cs="宋體-繁"/>
                <w:b/>
                <w:bCs/>
              </w:rPr>
              <w:fldChar w:fldCharType="begin"/>
              <w:instrText xml:space="preserve">PAGEREF _Toc21 \h</w:instrText>
              <w:fldChar w:fldCharType="separate"/>
            </w:r>
            <w:r>
              <w:rPr>
                <w:rFonts w:ascii="宋體-繁" w:hAnsi="宋體-繁" w:eastAsia="宋體-繁" w:cs="宋體-繁"/>
                <w:b/>
                <w:bCs/>
              </w:rPr>
              <w:t xml:space="preserve">15</w:t>
            </w:r>
            <w:r>
              <w:rPr>
                <w:rFonts w:ascii="宋體-繁" w:hAnsi="宋體-繁" w:eastAsia="宋體-繁" w:cs="宋體-繁"/>
                <w:b/>
                <w:bCs/>
              </w:rPr>
            </w:r>
            <w:r>
              <w:rPr>
                <w:rFonts w:ascii="宋體-繁" w:hAnsi="宋體-繁" w:eastAsia="宋體-繁" w:cs="宋體-繁"/>
                <w:b/>
                <w:bCs/>
              </w:rPr>
              <w:fldChar w:fldCharType="end"/>
            </w:r>
          </w:hyperlink>
          <w:r>
            <w:rPr>
              <w:rFonts w:ascii="宋體-繁" w:hAnsi="宋體-繁" w:cs="宋體-繁"/>
              <w:b/>
              <w:bCs/>
            </w:rPr>
          </w:r>
          <w:r>
            <w:rPr>
              <w:rFonts w:ascii="宋體-繁" w:hAnsi="宋體-繁" w:cs="宋體-繁"/>
              <w:b/>
              <w:bCs/>
            </w:rPr>
          </w:r>
        </w:p>
        <w:p>
          <w:pPr>
            <w:pStyle w:val="1202"/>
            <w:pBdr/>
            <w:tabs>
              <w:tab w:val="left" w:leader="none" w:pos="1134"/>
              <w:tab w:val="right" w:leader="dot" w:pos="9689"/>
            </w:tabs>
            <w:spacing/>
            <w:ind/>
            <w:rPr>
              <w:rFonts w:ascii="宋體-繁" w:hAnsi="宋體-繁" w:cs="宋體-繁"/>
              <w:b w:val="0"/>
              <w:bCs w:val="0"/>
            </w:rPr>
          </w:pPr>
          <w:r/>
          <w:hyperlink w:tooltip="#_Toc22" w:anchor="_Toc22" w:history="1">
            <w:r>
              <w:rPr>
                <w:rFonts w:ascii="宋體-繁" w:hAnsi="宋體-繁" w:eastAsia="宋體-繁" w:cs="宋體-繁"/>
                <w:b w:val="0"/>
                <w:bCs w:val="0"/>
              </w:rPr>
              <w:t xml:space="preserve">第一節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國家監察</w:t>
            </w:r>
            <w:r>
              <w:rPr>
                <w:rStyle w:val="1191"/>
                <w:rFonts w:ascii="宋體-繁" w:hAnsi="宋體-繁" w:eastAsia="宋體-繁" w:cs="宋體-繁"/>
                <w:b w:val="0"/>
                <w:bCs w:val="0"/>
              </w:rPr>
              <w:t xml:space="preserve">院</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_Toc22 \h</w:instrText>
              <w:fldChar w:fldCharType="separate"/>
            </w:r>
            <w:r>
              <w:rPr>
                <w:rFonts w:ascii="宋體-繁" w:hAnsi="宋體-繁" w:eastAsia="宋體-繁" w:cs="宋體-繁"/>
                <w:b w:val="0"/>
                <w:bCs w:val="0"/>
              </w:rPr>
              <w:t xml:space="preserve">15</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23" w:anchor="_Toc23" w:history="1">
            <w:r>
              <w:rPr>
                <w:rFonts w:ascii="宋體-繁" w:hAnsi="宋體-繁" w:eastAsia="宋體-繁" w:cs="宋體-繁"/>
                <w:b w:val="0"/>
                <w:bCs w:val="0"/>
              </w:rPr>
              <w:t xml:space="preserve">第二節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聯邦廉政署</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_Toc23 \h</w:instrText>
              <w:fldChar w:fldCharType="separate"/>
            </w:r>
            <w:r>
              <w:rPr>
                <w:rFonts w:ascii="宋體-繁" w:hAnsi="宋體-繁" w:eastAsia="宋體-繁" w:cs="宋體-繁"/>
                <w:b w:val="0"/>
                <w:bCs w:val="0"/>
              </w:rPr>
              <w:t xml:space="preserve">16</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24" w:anchor="_Toc24" w:history="1">
            <w:r>
              <w:rPr>
                <w:rFonts w:ascii="宋體-繁" w:hAnsi="宋體-繁" w:eastAsia="宋體-繁" w:cs="宋體-繁"/>
                <w:b w:val="0"/>
                <w:bCs w:val="0"/>
              </w:rPr>
              <w:t xml:space="preserve">第三節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聯邦審計署</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_Toc24 \h</w:instrText>
              <w:fldChar w:fldCharType="separate"/>
            </w:r>
            <w:r>
              <w:rPr>
                <w:rFonts w:ascii="宋體-繁" w:hAnsi="宋體-繁" w:eastAsia="宋體-繁" w:cs="宋體-繁"/>
                <w:b w:val="0"/>
                <w:bCs w:val="0"/>
              </w:rPr>
              <w:t xml:space="preserve">16</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25" w:anchor="_Toc25" w:history="1">
            <w:r>
              <w:rPr>
                <w:rFonts w:ascii="宋體-繁" w:hAnsi="宋體-繁" w:eastAsia="宋體-繁" w:cs="宋體-繁"/>
                <w:b w:val="0"/>
                <w:bCs w:val="0"/>
              </w:rPr>
              <w:t xml:space="preserve">第四節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聯邦調查</w:t>
            </w:r>
            <w:r>
              <w:rPr>
                <w:rStyle w:val="1191"/>
                <w:rFonts w:ascii="宋體-繁" w:hAnsi="宋體-繁" w:eastAsia="宋體-繁" w:cs="宋體-繁"/>
                <w:b w:val="0"/>
                <w:bCs w:val="0"/>
              </w:rPr>
              <w:t xml:space="preserve">署</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_Toc25 \h</w:instrText>
              <w:fldChar w:fldCharType="separate"/>
            </w:r>
            <w:r>
              <w:rPr>
                <w:rFonts w:ascii="宋體-繁" w:hAnsi="宋體-繁" w:eastAsia="宋體-繁" w:cs="宋體-繁"/>
                <w:b w:val="0"/>
                <w:bCs w:val="0"/>
              </w:rPr>
              <w:t xml:space="preserve">16</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26" w:anchor="_Toc26" w:history="1">
            <w:r>
              <w:rPr>
                <w:rFonts w:ascii="宋體-繁" w:hAnsi="宋體-繁" w:eastAsia="宋體-繁" w:cs="宋體-繁"/>
                <w:b w:val="0"/>
                <w:bCs w:val="0"/>
              </w:rPr>
              <w:t xml:space="preserve">第五節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省</w:t>
            </w:r>
            <w:r>
              <w:rPr>
                <w:rStyle w:val="1191"/>
                <w:rFonts w:ascii="宋體-繁" w:hAnsi="宋體-繁" w:eastAsia="宋體-繁" w:cs="宋體-繁"/>
                <w:b w:val="0"/>
                <w:bCs w:val="0"/>
                <w:lang w:eastAsia="zh-TW"/>
              </w:rPr>
              <w:t xml:space="preserve">監察</w:t>
            </w:r>
            <w:r>
              <w:rPr>
                <w:rStyle w:val="1191"/>
                <w:rFonts w:ascii="宋體-繁" w:hAnsi="宋體-繁" w:eastAsia="宋體-繁" w:cs="宋體-繁"/>
                <w:b w:val="0"/>
                <w:bCs w:val="0"/>
              </w:rPr>
              <w:t xml:space="preserve">院</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_Toc26 \h</w:instrText>
              <w:fldChar w:fldCharType="separate"/>
            </w:r>
            <w:r>
              <w:rPr>
                <w:rFonts w:ascii="宋體-繁" w:hAnsi="宋體-繁" w:eastAsia="宋體-繁" w:cs="宋體-繁"/>
                <w:b w:val="0"/>
                <w:bCs w:val="0"/>
              </w:rPr>
              <w:t xml:space="preserve">17</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27" w:anchor="_Toc27" w:history="1">
            <w:r>
              <w:rPr>
                <w:rFonts w:ascii="宋體-繁" w:hAnsi="宋體-繁" w:eastAsia="宋體-繁" w:cs="宋體-繁"/>
                <w:b w:val="0"/>
                <w:bCs w:val="0"/>
              </w:rPr>
              <w:t xml:space="preserve">第六節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市</w:t>
            </w:r>
            <w:r>
              <w:rPr>
                <w:rStyle w:val="1191"/>
                <w:rFonts w:ascii="宋體-繁" w:hAnsi="宋體-繁" w:eastAsia="宋體-繁" w:cs="宋體-繁"/>
                <w:b w:val="0"/>
                <w:bCs w:val="0"/>
                <w:lang w:eastAsia="zh-TW"/>
              </w:rPr>
              <w:t xml:space="preserve">監察</w:t>
            </w:r>
            <w:r>
              <w:rPr>
                <w:rStyle w:val="1191"/>
                <w:rFonts w:ascii="宋體-繁" w:hAnsi="宋體-繁" w:eastAsia="宋體-繁" w:cs="宋體-繁"/>
                <w:b w:val="0"/>
                <w:bCs w:val="0"/>
              </w:rPr>
              <w:t xml:space="preserve">院</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_Toc27 \h</w:instrText>
              <w:fldChar w:fldCharType="separate"/>
            </w:r>
            <w:r>
              <w:rPr>
                <w:rFonts w:ascii="宋體-繁" w:hAnsi="宋體-繁" w:eastAsia="宋體-繁" w:cs="宋體-繁"/>
                <w:b w:val="0"/>
                <w:bCs w:val="0"/>
              </w:rPr>
              <w:t xml:space="preserve">17</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1"/>
            <w:pBdr/>
            <w:tabs>
              <w:tab w:val="left" w:leader="none" w:pos="1134"/>
              <w:tab w:val="right" w:leader="dot" w:pos="9689"/>
            </w:tabs>
            <w:spacing/>
            <w:ind/>
            <w:rPr>
              <w:rFonts w:ascii="宋體-繁" w:hAnsi="宋體-繁" w:cs="宋體-繁"/>
              <w:b/>
              <w:bCs/>
            </w:rPr>
          </w:pPr>
          <w:r/>
          <w:hyperlink w:tooltip="#_Toc28" w:anchor="_Toc28" w:history="1">
            <w:r>
              <w:rPr>
                <w:rFonts w:ascii="宋體-繁" w:hAnsi="宋體-繁" w:eastAsia="宋體-繁" w:cs="宋體-繁"/>
                <w:b/>
                <w:bCs/>
              </w:rPr>
              <w:t xml:space="preserve">第六章</w:t>
            </w:r>
            <w:r>
              <w:rPr>
                <w:rStyle w:val="1191"/>
                <w:rFonts w:ascii="宋體-繁" w:hAnsi="宋體-繁" w:eastAsia="宋體-繁" w:cs="宋體-繁"/>
                <w:b/>
                <w:bCs/>
              </w:rPr>
              <w:t xml:space="preserve">   </w:t>
            </w:r>
            <w:r>
              <w:rPr>
                <w:rStyle w:val="1191"/>
                <w:rFonts w:ascii="宋體-繁" w:hAnsi="宋體-繁" w:eastAsia="宋體-繁" w:cs="宋體-繁"/>
                <w:b/>
                <w:bCs/>
              </w:rPr>
              <w:t xml:space="preserve">教委會</w:t>
            </w:r>
            <w:r>
              <w:rPr>
                <w:rStyle w:val="1191"/>
                <w:rFonts w:ascii="宋體-繁" w:hAnsi="宋體-繁" w:eastAsia="宋體-繁" w:cs="宋體-繁"/>
                <w:b/>
                <w:bCs/>
              </w:rPr>
            </w:r>
            <w:r>
              <w:rPr>
                <w:rFonts w:ascii="宋體-繁" w:hAnsi="宋體-繁" w:eastAsia="宋體-繁" w:cs="宋體-繁"/>
                <w:b/>
                <w:bCs/>
              </w:rPr>
              <w:tab/>
            </w:r>
            <w:r>
              <w:rPr>
                <w:rFonts w:ascii="宋體-繁" w:hAnsi="宋體-繁" w:eastAsia="宋體-繁" w:cs="宋體-繁"/>
                <w:b/>
                <w:bCs/>
              </w:rPr>
              <w:fldChar w:fldCharType="begin"/>
              <w:instrText xml:space="preserve">PAGEREF _Toc28 \h</w:instrText>
              <w:fldChar w:fldCharType="separate"/>
            </w:r>
            <w:r>
              <w:rPr>
                <w:rFonts w:ascii="宋體-繁" w:hAnsi="宋體-繁" w:eastAsia="宋體-繁" w:cs="宋體-繁"/>
                <w:b/>
                <w:bCs/>
              </w:rPr>
              <w:t xml:space="preserve">17</w:t>
            </w:r>
            <w:r>
              <w:rPr>
                <w:rFonts w:ascii="宋體-繁" w:hAnsi="宋體-繁" w:eastAsia="宋體-繁" w:cs="宋體-繁"/>
                <w:b/>
                <w:bCs/>
              </w:rPr>
            </w:r>
            <w:r>
              <w:rPr>
                <w:rFonts w:ascii="宋體-繁" w:hAnsi="宋體-繁" w:eastAsia="宋體-繁" w:cs="宋體-繁"/>
                <w:b/>
                <w:bCs/>
              </w:rPr>
              <w:fldChar w:fldCharType="end"/>
            </w:r>
          </w:hyperlink>
          <w:r>
            <w:rPr>
              <w:rFonts w:ascii="宋體-繁" w:hAnsi="宋體-繁" w:cs="宋體-繁"/>
              <w:b/>
              <w:bCs/>
            </w:rPr>
          </w:r>
          <w:r>
            <w:rPr>
              <w:rFonts w:ascii="宋體-繁" w:hAnsi="宋體-繁" w:cs="宋體-繁"/>
              <w:b/>
              <w:bCs/>
            </w:rPr>
          </w:r>
        </w:p>
        <w:p>
          <w:pPr>
            <w:pStyle w:val="1202"/>
            <w:pBdr/>
            <w:tabs>
              <w:tab w:val="left" w:leader="none" w:pos="1134"/>
              <w:tab w:val="right" w:leader="dot" w:pos="9689"/>
            </w:tabs>
            <w:spacing/>
            <w:ind/>
            <w:rPr>
              <w:rFonts w:ascii="宋體-繁" w:hAnsi="宋體-繁" w:cs="宋體-繁"/>
              <w:b w:val="0"/>
              <w:bCs w:val="0"/>
            </w:rPr>
          </w:pPr>
          <w:r/>
          <w:hyperlink w:tooltip="#_Toc29" w:anchor="_Toc29" w:history="1">
            <w:r>
              <w:rPr>
                <w:rFonts w:ascii="宋體-繁" w:hAnsi="宋體-繁" w:eastAsia="宋體-繁" w:cs="宋體-繁"/>
                <w:b w:val="0"/>
                <w:bCs w:val="0"/>
              </w:rPr>
              <w:t xml:space="preserve">第一節</w:t>
            </w:r>
            <w:r>
              <w:rPr>
                <w:rStyle w:val="1191"/>
                <w:rFonts w:ascii="宋體-繁" w:hAnsi="宋體-繁" w:eastAsia="宋體-繁" w:cs="宋體-繁"/>
                <w:b w:val="0"/>
                <w:bCs w:val="0"/>
              </w:rPr>
              <w:t xml:space="preserve">   </w:t>
            </w:r>
            <w:r>
              <w:rPr>
                <w:rStyle w:val="1191"/>
                <w:rFonts w:ascii="宋體-繁" w:hAnsi="宋體-繁" w:eastAsia="宋體-繁" w:cs="宋體-繁"/>
                <w:b w:val="0"/>
                <w:bCs w:val="0"/>
                <w:lang w:eastAsia="zh-TW"/>
              </w:rPr>
              <w:t xml:space="preserve">國家</w:t>
            </w:r>
            <w:r>
              <w:rPr>
                <w:rStyle w:val="1191"/>
                <w:rFonts w:ascii="宋體-繁" w:hAnsi="宋體-繁" w:eastAsia="宋體-繁" w:cs="宋體-繁"/>
                <w:b w:val="0"/>
                <w:bCs w:val="0"/>
              </w:rPr>
              <w:t xml:space="preserve">教委會</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_Toc29 \h</w:instrText>
              <w:fldChar w:fldCharType="separate"/>
            </w:r>
            <w:r>
              <w:rPr>
                <w:rFonts w:ascii="宋體-繁" w:hAnsi="宋體-繁" w:eastAsia="宋體-繁" w:cs="宋體-繁"/>
                <w:b w:val="0"/>
                <w:bCs w:val="0"/>
              </w:rPr>
              <w:t xml:space="preserve">17</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30" w:anchor="_Toc30" w:history="1">
            <w:r>
              <w:rPr>
                <w:rFonts w:ascii="宋體-繁" w:hAnsi="宋體-繁" w:eastAsia="宋體-繁" w:cs="宋體-繁"/>
                <w:b w:val="0"/>
                <w:bCs w:val="0"/>
              </w:rPr>
              <w:t xml:space="preserve">第二節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市教委會</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_Toc30 \h</w:instrText>
              <w:fldChar w:fldCharType="separate"/>
            </w:r>
            <w:r>
              <w:rPr>
                <w:rFonts w:ascii="宋體-繁" w:hAnsi="宋體-繁" w:eastAsia="宋體-繁" w:cs="宋體-繁"/>
                <w:b w:val="0"/>
                <w:bCs w:val="0"/>
              </w:rPr>
              <w:t xml:space="preserve">18</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31" w:anchor="_Toc31" w:history="1">
            <w:r>
              <w:rPr>
                <w:rFonts w:ascii="宋體-繁" w:hAnsi="宋體-繁" w:eastAsia="宋體-繁" w:cs="宋體-繁"/>
                <w:b w:val="0"/>
                <w:bCs w:val="0"/>
              </w:rPr>
              <w:t xml:space="preserve">第三節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校教委會</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_Toc31 \h</w:instrText>
              <w:fldChar w:fldCharType="separate"/>
            </w:r>
            <w:r>
              <w:rPr>
                <w:rFonts w:ascii="宋體-繁" w:hAnsi="宋體-繁" w:eastAsia="宋體-繁" w:cs="宋體-繁"/>
                <w:b w:val="0"/>
                <w:bCs w:val="0"/>
              </w:rPr>
              <w:t xml:space="preserve">18</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1"/>
            <w:pBdr/>
            <w:tabs>
              <w:tab w:val="left" w:leader="none" w:pos="1134"/>
              <w:tab w:val="right" w:leader="dot" w:pos="9689"/>
            </w:tabs>
            <w:spacing/>
            <w:ind/>
            <w:rPr>
              <w:rFonts w:ascii="宋體-繁" w:hAnsi="宋體-繁" w:cs="宋體-繁"/>
              <w:b/>
              <w:bCs/>
            </w:rPr>
          </w:pPr>
          <w:r/>
          <w:hyperlink w:tooltip="#_Toc32" w:anchor="_Toc32" w:history="1">
            <w:r>
              <w:rPr>
                <w:rFonts w:ascii="宋體-繁" w:hAnsi="宋體-繁" w:eastAsia="宋體-繁" w:cs="宋體-繁"/>
                <w:b/>
                <w:bCs/>
              </w:rPr>
              <w:t xml:space="preserve">第七章</w:t>
            </w:r>
            <w:r>
              <w:rPr>
                <w:rStyle w:val="1191"/>
                <w:rFonts w:ascii="宋體-繁" w:hAnsi="宋體-繁" w:eastAsia="宋體-繁" w:cs="宋體-繁"/>
                <w:b/>
                <w:bCs/>
              </w:rPr>
              <w:t xml:space="preserve">   </w:t>
            </w:r>
            <w:r>
              <w:rPr>
                <w:rStyle w:val="1191"/>
                <w:rFonts w:ascii="宋體-繁" w:hAnsi="宋體-繁" w:eastAsia="宋體-繁" w:cs="宋體-繁"/>
                <w:b/>
                <w:bCs/>
              </w:rPr>
              <w:t xml:space="preserve">儲委會</w:t>
            </w:r>
            <w:r>
              <w:rPr>
                <w:rStyle w:val="1191"/>
                <w:rFonts w:ascii="宋體-繁" w:hAnsi="宋體-繁" w:eastAsia="宋體-繁" w:cs="宋體-繁"/>
                <w:b/>
                <w:bCs/>
              </w:rPr>
            </w:r>
            <w:r>
              <w:rPr>
                <w:rFonts w:ascii="宋體-繁" w:hAnsi="宋體-繁" w:eastAsia="宋體-繁" w:cs="宋體-繁"/>
                <w:b/>
                <w:bCs/>
              </w:rPr>
              <w:tab/>
            </w:r>
            <w:r>
              <w:rPr>
                <w:rFonts w:ascii="宋體-繁" w:hAnsi="宋體-繁" w:eastAsia="宋體-繁" w:cs="宋體-繁"/>
                <w:b/>
                <w:bCs/>
              </w:rPr>
              <w:fldChar w:fldCharType="begin"/>
              <w:instrText xml:space="preserve">PAGEREF _Toc32 \h</w:instrText>
              <w:fldChar w:fldCharType="separate"/>
            </w:r>
            <w:r>
              <w:rPr>
                <w:rFonts w:ascii="宋體-繁" w:hAnsi="宋體-繁" w:eastAsia="宋體-繁" w:cs="宋體-繁"/>
                <w:b/>
                <w:bCs/>
              </w:rPr>
              <w:t xml:space="preserve">19</w:t>
            </w:r>
            <w:r>
              <w:rPr>
                <w:rFonts w:ascii="宋體-繁" w:hAnsi="宋體-繁" w:eastAsia="宋體-繁" w:cs="宋體-繁"/>
                <w:b/>
                <w:bCs/>
              </w:rPr>
            </w:r>
            <w:r>
              <w:rPr>
                <w:rFonts w:ascii="宋體-繁" w:hAnsi="宋體-繁" w:eastAsia="宋體-繁" w:cs="宋體-繁"/>
                <w:b/>
                <w:bCs/>
              </w:rPr>
              <w:fldChar w:fldCharType="end"/>
            </w:r>
          </w:hyperlink>
          <w:r>
            <w:rPr>
              <w:rFonts w:ascii="宋體-繁" w:hAnsi="宋體-繁" w:cs="宋體-繁"/>
              <w:b/>
              <w:bCs/>
            </w:rPr>
          </w:r>
          <w:r>
            <w:rPr>
              <w:rFonts w:ascii="宋體-繁" w:hAnsi="宋體-繁" w:cs="宋體-繁"/>
              <w:b/>
              <w:bCs/>
            </w:rPr>
          </w:r>
        </w:p>
        <w:p>
          <w:pPr>
            <w:pStyle w:val="1202"/>
            <w:pBdr/>
            <w:tabs>
              <w:tab w:val="left" w:leader="none" w:pos="1134"/>
              <w:tab w:val="right" w:leader="dot" w:pos="9689"/>
            </w:tabs>
            <w:spacing/>
            <w:ind/>
            <w:rPr>
              <w:rFonts w:ascii="宋體-繁" w:hAnsi="宋體-繁" w:cs="宋體-繁"/>
              <w:b w:val="0"/>
              <w:bCs w:val="0"/>
            </w:rPr>
          </w:pPr>
          <w:r/>
          <w:hyperlink w:tooltip="#_Toc33" w:anchor="_Toc33" w:history="1">
            <w:r>
              <w:rPr>
                <w:rFonts w:ascii="宋體-繁" w:hAnsi="宋體-繁" w:eastAsia="宋體-繁" w:cs="宋體-繁"/>
                <w:b w:val="0"/>
                <w:bCs w:val="0"/>
              </w:rPr>
              <w:t xml:space="preserve">第一節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儲委會聯合會議</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_Toc33 \h</w:instrText>
              <w:fldChar w:fldCharType="separate"/>
            </w:r>
            <w:r>
              <w:rPr>
                <w:rFonts w:ascii="宋體-繁" w:hAnsi="宋體-繁" w:eastAsia="宋體-繁" w:cs="宋體-繁"/>
                <w:b w:val="0"/>
                <w:bCs w:val="0"/>
              </w:rPr>
              <w:t xml:space="preserve">19</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34" w:anchor="_Toc34" w:history="1">
            <w:r>
              <w:rPr>
                <w:rFonts w:ascii="宋體-繁" w:hAnsi="宋體-繁" w:eastAsia="宋體-繁" w:cs="宋體-繁"/>
                <w:b w:val="0"/>
                <w:bCs w:val="0"/>
              </w:rPr>
              <w:t xml:space="preserve">第二節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國家儲備委員會</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_Toc34 \h</w:instrText>
              <w:fldChar w:fldCharType="separate"/>
            </w:r>
            <w:r>
              <w:rPr>
                <w:rFonts w:ascii="宋體-繁" w:hAnsi="宋體-繁" w:eastAsia="宋體-繁" w:cs="宋體-繁"/>
                <w:b w:val="0"/>
                <w:bCs w:val="0"/>
              </w:rPr>
              <w:t xml:space="preserve">19</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hyperlink w:tooltip="#_Toc35" w:anchor="_Toc35" w:history="1">
            <w:r>
              <w:rPr>
                <w:rFonts w:ascii="宋體-繁" w:hAnsi="宋體-繁" w:eastAsia="宋體-繁" w:cs="宋體-繁"/>
                <w:b w:val="0"/>
                <w:bCs w:val="0"/>
              </w:rPr>
              <w:t xml:space="preserve">第三節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省儲備委員會</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_Toc35 \h</w:instrText>
              <w:fldChar w:fldCharType="separate"/>
            </w:r>
            <w:r>
              <w:rPr>
                <w:rFonts w:ascii="宋體-繁" w:hAnsi="宋體-繁" w:eastAsia="宋體-繁" w:cs="宋體-繁"/>
                <w:b w:val="0"/>
                <w:bCs w:val="0"/>
              </w:rPr>
              <w:t xml:space="preserve">19</w:t>
            </w:r>
            <w:r>
              <w:rPr>
                <w:rFonts w:ascii="宋體-繁" w:hAnsi="宋體-繁" w:eastAsia="宋體-繁" w:cs="宋體-繁"/>
                <w:b w:val="0"/>
                <w:bCs w:val="0"/>
              </w:rPr>
            </w:r>
            <w:r>
              <w:rPr>
                <w:rFonts w:ascii="宋體-繁" w:hAnsi="宋體-繁" w:eastAsia="宋體-繁" w:cs="宋體-繁"/>
                <w:b w:val="0"/>
                <w:bCs w:val="0"/>
              </w:rPr>
              <w:fldChar w:fldCharType="end"/>
            </w:r>
          </w:hyperlink>
          <w:r>
            <w:rPr>
              <w:rFonts w:ascii="宋體-繁" w:hAnsi="宋體-繁" w:cs="宋體-繁"/>
              <w:b w:val="0"/>
              <w:bCs w:val="0"/>
            </w:rPr>
          </w:r>
          <w:r>
            <w:rPr>
              <w:rFonts w:ascii="宋體-繁" w:hAnsi="宋體-繁" w:cs="宋體-繁"/>
              <w:b w:val="0"/>
              <w:bCs w:val="0"/>
            </w:rPr>
          </w:r>
        </w:p>
        <w:p>
          <w:pPr>
            <w:pStyle w:val="1202"/>
            <w:pBdr/>
            <w:tabs>
              <w:tab w:val="left" w:leader="none" w:pos="1134"/>
              <w:tab w:val="right" w:leader="dot" w:pos="9689"/>
            </w:tabs>
            <w:spacing/>
            <w:ind/>
            <w:rPr>
              <w:rFonts w:ascii="宋體-繁" w:hAnsi="宋體-繁" w:cs="宋體-繁"/>
              <w:b w:val="0"/>
              <w:bCs w:val="0"/>
            </w:rPr>
          </w:pPr>
          <w:r>
            <w:rPr>
              <w:b w:val="0"/>
              <w:bCs w:val="0"/>
            </w:rPr>
          </w:r>
          <w:hyperlink w:tooltip="#_Toc36" w:anchor="_Toc36" w:history="1">
            <w:r>
              <w:rPr>
                <w:rFonts w:ascii="宋體-繁" w:hAnsi="宋體-繁" w:eastAsia="宋體-繁" w:cs="宋體-繁"/>
                <w:b w:val="0"/>
                <w:bCs w:val="0"/>
              </w:rPr>
              <w:t xml:space="preserve">第四節</w:t>
            </w:r>
            <w:r>
              <w:rPr>
                <w:rStyle w:val="1191"/>
                <w:rFonts w:ascii="宋體-繁" w:hAnsi="宋體-繁" w:eastAsia="宋體-繁" w:cs="宋體-繁"/>
                <w:b w:val="0"/>
                <w:bCs w:val="0"/>
              </w:rPr>
              <w:t xml:space="preserve">   </w:t>
            </w:r>
            <w:r>
              <w:rPr>
                <w:rStyle w:val="1191"/>
                <w:rFonts w:ascii="宋體-繁" w:hAnsi="宋體-繁" w:eastAsia="宋體-繁" w:cs="宋體-繁"/>
                <w:b w:val="0"/>
                <w:bCs w:val="0"/>
              </w:rPr>
              <w:t xml:space="preserve">公民儲備銀行</w:t>
            </w:r>
            <w:r>
              <w:rPr>
                <w:rStyle w:val="1191"/>
                <w:rFonts w:ascii="宋體-繁" w:hAnsi="宋體-繁" w:eastAsia="宋體-繁" w:cs="宋體-繁"/>
                <w:b w:val="0"/>
                <w:bCs w:val="0"/>
              </w:rPr>
            </w:r>
            <w:r>
              <w:rPr>
                <w:rFonts w:ascii="宋體-繁" w:hAnsi="宋體-繁" w:eastAsia="宋體-繁" w:cs="宋體-繁"/>
                <w:b w:val="0"/>
                <w:bCs w:val="0"/>
              </w:rPr>
              <w:tab/>
            </w:r>
            <w:r>
              <w:rPr>
                <w:rFonts w:ascii="宋體-繁" w:hAnsi="宋體-繁" w:eastAsia="宋體-繁" w:cs="宋體-繁"/>
                <w:b w:val="0"/>
                <w:bCs w:val="0"/>
              </w:rPr>
              <w:fldChar w:fldCharType="begin"/>
              <w:instrText xml:space="preserve">PAGEREF _Toc36 \h</w:instrText>
              <w:fldChar w:fldCharType="separate"/>
            </w:r>
            <w:r>
              <w:rPr>
                <w:rFonts w:ascii="宋體-繁" w:hAnsi="宋體-繁" w:eastAsia="宋體-繁" w:cs="宋體-繁"/>
                <w:b w:val="0"/>
                <w:bCs w:val="0"/>
              </w:rPr>
              <w:t xml:space="preserve">20</w:t>
            </w:r>
            <w:r>
              <w:rPr>
                <w:rFonts w:ascii="宋體-繁" w:hAnsi="宋體-繁" w:eastAsia="宋體-繁" w:cs="宋體-繁"/>
                <w:b w:val="0"/>
                <w:bCs w:val="0"/>
              </w:rPr>
            </w:r>
            <w:r>
              <w:rPr>
                <w:rFonts w:ascii="宋體-繁" w:hAnsi="宋體-繁" w:eastAsia="宋體-繁" w:cs="宋體-繁"/>
                <w:b w:val="0"/>
                <w:bCs w:val="0"/>
              </w:rPr>
              <w:fldChar w:fldCharType="end"/>
            </w:r>
          </w:hyperlink>
          <w:r>
            <w:rPr>
              <w:rStyle w:val="1184"/>
              <w:rFonts w:ascii="宋體-繁" w:hAnsi="宋體-繁" w:eastAsia="宋體-繁" w:cs="宋體-繁"/>
              <w:b w:val="0"/>
              <w:bCs w:val="0"/>
            </w:rPr>
            <w:fldChar w:fldCharType="end"/>
          </w:r>
          <w:r>
            <w:rPr>
              <w:rFonts w:ascii="宋體-繁" w:hAnsi="宋體-繁" w:cs="宋體-繁"/>
              <w:b w:val="0"/>
              <w:bCs w:val="0"/>
            </w:rPr>
          </w:r>
          <w:r>
            <w:rPr>
              <w:rFonts w:ascii="宋體-繁" w:hAnsi="宋體-繁" w:cs="宋體-繁"/>
              <w:b w:val="0"/>
              <w:bCs w:val="0"/>
            </w:rPr>
          </w:r>
        </w:p>
      </w:sdtContent>
    </w:sdt>
    <w:p>
      <w:pPr>
        <w:pStyle w:val="1203"/>
        <w:pBdr/>
        <w:spacing w:after="156" w:before="0" w:line="400" w:lineRule="exact"/>
        <w:ind w:firstLine="0" w:left="0"/>
        <w:jc w:val="left"/>
        <w:outlineLvl w:val="0"/>
        <w:rPr>
          <w:rFonts w:ascii="宋體-繁" w:hAnsi="宋體-繁" w:cs="宋體-繁"/>
        </w:rPr>
      </w:pPr>
      <w:r>
        <w:rPr>
          <w:highlight w:val="none"/>
        </w:rPr>
      </w:r>
      <w:r>
        <w:rPr>
          <w:highlight w:val="none"/>
        </w:rPr>
        <w:br w:type="page" w:clear="all"/>
      </w:r>
      <w:r>
        <w:rPr>
          <w:rFonts w:ascii="宋體-繁" w:hAnsi="宋體-繁" w:cs="宋體-繁"/>
        </w:rPr>
      </w:r>
      <w:bookmarkStart w:id="76" w:name="_Toc2"/>
      <w:r>
        <w:rPr>
          <w:rFonts w:ascii="宋體-繁" w:hAnsi="宋體-繁" w:eastAsia="宋體-繁" w:cs="宋體-繁"/>
        </w:rPr>
      </w:r>
      <w:bookmarkStart w:id="6" w:name="__RefHeading___Toc6991_4090689648"/>
      <w:r>
        <w:rPr>
          <w:rFonts w:ascii="宋體-繁" w:hAnsi="宋體-繁" w:eastAsia="宋體-繁" w:cs="宋體-繁"/>
        </w:rPr>
      </w:r>
      <w:bookmarkEnd w:id="6"/>
      <w:r>
        <w:rPr>
          <w:rFonts w:ascii="宋體-繁" w:hAnsi="宋體-繁" w:eastAsia="宋體-繁" w:cs="宋體-繁"/>
        </w:rPr>
      </w:r>
      <w:bookmarkEnd w:id="76"/>
      <w:r>
        <w:rPr>
          <w:rFonts w:ascii="宋體-繁" w:hAnsi="宋體-繁" w:cs="宋體-繁"/>
        </w:rPr>
      </w:r>
      <w:r>
        <w:rPr>
          <w:rFonts w:ascii="宋體-繁" w:hAnsi="宋體-繁" w:cs="宋體-繁"/>
        </w:rPr>
      </w:r>
    </w:p>
    <w:p>
      <w:pPr>
        <w:pStyle w:val="1203"/>
        <w:numPr>
          <w:ilvl w:val="0"/>
          <w:numId w:val="1"/>
        </w:numPr>
        <w:pBdr/>
        <w:spacing w:after="156" w:before="156" w:line="400" w:lineRule="exact"/>
        <w:ind/>
        <w:jc w:val="center"/>
        <w:outlineLvl w:val="0"/>
        <w:rPr>
          <w:rFonts w:ascii="宋體-繁" w:hAnsi="宋體-繁" w:cs="宋體-繁"/>
          <w:b/>
          <w:bCs/>
          <w:sz w:val="32"/>
          <w:szCs w:val="32"/>
        </w:rPr>
      </w:pPr>
      <w:r>
        <w:rPr>
          <w:rFonts w:ascii="宋體-繁" w:hAnsi="宋體-繁" w:eastAsia="宋體-繁" w:cs="宋體-繁"/>
          <w:b/>
          <w:bCs/>
          <w:sz w:val="32"/>
          <w:szCs w:val="32"/>
          <w:highlight w:val="none"/>
        </w:rPr>
      </w:r>
      <w:r>
        <w:rPr>
          <w:rFonts w:ascii="宋體-繁" w:hAnsi="宋體-繁" w:eastAsia="宋體-繁" w:cs="宋體-繁"/>
          <w:b/>
          <w:bCs/>
          <w:sz w:val="32"/>
          <w:szCs w:val="32"/>
          <w:highlight w:val="none"/>
        </w:rPr>
        <w:t xml:space="preserve">總則</w:t>
      </w:r>
      <w:r>
        <w:rPr>
          <w:rFonts w:ascii="宋體-繁" w:hAnsi="宋體-繁" w:cs="宋體-繁"/>
          <w:b/>
          <w:bCs/>
          <w:sz w:val="32"/>
          <w:szCs w:val="32"/>
        </w:rPr>
      </w:r>
      <w:r>
        <w:rPr>
          <w:rFonts w:ascii="宋體-繁" w:hAnsi="宋體-繁" w:cs="宋體-繁"/>
          <w:b/>
          <w:bCs/>
          <w:sz w:val="32"/>
          <w:szCs w:val="32"/>
        </w:rPr>
      </w:r>
    </w:p>
    <w:p>
      <w:pPr>
        <w:pStyle w:val="1203"/>
        <w:numPr>
          <w:ilvl w:val="0"/>
          <w:numId w:val="50"/>
        </w:numPr>
        <w:pBdr/>
        <w:tabs>
          <w:tab w:val="clear" w:leader="none" w:pos="210"/>
          <w:tab w:val="left" w:leader="none" w:pos="420"/>
        </w:tabs>
        <w:spacing w:after="0" w:before="156" w:line="300" w:lineRule="exact"/>
        <w:ind/>
        <w:outlineLvl w:val="1"/>
        <w:rPr>
          <w:rFonts w:ascii="宋體-繁" w:hAnsi="宋體-繁" w:cs="宋體-繁"/>
        </w:rPr>
      </w:pPr>
      <w:r/>
      <w:bookmarkStart w:id="77" w:name="_Toc3"/>
      <w:r>
        <w:rPr>
          <w:rFonts w:ascii="宋體-繁" w:hAnsi="宋體-繁" w:eastAsia="宋體-繁" w:cs="宋體-繁"/>
        </w:rPr>
      </w:r>
      <w:bookmarkStart w:id="8" w:name="__RefHeading___Toc6993_4090689648"/>
      <w:r>
        <w:rPr>
          <w:rFonts w:ascii="宋體-繁" w:hAnsi="宋體-繁" w:eastAsia="宋體-繁" w:cs="宋體-繁"/>
        </w:rPr>
      </w:r>
      <w:bookmarkEnd w:id="8"/>
      <w:r>
        <w:rPr>
          <w:rFonts w:ascii="宋體-繁" w:hAnsi="宋體-繁" w:eastAsia="宋體-繁" w:cs="宋體-繁"/>
          <w:b/>
          <w:color w:val="000000" w:themeColor="text1"/>
          <w:sz w:val="28"/>
          <w:szCs w:val="28"/>
          <w:lang w:eastAsia="zh-TW"/>
        </w:rPr>
        <w:t xml:space="preserve">國家的定義</w:t>
      </w:r>
      <w:r>
        <w:rPr>
          <w:rFonts w:ascii="宋體-繁" w:hAnsi="宋體-繁" w:eastAsia="宋體-繁" w:cs="宋體-繁"/>
        </w:rPr>
      </w:r>
      <w:bookmarkEnd w:id="77"/>
      <w:r>
        <w:rPr>
          <w:rFonts w:ascii="宋體-繁" w:hAnsi="宋體-繁" w:cs="宋體-繁"/>
        </w:rPr>
      </w:r>
      <w:r>
        <w:rPr>
          <w:rFonts w:ascii="宋體-繁" w:hAnsi="宋體-繁" w:cs="宋體-繁"/>
        </w:rPr>
      </w:r>
    </w:p>
    <w:p>
      <w:pPr>
        <w:pStyle w:val="1203"/>
        <w:numPr>
          <w:ilvl w:val="0"/>
          <w:numId w:val="51"/>
        </w:numPr>
        <w:pBdr/>
        <w:spacing w:after="156" w:before="0"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先有人類後有國家，是公民建立國家，國家是公民的國家，是公民治理國家，而不是國家統治公民，公民沒有愛國的義務；國家政權的建立其基本原則是保護公民的生命權、自由權、財產權、反抗壓迫權和選舉與被選舉權不受任何的非法侵犯，當國家政權無法保證這一基本原則時，公民有權有義務推翻這個政權，建立一個以保障公民生命權、自由權、財產權、反抗壓迫權和選舉與被選舉權為基本原則的政權。</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是生活在中華民族聯邦共和國領土上的所有公民，為了自由、民主、平等及和諧的生活而共同組建的國家，國家政權建立的根本目的是保障所有公民的合法權利不受侵犯，且對於公民的私權，法無禁止皆可為。</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中華民族聯邦共和國國家名稱是基於中華民族悠久歷史與璀璨文化的沈澱，全稱為：中華民族聯邦共和國，簡稱為：中華民國或中國，更改國家名稱必須由國家立法院以特別案表決通過。</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中華民族聯邦共和國國家格言為：我們自由、我們民主、我們正義、我們平等、我們求實、我們勤勞、我們包容，我們是人類的燈塔，加入我們吧！中華民族聯邦共和國致力於</w:t>
      </w:r>
      <w:r>
        <w:rPr>
          <w:rFonts w:ascii="宋體-繁" w:hAnsi="宋體-繁" w:eastAsia="宋體-繁" w:cs="宋體-繁"/>
          <w:color w:val="000000" w:themeColor="text1"/>
          <w:szCs w:val="21"/>
          <w:lang w:eastAsia="zh-TW"/>
        </w:rPr>
        <w:t xml:space="preserve">推行公民治理國家（民治）、實現民主共和（民主）、保障公民權利（民權）、建設民生社會（民生）和復興民族文化（民族）的「五民主義」</w:t>
      </w:r>
      <w:r>
        <w:rPr>
          <w:rFonts w:ascii="宋體-繁" w:hAnsi="宋體-繁" w:eastAsia="宋體-繁" w:cs="宋體-繁"/>
          <w:color w:val="000000" w:themeColor="text1"/>
          <w:szCs w:val="21"/>
          <w:lang w:eastAsia="zh-TW"/>
        </w:rPr>
        <w:t xml:space="preserve">。</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旗為紅地國土自由花，國歌為《中華民國頌》，國徽為金盾龍鳳大好河山，國家官方語言為漢語普通話，官方文字為漢語正體字，國家法定紙質貨幣爲紙質五民幣，法定數字貨幣爲數字五民幣。</w:t>
      </w:r>
      <w:r>
        <w:rPr>
          <w:rFonts w:ascii="宋體-繁" w:hAnsi="宋體-繁" w:cs="宋體-繁"/>
        </w:rPr>
      </w:r>
      <w:r>
        <w:rPr>
          <w:rFonts w:ascii="宋體-繁" w:hAnsi="宋體-繁" w:cs="宋體-繁"/>
        </w:rPr>
      </w:r>
    </w:p>
    <w:p>
      <w:pPr>
        <w:pStyle w:val="1203"/>
        <w:numPr>
          <w:ilvl w:val="0"/>
          <w:numId w:val="51"/>
        </w:numPr>
        <w:pBdr/>
        <w:spacing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中華民族聯邦共和國領土是固有的疆域，是全體公民賴以生存的家園，非經國家立法院以特別案表決通過的，不得減少任何領土；國家領土增加的，由國家立法院以重要案表決通過。</w:t>
      </w:r>
      <w:r>
        <w:rPr>
          <w:rFonts w:ascii="宋體-繁" w:hAnsi="宋體-繁" w:cs="宋體-繁"/>
        </w:rPr>
      </w:r>
      <w:r>
        <w:rPr>
          <w:rFonts w:ascii="宋體-繁" w:hAnsi="宋體-繁" w:cs="宋體-繁"/>
        </w:rPr>
      </w:r>
    </w:p>
    <w:p>
      <w:pPr>
        <w:pStyle w:val="1203"/>
        <w:numPr>
          <w:ilvl w:val="0"/>
          <w:numId w:val="52"/>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中華民族聯邦共和國領土包括但不限於土地、河流、湖泊、草原、沙漠、山川、戈壁、海域、空域、海外領土和星外領土等本國行使主權的任何區域。</w:t>
      </w:r>
      <w:r>
        <w:rPr>
          <w:rFonts w:ascii="宋體-繁" w:hAnsi="宋體-繁" w:cs="宋體-繁"/>
        </w:rPr>
      </w:r>
      <w:r>
        <w:rPr>
          <w:rFonts w:ascii="宋體-繁" w:hAnsi="宋體-繁" w:cs="宋體-繁"/>
        </w:rPr>
      </w:r>
    </w:p>
    <w:p>
      <w:pPr>
        <w:pStyle w:val="1203"/>
        <w:numPr>
          <w:ilvl w:val="0"/>
          <w:numId w:val="52"/>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中華民族聯邦共和國領土分為私有和公有兩種類型，私有類型的僅自然人或私法人所能擁有，公有類型的僅公法人所能擁有。</w:t>
      </w:r>
      <w:r>
        <w:rPr>
          <w:rFonts w:ascii="宋體-繁" w:hAnsi="宋體-繁" w:cs="宋體-繁"/>
        </w:rPr>
      </w:r>
      <w:r>
        <w:rPr>
          <w:rFonts w:ascii="宋體-繁" w:hAnsi="宋體-繁" w:cs="宋體-繁"/>
        </w:rPr>
      </w:r>
    </w:p>
    <w:p>
      <w:pPr>
        <w:pStyle w:val="1203"/>
        <w:numPr>
          <w:ilvl w:val="0"/>
          <w:numId w:val="52"/>
        </w:numPr>
        <w:pBdr/>
        <w:spacing w:after="156" w:before="0"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自然人、私法人或公法人取得領土所有權的，由本憲法授權聯邦立法院另立法規定。</w:t>
      </w:r>
      <w:r>
        <w:rPr>
          <w:rFonts w:ascii="宋體-繁" w:hAnsi="宋體-繁" w:cs="宋體-繁"/>
        </w:rPr>
      </w:r>
      <w:r>
        <w:rPr>
          <w:rFonts w:ascii="宋體-繁" w:hAnsi="宋體-繁" w:cs="宋體-繁"/>
        </w:rPr>
      </w:r>
    </w:p>
    <w:p>
      <w:pPr>
        <w:pStyle w:val="1203"/>
        <w:numPr>
          <w:ilvl w:val="0"/>
          <w:numId w:val="51"/>
        </w:numPr>
        <w:pBdr/>
        <w:spacing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中華民族聯邦共和國依憲法享有行政權、立法權、司法權、監察權、教育權、軍事權、外交權、鑄幣權和徵稅權等國家權力，簡稱國家公權或公權，行使公權的機構為國家公權機構，簡稱公權機構。</w:t>
      </w:r>
      <w:r>
        <w:rPr>
          <w:rFonts w:ascii="宋體-繁" w:hAnsi="宋體-繁" w:cs="宋體-繁"/>
        </w:rPr>
      </w:r>
      <w:r>
        <w:rPr>
          <w:rFonts w:ascii="宋體-繁" w:hAnsi="宋體-繁" w:cs="宋體-繁"/>
        </w:rPr>
      </w:r>
    </w:p>
    <w:p>
      <w:pPr>
        <w:pStyle w:val="1203"/>
        <w:numPr>
          <w:ilvl w:val="0"/>
          <w:numId w:val="53"/>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的所有權力均來自於公民的授權，公民通過本憲法及其所屬法律將權力賦予公權機構，行權由公權機構的法定代表人依法代表公權機構依法行權，公權機構的法定代表人可將其代表的權力依法授予其他公權機構和公職人員。</w:t>
      </w:r>
      <w:r>
        <w:rPr>
          <w:rFonts w:ascii="宋體-繁" w:hAnsi="宋體-繁" w:cs="宋體-繁"/>
        </w:rPr>
      </w:r>
      <w:r>
        <w:rPr>
          <w:rFonts w:ascii="宋體-繁" w:hAnsi="宋體-繁" w:cs="宋體-繁"/>
        </w:rPr>
      </w:r>
    </w:p>
    <w:p>
      <w:pPr>
        <w:pStyle w:val="1203"/>
        <w:numPr>
          <w:ilvl w:val="0"/>
          <w:numId w:val="53"/>
        </w:numPr>
        <w:pBdr/>
        <w:spacing w:after="156" w:before="0"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對於代表公權機構行使公權的公職人員，法無授權皆不可為，且任何機構任何人皆不得行使未經公民授權或授權未被公民所知曉及明白的公權。</w:t>
      </w:r>
      <w:r>
        <w:rPr>
          <w:rFonts w:ascii="宋體-繁" w:hAnsi="宋體-繁" w:cs="宋體-繁"/>
        </w:rPr>
      </w:r>
      <w:r>
        <w:rPr>
          <w:rFonts w:ascii="宋體-繁" w:hAnsi="宋體-繁" w:cs="宋體-繁"/>
        </w:rPr>
      </w:r>
    </w:p>
    <w:p>
      <w:pPr>
        <w:pStyle w:val="1203"/>
        <w:numPr>
          <w:ilvl w:val="0"/>
          <w:numId w:val="51"/>
        </w:numPr>
        <w:pBdr/>
        <w:spacing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的國家權力機構由「一府兩會三院」組成，「一府兩會三院」分別為政府、公民教育委員會、公民儲備委員會、立法院、司法院和監察院，「一府兩會三院」相互之間沒有隸屬關係，其職權獨立行使。</w:t>
      </w:r>
      <w:r>
        <w:rPr>
          <w:rFonts w:ascii="宋體-繁" w:hAnsi="宋體-繁" w:cs="宋體-繁"/>
        </w:rPr>
      </w:r>
      <w:r>
        <w:rPr>
          <w:rFonts w:ascii="宋體-繁" w:hAnsi="宋體-繁" w:cs="宋體-繁"/>
        </w:rPr>
      </w:r>
    </w:p>
    <w:p>
      <w:pPr>
        <w:pStyle w:val="1203"/>
        <w:numPr>
          <w:ilvl w:val="0"/>
          <w:numId w:val="54"/>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政府由聯邦政府和自治政府組成，聯邦政府分為國家聯邦政府和省聯邦政府，自治政府分為市自治政府和鎮自治政府，聯邦政府與自治政府之間沒有隸屬關係。</w:t>
      </w:r>
      <w:r>
        <w:rPr>
          <w:rFonts w:ascii="宋體-繁" w:hAnsi="宋體-繁" w:cs="宋體-繁"/>
        </w:rPr>
      </w:r>
      <w:r>
        <w:rPr>
          <w:rFonts w:ascii="宋體-繁" w:hAnsi="宋體-繁" w:cs="宋體-繁"/>
        </w:rPr>
      </w:r>
    </w:p>
    <w:p>
      <w:pPr>
        <w:pStyle w:val="1203"/>
        <w:numPr>
          <w:ilvl w:val="0"/>
          <w:numId w:val="54"/>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聯邦政府即總統府，省聯邦政府簡稱省政府，省政府是總統府派駐省級行政區的聯邦政府機構，省政府隸屬於總統府。市自治政府簡稱市政府，市政府是市級行政區的自治政府機構；鎮自治政府簡稱鎮政府，鎮政府是市政府派駐鎮級行政區的自治政府機構。</w:t>
      </w:r>
      <w:r>
        <w:rPr>
          <w:rFonts w:ascii="宋體-繁" w:hAnsi="宋體-繁" w:cs="宋體-繁"/>
        </w:rPr>
      </w:r>
      <w:r>
        <w:rPr>
          <w:rFonts w:ascii="宋體-繁" w:hAnsi="宋體-繁" w:cs="宋體-繁"/>
        </w:rPr>
      </w:r>
    </w:p>
    <w:p>
      <w:pPr>
        <w:pStyle w:val="1203"/>
        <w:numPr>
          <w:ilvl w:val="0"/>
          <w:numId w:val="54"/>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公民教育委員會簡稱教委會，教委會由國家教委會、市教委會和校教委會組成，市教委會為市級行政區的教育權行權機構，市教委會與國家教委會之間沒有隸屬關係；校教委會為各初學、小學、中學和大學的教育權行權機構。</w:t>
      </w:r>
      <w:r>
        <w:rPr>
          <w:rFonts w:ascii="宋體-繁" w:hAnsi="宋體-繁" w:cs="宋體-繁"/>
        </w:rPr>
      </w:r>
      <w:r>
        <w:rPr>
          <w:rFonts w:ascii="宋體-繁" w:hAnsi="宋體-繁" w:cs="宋體-繁"/>
        </w:rPr>
      </w:r>
    </w:p>
    <w:p>
      <w:pPr>
        <w:pStyle w:val="1203"/>
        <w:numPr>
          <w:ilvl w:val="0"/>
          <w:numId w:val="54"/>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公民儲備委員會簡稱儲委會，儲委會由國家儲備委員會、省儲備委員會和公民儲備銀行組成，國家儲備委員會、省儲備委員會和公民儲備銀行三者相互之間沒有隸屬關係，公民儲備委員會的最高決策機構為公民儲備委員會聯合會議。</w:t>
      </w:r>
      <w:r>
        <w:rPr>
          <w:rFonts w:ascii="宋體-繁" w:hAnsi="宋體-繁" w:cs="宋體-繁"/>
        </w:rPr>
      </w:r>
      <w:r>
        <w:rPr>
          <w:rFonts w:ascii="宋體-繁" w:hAnsi="宋體-繁" w:cs="宋體-繁"/>
        </w:rPr>
      </w:r>
    </w:p>
    <w:p>
      <w:pPr>
        <w:pStyle w:val="1203"/>
        <w:numPr>
          <w:ilvl w:val="0"/>
          <w:numId w:val="54"/>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立法院由聯邦立法院和市公民立法委員會組成，聯邦立法院分為國家立法院和省立法院，省立法院隸屬於國家立法院；市公民立法委員會簡稱市立法會，市立法會為市級行政區的立法機構，市立法會與聯邦立法院之間沒有隸屬關係。</w:t>
      </w:r>
      <w:r>
        <w:rPr>
          <w:rFonts w:ascii="宋體-繁" w:hAnsi="宋體-繁" w:cs="宋體-繁"/>
        </w:rPr>
      </w:r>
      <w:r>
        <w:rPr>
          <w:rFonts w:ascii="宋體-繁" w:hAnsi="宋體-繁" w:cs="宋體-繁"/>
        </w:rPr>
      </w:r>
    </w:p>
    <w:p>
      <w:pPr>
        <w:pStyle w:val="1203"/>
        <w:numPr>
          <w:ilvl w:val="0"/>
          <w:numId w:val="54"/>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司法院由聯邦司法院和市司法院組成，聯邦司法院分為國家司法院和省司法院，省司法院隸屬於國家司法院；市司法院為市級行政區的司法機構，市司法院與聯邦司法院之間沒有隸屬關係。</w:t>
      </w:r>
      <w:r>
        <w:rPr>
          <w:rFonts w:ascii="宋體-繁" w:hAnsi="宋體-繁" w:cs="宋體-繁"/>
        </w:rPr>
      </w:r>
      <w:r>
        <w:rPr>
          <w:rFonts w:ascii="宋體-繁" w:hAnsi="宋體-繁" w:cs="宋體-繁"/>
        </w:rPr>
      </w:r>
    </w:p>
    <w:p>
      <w:pPr>
        <w:pStyle w:val="1203"/>
        <w:numPr>
          <w:ilvl w:val="0"/>
          <w:numId w:val="54"/>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監察院由聯邦監察院和市監察院組成，聯邦監察院分為國家監察院和省監察院，省監察院隸屬於國家監察院；市監察院為市級行政區的監察機構，市監察院與聯邦監察院之間沒有隸屬關係。</w:t>
      </w:r>
      <w:r>
        <w:rPr>
          <w:rFonts w:ascii="宋體-繁" w:hAnsi="宋體-繁" w:cs="宋體-繁"/>
        </w:rPr>
      </w:r>
      <w:r>
        <w:rPr>
          <w:rFonts w:ascii="宋體-繁" w:hAnsi="宋體-繁" w:cs="宋體-繁"/>
        </w:rPr>
      </w:r>
    </w:p>
    <w:p>
      <w:pPr>
        <w:pStyle w:val="1203"/>
        <w:numPr>
          <w:ilvl w:val="0"/>
          <w:numId w:val="54"/>
        </w:numPr>
        <w:pBdr/>
        <w:spacing w:after="156" w:before="0"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中華民族聯邦共和國總統府、國家立法院、國家司法院、國家監察院、國家教委會及國家防務部住址設於中樞省，中華民族聯邦共和國公民儲備委員會住址設於嶺南省。</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聯邦政府，是國家行政權和徵稅權的最高行權機構，是軍事權和外交權的唯一行權機構，國家聯邦政府的軍事權、外交權、行政權和徵稅權由憲法賦予；省級行政區沒有軍事權和外交權，省級行政區的行政權和徵稅權由總統府授予省政府；市級行政區沒有軍事權和外交權，市級行政區的行政權和徵稅權由憲法賦予市政府。</w:t>
      </w:r>
      <w:r>
        <w:rPr>
          <w:rFonts w:ascii="宋體-繁" w:hAnsi="宋體-繁" w:cs="宋體-繁"/>
        </w:rPr>
      </w:r>
      <w:r>
        <w:rPr>
          <w:rFonts w:ascii="宋體-繁" w:hAnsi="宋體-繁" w:cs="宋體-繁"/>
        </w:rPr>
      </w:r>
    </w:p>
    <w:p>
      <w:pPr>
        <w:pStyle w:val="1203"/>
        <w:numPr>
          <w:ilvl w:val="0"/>
          <w:numId w:val="51"/>
        </w:numPr>
        <w:pBdr/>
        <w:spacing w:line="300" w:lineRule="exact"/>
        <w:ind w:hanging="735" w:left="73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中華民族聯邦共和國國家教委會是國家教育權的最高行權機構，國家教委會的教育權由憲法賦予；市級行政區擁有教育權，市級行政區的教育權由憲法賦予市教委會。</w:t>
      </w:r>
      <w:r>
        <w:rPr>
          <w:rFonts w:ascii="宋體-繁" w:hAnsi="宋體-繁" w:cs="宋體-繁"/>
        </w:rPr>
      </w:r>
      <w:r>
        <w:rPr>
          <w:rFonts w:ascii="宋體-繁" w:hAnsi="宋體-繁" w:cs="宋體-繁"/>
        </w:rPr>
      </w:r>
    </w:p>
    <w:p>
      <w:pPr>
        <w:pStyle w:val="1203"/>
        <w:numPr>
          <w:ilvl w:val="0"/>
          <w:numId w:val="55"/>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國家教委會負責所有教育類法案草案的起草與初審和全權負責中學、小學和初學教育內容的制訂，大學的教育管理制度和教學內容由各大學自行制訂。</w:t>
      </w:r>
      <w:r>
        <w:rPr>
          <w:rFonts w:ascii="宋體-繁" w:hAnsi="宋體-繁" w:cs="宋體-繁"/>
        </w:rPr>
      </w:r>
      <w:r>
        <w:rPr>
          <w:rFonts w:ascii="宋體-繁" w:hAnsi="宋體-繁" w:cs="宋體-繁"/>
        </w:rPr>
      </w:r>
    </w:p>
    <w:p>
      <w:pPr>
        <w:pStyle w:val="1203"/>
        <w:numPr>
          <w:ilvl w:val="0"/>
          <w:numId w:val="55"/>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國家教委會現任委員總數不得超過</w:t>
      </w:r>
      <w:r>
        <w:rPr>
          <w:rFonts w:ascii="宋體-繁" w:hAnsi="宋體-繁" w:eastAsia="宋體-繁" w:cs="宋體-繁"/>
          <w:color w:val="000000" w:themeColor="text1"/>
          <w:szCs w:val="21"/>
          <w:lang w:eastAsia="zh-TW"/>
        </w:rPr>
        <w:t xml:space="preserve">155</w:t>
      </w:r>
      <w:r>
        <w:rPr>
          <w:rFonts w:ascii="宋體-繁" w:hAnsi="宋體-繁" w:eastAsia="宋體-繁" w:cs="宋體-繁"/>
          <w:color w:val="000000" w:themeColor="text1"/>
          <w:szCs w:val="21"/>
          <w:lang w:eastAsia="zh-TW"/>
        </w:rPr>
        <w:t xml:space="preserve">人，不得少於</w:t>
      </w:r>
      <w:r>
        <w:rPr>
          <w:rFonts w:ascii="宋體-繁" w:hAnsi="宋體-繁" w:eastAsia="宋體-繁" w:cs="宋體-繁"/>
          <w:color w:val="000000" w:themeColor="text1"/>
          <w:szCs w:val="21"/>
          <w:lang w:eastAsia="zh-TW"/>
        </w:rPr>
        <w:t xml:space="preserve">105</w:t>
      </w:r>
      <w:r>
        <w:rPr>
          <w:rFonts w:ascii="宋體-繁" w:hAnsi="宋體-繁" w:eastAsia="宋體-繁" w:cs="宋體-繁"/>
          <w:color w:val="000000" w:themeColor="text1"/>
          <w:szCs w:val="21"/>
          <w:lang w:eastAsia="zh-TW"/>
        </w:rPr>
        <w:t xml:space="preserve">人，分別由各省級行政區和各大學聯盟選舉產生；每個省級行政區限選舉產生</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名國家教委會委員，大學聯盟選舉產生的國家教委會委員總數不得超過</w:t>
      </w:r>
      <w:r>
        <w:rPr>
          <w:rFonts w:ascii="宋體-繁" w:hAnsi="宋體-繁" w:eastAsia="宋體-繁" w:cs="宋體-繁"/>
          <w:color w:val="000000" w:themeColor="text1"/>
          <w:szCs w:val="21"/>
          <w:lang w:eastAsia="zh-TW"/>
        </w:rPr>
        <w:t xml:space="preserve">55</w:t>
      </w:r>
      <w:r>
        <w:rPr>
          <w:rFonts w:ascii="宋體-繁" w:hAnsi="宋體-繁" w:eastAsia="宋體-繁" w:cs="宋體-繁"/>
          <w:color w:val="000000" w:themeColor="text1"/>
          <w:szCs w:val="21"/>
          <w:lang w:eastAsia="zh-TW"/>
        </w:rPr>
        <w:t xml:space="preserve">人，不得少於</w:t>
      </w:r>
      <w:r>
        <w:rPr>
          <w:rFonts w:ascii="宋體-繁" w:hAnsi="宋體-繁" w:eastAsia="宋體-繁" w:cs="宋體-繁"/>
          <w:color w:val="000000" w:themeColor="text1"/>
          <w:szCs w:val="21"/>
          <w:lang w:eastAsia="zh-TW"/>
        </w:rPr>
        <w:t xml:space="preserve">35</w:t>
      </w:r>
      <w:r>
        <w:rPr>
          <w:rFonts w:ascii="宋體-繁" w:hAnsi="宋體-繁" w:eastAsia="宋體-繁" w:cs="宋體-繁"/>
          <w:color w:val="000000" w:themeColor="text1"/>
          <w:szCs w:val="21"/>
          <w:lang w:eastAsia="zh-TW"/>
        </w:rPr>
        <w:t xml:space="preserve">人。</w:t>
      </w:r>
      <w:r>
        <w:rPr>
          <w:rFonts w:ascii="宋體-繁" w:hAnsi="宋體-繁" w:cs="宋體-繁"/>
        </w:rPr>
      </w:r>
      <w:r>
        <w:rPr>
          <w:rFonts w:ascii="宋體-繁" w:hAnsi="宋體-繁" w:cs="宋體-繁"/>
        </w:rPr>
      </w:r>
    </w:p>
    <w:p>
      <w:pPr>
        <w:pStyle w:val="1203"/>
        <w:numPr>
          <w:ilvl w:val="0"/>
          <w:numId w:val="55"/>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國家教委會委員中，由大學聯盟選舉產生的大學歷史學教授、教育學教授、法學教授和哲學教授委員各不得少於</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名，由省級行政區選舉產生的中學、小學和初學教師委員各不得少於</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名。</w:t>
      </w:r>
      <w:r>
        <w:rPr>
          <w:rFonts w:ascii="宋體-繁" w:hAnsi="宋體-繁" w:cs="宋體-繁"/>
        </w:rPr>
      </w:r>
      <w:r>
        <w:rPr>
          <w:rFonts w:ascii="宋體-繁" w:hAnsi="宋體-繁" w:cs="宋體-繁"/>
        </w:rPr>
      </w:r>
    </w:p>
    <w:p>
      <w:pPr>
        <w:pStyle w:val="1203"/>
        <w:numPr>
          <w:ilvl w:val="0"/>
          <w:numId w:val="55"/>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中華民族聯邦共和國實行</w:t>
      </w:r>
      <w:r>
        <w:rPr>
          <w:rFonts w:ascii="宋體-繁" w:hAnsi="宋體-繁" w:eastAsia="宋體-繁" w:cs="宋體-繁"/>
          <w:color w:val="000000" w:themeColor="text1"/>
          <w:szCs w:val="21"/>
          <w:lang w:eastAsia="zh-TW"/>
        </w:rPr>
        <w:t xml:space="preserve">12</w:t>
      </w:r>
      <w:r>
        <w:rPr>
          <w:rFonts w:ascii="宋體-繁" w:hAnsi="宋體-繁" w:eastAsia="宋體-繁" w:cs="宋體-繁"/>
          <w:color w:val="000000" w:themeColor="text1"/>
          <w:szCs w:val="21"/>
          <w:lang w:eastAsia="zh-TW"/>
        </w:rPr>
        <w:t xml:space="preserve">年制義務教育，</w:t>
      </w:r>
      <w:r>
        <w:rPr>
          <w:rFonts w:ascii="宋體-繁" w:hAnsi="宋體-繁" w:eastAsia="宋體-繁" w:cs="宋體-繁"/>
          <w:color w:val="000000" w:themeColor="text1"/>
          <w:szCs w:val="21"/>
          <w:lang w:eastAsia="zh-TW"/>
        </w:rPr>
        <w:t xml:space="preserve">12</w:t>
      </w:r>
      <w:r>
        <w:rPr>
          <w:rFonts w:ascii="宋體-繁" w:hAnsi="宋體-繁" w:eastAsia="宋體-繁" w:cs="宋體-繁"/>
          <w:color w:val="000000" w:themeColor="text1"/>
          <w:szCs w:val="21"/>
          <w:lang w:eastAsia="zh-TW"/>
        </w:rPr>
        <w:t xml:space="preserve">年義務教育由初學</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年、小學</w:t>
      </w:r>
      <w:r>
        <w:rPr>
          <w:rFonts w:ascii="宋體-繁" w:hAnsi="宋體-繁" w:eastAsia="宋體-繁" w:cs="宋體-繁"/>
          <w:color w:val="000000" w:themeColor="text1"/>
          <w:szCs w:val="21"/>
          <w:lang w:eastAsia="zh-TW"/>
        </w:rPr>
        <w:t xml:space="preserve">4</w:t>
      </w:r>
      <w:r>
        <w:rPr>
          <w:rFonts w:ascii="宋體-繁" w:hAnsi="宋體-繁" w:eastAsia="宋體-繁" w:cs="宋體-繁"/>
          <w:color w:val="000000" w:themeColor="text1"/>
          <w:szCs w:val="21"/>
          <w:lang w:eastAsia="zh-TW"/>
        </w:rPr>
        <w:t xml:space="preserve">年、中學</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年組成，公民完成</w:t>
      </w:r>
      <w:r>
        <w:rPr>
          <w:rFonts w:ascii="宋體-繁" w:hAnsi="宋體-繁" w:eastAsia="宋體-繁" w:cs="宋體-繁"/>
          <w:color w:val="000000" w:themeColor="text1"/>
          <w:szCs w:val="21"/>
          <w:lang w:eastAsia="zh-TW"/>
        </w:rPr>
        <w:t xml:space="preserve">12</w:t>
      </w:r>
      <w:r>
        <w:rPr>
          <w:rFonts w:ascii="宋體-繁" w:hAnsi="宋體-繁" w:eastAsia="宋體-繁" w:cs="宋體-繁"/>
          <w:color w:val="000000" w:themeColor="text1"/>
          <w:szCs w:val="21"/>
          <w:lang w:eastAsia="zh-TW"/>
        </w:rPr>
        <w:t xml:space="preserve">年義務教育後，可選擇休學或進入大學教育階段，大學教育階段由學士教育、碩士教育和博士教育組成。</w:t>
      </w:r>
      <w:r>
        <w:rPr>
          <w:rFonts w:ascii="宋體-繁" w:hAnsi="宋體-繁" w:cs="宋體-繁"/>
        </w:rPr>
      </w:r>
      <w:r>
        <w:rPr>
          <w:rFonts w:ascii="宋體-繁" w:hAnsi="宋體-繁" w:cs="宋體-繁"/>
        </w:rPr>
      </w:r>
    </w:p>
    <w:p>
      <w:pPr>
        <w:pStyle w:val="1203"/>
        <w:numPr>
          <w:ilvl w:val="0"/>
          <w:numId w:val="55"/>
        </w:numPr>
        <w:pBdr/>
        <w:spacing w:after="156" w:before="0"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中華民族聯邦共和國義務教育階段，國語為必修語言，中學義務教育階段，社會學、司法學和歷史學為必修課程。</w:t>
      </w:r>
      <w:r>
        <w:rPr>
          <w:rFonts w:ascii="宋體-繁" w:hAnsi="宋體-繁" w:cs="宋體-繁"/>
        </w:rPr>
      </w:r>
      <w:r>
        <w:rPr>
          <w:rFonts w:ascii="宋體-繁" w:hAnsi="宋體-繁" w:cs="宋體-繁"/>
        </w:rPr>
      </w:r>
    </w:p>
    <w:p>
      <w:pPr>
        <w:pStyle w:val="1203"/>
        <w:numPr>
          <w:ilvl w:val="0"/>
          <w:numId w:val="51"/>
        </w:numPr>
        <w:pBdr/>
        <w:spacing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公民儲備委員會是鑄幣權的最高行權機構，公民儲備委員會的鑄幣權由憲法賦予；中華民族聯邦共和國國家儲備委員會是國家鑄幣權的行權機構，國家儲備委員會的鑄幣權由憲法賦予；省級行政區擁有鑄幣權，省級行政區的鑄幣權由憲法賦予省儲備委員會。</w:t>
      </w:r>
      <w:r>
        <w:rPr>
          <w:rFonts w:ascii="宋體-繁" w:hAnsi="宋體-繁" w:cs="宋體-繁"/>
        </w:rPr>
      </w:r>
      <w:r>
        <w:rPr>
          <w:rFonts w:ascii="宋體-繁" w:hAnsi="宋體-繁" w:cs="宋體-繁"/>
        </w:rPr>
      </w:r>
    </w:p>
    <w:p>
      <w:pPr>
        <w:pStyle w:val="1203"/>
        <w:numPr>
          <w:ilvl w:val="0"/>
          <w:numId w:val="56"/>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公民儲備委員會設主席職位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個，由公民儲備委員會委員互選產生，國家儲備委員會主席和副主席、國家儲備委員會委員和省儲備委員會主席為公民儲備委員會委員。</w:t>
      </w:r>
      <w:r>
        <w:rPr>
          <w:rFonts w:ascii="宋體-繁" w:hAnsi="宋體-繁" w:cs="宋體-繁"/>
        </w:rPr>
      </w:r>
      <w:r>
        <w:rPr>
          <w:rFonts w:ascii="宋體-繁" w:hAnsi="宋體-繁" w:cs="宋體-繁"/>
        </w:rPr>
      </w:r>
    </w:p>
    <w:p>
      <w:pPr>
        <w:pStyle w:val="1203"/>
        <w:numPr>
          <w:ilvl w:val="0"/>
          <w:numId w:val="56"/>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國家儲備委員會、省儲備委員會和公民儲備銀行在公民儲備委員會的領導下依法制訂和執行貨幣政策、依法發行貨幣、依法監管金融市場和依法管理支付、清算和結算事務。</w:t>
      </w:r>
      <w:r>
        <w:rPr>
          <w:rFonts w:ascii="宋體-繁" w:hAnsi="宋體-繁" w:cs="宋體-繁"/>
        </w:rPr>
      </w:r>
      <w:r>
        <w:rPr>
          <w:rFonts w:ascii="宋體-繁" w:hAnsi="宋體-繁" w:cs="宋體-繁"/>
        </w:rPr>
      </w:r>
    </w:p>
    <w:p>
      <w:pPr>
        <w:pStyle w:val="1203"/>
        <w:numPr>
          <w:ilvl w:val="0"/>
          <w:numId w:val="56"/>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國家儲備委員會由</w:t>
      </w:r>
      <w:r>
        <w:rPr>
          <w:rFonts w:ascii="宋體-繁" w:hAnsi="宋體-繁" w:eastAsia="宋體-繁" w:cs="宋體-繁"/>
          <w:color w:val="000000" w:themeColor="text1"/>
          <w:szCs w:val="21"/>
          <w:lang w:eastAsia="zh-TW"/>
        </w:rPr>
        <w:t xml:space="preserve">19</w:t>
      </w:r>
      <w:r>
        <w:rPr>
          <w:rFonts w:ascii="宋體-繁" w:hAnsi="宋體-繁" w:eastAsia="宋體-繁" w:cs="宋體-繁"/>
          <w:color w:val="000000" w:themeColor="text1"/>
          <w:szCs w:val="21"/>
          <w:lang w:eastAsia="zh-TW"/>
        </w:rPr>
        <w:t xml:space="preserve">名委員組成，且同時在職的委員不得少於</w:t>
      </w:r>
      <w:r>
        <w:rPr>
          <w:rFonts w:ascii="宋體-繁" w:hAnsi="宋體-繁" w:eastAsia="宋體-繁" w:cs="宋體-繁"/>
          <w:color w:val="000000" w:themeColor="text1"/>
          <w:szCs w:val="21"/>
          <w:lang w:eastAsia="zh-TW"/>
        </w:rPr>
        <w:t xml:space="preserve">15</w:t>
      </w:r>
      <w:r>
        <w:rPr>
          <w:rFonts w:ascii="宋體-繁" w:hAnsi="宋體-繁" w:eastAsia="宋體-繁" w:cs="宋體-繁"/>
          <w:color w:val="000000" w:themeColor="text1"/>
          <w:szCs w:val="21"/>
          <w:lang w:eastAsia="zh-TW"/>
        </w:rPr>
        <w:t xml:space="preserve">人，國家儲備委員會委員每屆任期</w:t>
      </w:r>
      <w:r>
        <w:rPr>
          <w:rFonts w:ascii="宋體-繁" w:hAnsi="宋體-繁" w:eastAsia="宋體-繁" w:cs="宋體-繁"/>
          <w:color w:val="000000" w:themeColor="text1"/>
          <w:szCs w:val="21"/>
          <w:lang w:eastAsia="zh-TW"/>
        </w:rPr>
        <w:t xml:space="preserve">15</w:t>
      </w:r>
      <w:r>
        <w:rPr>
          <w:rFonts w:ascii="宋體-繁" w:hAnsi="宋體-繁" w:eastAsia="宋體-繁" w:cs="宋體-繁"/>
          <w:color w:val="000000" w:themeColor="text1"/>
          <w:szCs w:val="21"/>
          <w:lang w:eastAsia="zh-TW"/>
        </w:rPr>
        <w:t xml:space="preserve">年，不得連任，不得兼任第二職業；國家儲備委員會委員必須由總統提名，且非經國家參議會以重要案表決通過的，國家儲備委員會委員不得被免職。</w:t>
      </w:r>
      <w:r>
        <w:rPr>
          <w:rFonts w:ascii="宋體-繁" w:hAnsi="宋體-繁" w:cs="宋體-繁"/>
        </w:rPr>
      </w:r>
      <w:r>
        <w:rPr>
          <w:rFonts w:ascii="宋體-繁" w:hAnsi="宋體-繁" w:cs="宋體-繁"/>
        </w:rPr>
      </w:r>
    </w:p>
    <w:p>
      <w:pPr>
        <w:pStyle w:val="1203"/>
        <w:numPr>
          <w:ilvl w:val="0"/>
          <w:numId w:val="56"/>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省儲備委員會由</w:t>
      </w:r>
      <w:r>
        <w:rPr>
          <w:rFonts w:ascii="宋體-繁" w:hAnsi="宋體-繁" w:eastAsia="宋體-繁" w:cs="宋體-繁"/>
          <w:color w:val="000000" w:themeColor="text1"/>
          <w:szCs w:val="21"/>
          <w:lang w:eastAsia="zh-TW"/>
        </w:rPr>
        <w:t xml:space="preserve">9</w:t>
      </w:r>
      <w:r>
        <w:rPr>
          <w:rFonts w:ascii="宋體-繁" w:hAnsi="宋體-繁" w:eastAsia="宋體-繁" w:cs="宋體-繁"/>
          <w:color w:val="000000" w:themeColor="text1"/>
          <w:szCs w:val="21"/>
          <w:lang w:eastAsia="zh-TW"/>
        </w:rPr>
        <w:t xml:space="preserve">名委員組成，且同時在職的委員不得少於</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人，省儲備委員會委員每屆任期</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年，不得連任，不得兼任第二職業；省儲備委員會委員必須由省長提名，且非經省參議會以重要案表決通過的，省儲備委員會委員不得被免職。</w:t>
      </w:r>
      <w:r>
        <w:rPr>
          <w:rFonts w:ascii="宋體-繁" w:hAnsi="宋體-繁" w:cs="宋體-繁"/>
        </w:rPr>
      </w:r>
      <w:r>
        <w:rPr>
          <w:rFonts w:ascii="宋體-繁" w:hAnsi="宋體-繁" w:cs="宋體-繁"/>
        </w:rPr>
      </w:r>
    </w:p>
    <w:p>
      <w:pPr>
        <w:pStyle w:val="1203"/>
        <w:numPr>
          <w:ilvl w:val="0"/>
          <w:numId w:val="56"/>
        </w:numPr>
        <w:pBdr/>
        <w:spacing w:after="156" w:before="0"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每個省級行政區限成立一家公民儲備銀行，公民儲備銀行由股東發起成立，股東不得是任何公權機構，且必須是本省轄區內的私法人或自然人，公民儲備銀行股東總數不得低於</w:t>
      </w:r>
      <w:r>
        <w:rPr>
          <w:rFonts w:ascii="宋體-繁" w:hAnsi="宋體-繁" w:eastAsia="宋體-繁" w:cs="宋體-繁"/>
          <w:color w:val="000000" w:themeColor="text1"/>
          <w:szCs w:val="21"/>
          <w:lang w:eastAsia="zh-TW"/>
        </w:rPr>
        <w:t xml:space="preserve">50</w:t>
      </w:r>
      <w:r>
        <w:rPr>
          <w:rFonts w:ascii="宋體-繁" w:hAnsi="宋體-繁" w:eastAsia="宋體-繁" w:cs="宋體-繁"/>
          <w:color w:val="000000" w:themeColor="text1"/>
          <w:szCs w:val="21"/>
          <w:lang w:eastAsia="zh-TW"/>
        </w:rPr>
        <w:t xml:space="preserve">個，其中，自然人股東不得低於</w:t>
      </w:r>
      <w:r>
        <w:rPr>
          <w:rFonts w:ascii="宋體-繁" w:hAnsi="宋體-繁" w:eastAsia="宋體-繁" w:cs="宋體-繁"/>
          <w:color w:val="000000" w:themeColor="text1"/>
          <w:szCs w:val="21"/>
          <w:lang w:eastAsia="zh-TW"/>
        </w:rPr>
        <w:t xml:space="preserve">20</w:t>
      </w:r>
      <w:r>
        <w:rPr>
          <w:rFonts w:ascii="宋體-繁" w:hAnsi="宋體-繁" w:eastAsia="宋體-繁" w:cs="宋體-繁"/>
          <w:color w:val="000000" w:themeColor="text1"/>
          <w:szCs w:val="21"/>
          <w:lang w:eastAsia="zh-TW"/>
        </w:rPr>
        <w:t xml:space="preserve">個。</w:t>
      </w:r>
      <w:r>
        <w:rPr>
          <w:rFonts w:ascii="宋體-繁" w:hAnsi="宋體-繁" w:cs="宋體-繁"/>
        </w:rPr>
      </w:r>
      <w:r>
        <w:rPr>
          <w:rFonts w:ascii="宋體-繁" w:hAnsi="宋體-繁" w:cs="宋體-繁"/>
        </w:rPr>
      </w:r>
    </w:p>
    <w:p>
      <w:pPr>
        <w:pStyle w:val="1203"/>
        <w:numPr>
          <w:ilvl w:val="0"/>
          <w:numId w:val="51"/>
        </w:numPr>
        <w:pBdr/>
        <w:spacing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立法院是國家立法權的最高行權機構，國家立法院的立法權由憲法賦予；省級行政區擁有立法權，省級行政區的立法權由國家立法院授予省立法院；市級行政區擁有立法權，市級行政區的立法權由憲法賦予市立法會。</w:t>
      </w:r>
      <w:r>
        <w:rPr>
          <w:rFonts w:ascii="宋體-繁" w:hAnsi="宋體-繁" w:cs="宋體-繁"/>
        </w:rPr>
      </w:r>
      <w:r>
        <w:rPr>
          <w:rFonts w:ascii="宋體-繁" w:hAnsi="宋體-繁" w:cs="宋體-繁"/>
        </w:rPr>
      </w:r>
    </w:p>
    <w:p>
      <w:pPr>
        <w:pStyle w:val="1203"/>
        <w:numPr>
          <w:ilvl w:val="0"/>
          <w:numId w:val="57"/>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國家立法院設眾議員議政會，簡稱國家眾議會，國家眾議會現任眾議員總數不得超過</w:t>
      </w:r>
      <w:r>
        <w:rPr>
          <w:rFonts w:ascii="宋體-繁" w:hAnsi="宋體-繁" w:eastAsia="宋體-繁" w:cs="宋體-繁"/>
          <w:color w:val="000000" w:themeColor="text1"/>
          <w:szCs w:val="21"/>
          <w:lang w:eastAsia="zh-TW"/>
        </w:rPr>
        <w:t xml:space="preserve">355</w:t>
      </w:r>
      <w:r>
        <w:rPr>
          <w:rFonts w:ascii="宋體-繁" w:hAnsi="宋體-繁" w:eastAsia="宋體-繁" w:cs="宋體-繁"/>
          <w:color w:val="000000" w:themeColor="text1"/>
          <w:szCs w:val="21"/>
          <w:lang w:eastAsia="zh-TW"/>
        </w:rPr>
        <w:t xml:space="preserve">人，不得少於</w:t>
      </w:r>
      <w:r>
        <w:rPr>
          <w:rFonts w:ascii="宋體-繁" w:hAnsi="宋體-繁" w:eastAsia="宋體-繁" w:cs="宋體-繁"/>
          <w:color w:val="000000" w:themeColor="text1"/>
          <w:szCs w:val="21"/>
          <w:lang w:eastAsia="zh-TW"/>
        </w:rPr>
        <w:t xml:space="preserve">305</w:t>
      </w:r>
      <w:r>
        <w:rPr>
          <w:rFonts w:ascii="宋體-繁" w:hAnsi="宋體-繁" w:eastAsia="宋體-繁" w:cs="宋體-繁"/>
          <w:color w:val="000000" w:themeColor="text1"/>
          <w:szCs w:val="21"/>
          <w:lang w:eastAsia="zh-TW"/>
        </w:rPr>
        <w:t xml:space="preserve">人；每個省級行政區最少選出</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名國家眾議會眾議員，其省轄區人口在</w:t>
      </w:r>
      <w:r>
        <w:rPr>
          <w:rFonts w:ascii="宋體-繁" w:hAnsi="宋體-繁" w:eastAsia="宋體-繁" w:cs="宋體-繁"/>
          <w:color w:val="000000" w:themeColor="text1"/>
          <w:szCs w:val="21"/>
          <w:lang w:eastAsia="zh-TW"/>
        </w:rPr>
        <w:t xml:space="preserve">500</w:t>
      </w:r>
      <w:r>
        <w:rPr>
          <w:rFonts w:ascii="宋體-繁" w:hAnsi="宋體-繁" w:eastAsia="宋體-繁" w:cs="宋體-繁"/>
          <w:color w:val="000000" w:themeColor="text1"/>
          <w:szCs w:val="21"/>
          <w:lang w:eastAsia="zh-TW"/>
        </w:rPr>
        <w:t xml:space="preserve">萬人以下的選出</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人，其省轄區人口超過</w:t>
      </w:r>
      <w:r>
        <w:rPr>
          <w:rFonts w:ascii="宋體-繁" w:hAnsi="宋體-繁" w:eastAsia="宋體-繁" w:cs="宋體-繁"/>
          <w:color w:val="000000" w:themeColor="text1"/>
          <w:szCs w:val="21"/>
          <w:lang w:eastAsia="zh-TW"/>
        </w:rPr>
        <w:t xml:space="preserve">500</w:t>
      </w:r>
      <w:r>
        <w:rPr>
          <w:rFonts w:ascii="宋體-繁" w:hAnsi="宋體-繁" w:eastAsia="宋體-繁" w:cs="宋體-繁"/>
          <w:color w:val="000000" w:themeColor="text1"/>
          <w:szCs w:val="21"/>
          <w:lang w:eastAsia="zh-TW"/>
        </w:rPr>
        <w:t xml:space="preserve">萬人的，後每滿</w:t>
      </w:r>
      <w:r>
        <w:rPr>
          <w:rFonts w:ascii="宋體-繁" w:hAnsi="宋體-繁" w:eastAsia="宋體-繁" w:cs="宋體-繁"/>
          <w:color w:val="000000" w:themeColor="text1"/>
          <w:szCs w:val="21"/>
          <w:lang w:eastAsia="zh-TW"/>
        </w:rPr>
        <w:t xml:space="preserve">500</w:t>
      </w:r>
      <w:r>
        <w:rPr>
          <w:rFonts w:ascii="宋體-繁" w:hAnsi="宋體-繁" w:eastAsia="宋體-繁" w:cs="宋體-繁"/>
          <w:color w:val="000000" w:themeColor="text1"/>
          <w:szCs w:val="21"/>
          <w:lang w:eastAsia="zh-TW"/>
        </w:rPr>
        <w:t xml:space="preserve">萬人增選</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人，最多可增選至</w:t>
      </w:r>
      <w:r>
        <w:rPr>
          <w:rFonts w:ascii="宋體-繁" w:hAnsi="宋體-繁" w:eastAsia="宋體-繁" w:cs="宋體-繁"/>
          <w:color w:val="000000" w:themeColor="text1"/>
          <w:szCs w:val="21"/>
          <w:lang w:eastAsia="zh-TW"/>
        </w:rPr>
        <w:t xml:space="preserve">15</w:t>
      </w:r>
      <w:r>
        <w:rPr>
          <w:rFonts w:ascii="宋體-繁" w:hAnsi="宋體-繁" w:eastAsia="宋體-繁" w:cs="宋體-繁"/>
          <w:color w:val="000000" w:themeColor="text1"/>
          <w:szCs w:val="21"/>
          <w:lang w:eastAsia="zh-TW"/>
        </w:rPr>
        <w:t xml:space="preserve">人，且每個省級行政區同時在任的眾議員不得少於</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人；國家眾議會眾議員每屆任期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7"/>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國家立法院設參議員議政會，簡稱國家參議會，國家參議會現任參議員總數不得超過</w:t>
      </w:r>
      <w:r>
        <w:rPr>
          <w:rFonts w:ascii="宋體-繁" w:hAnsi="宋體-繁" w:eastAsia="宋體-繁" w:cs="宋體-繁"/>
          <w:color w:val="000000" w:themeColor="text1"/>
          <w:szCs w:val="21"/>
          <w:lang w:eastAsia="zh-TW"/>
        </w:rPr>
        <w:t xml:space="preserve">155</w:t>
      </w:r>
      <w:r>
        <w:rPr>
          <w:rFonts w:ascii="宋體-繁" w:hAnsi="宋體-繁" w:eastAsia="宋體-繁" w:cs="宋體-繁"/>
          <w:color w:val="000000" w:themeColor="text1"/>
          <w:szCs w:val="21"/>
          <w:lang w:eastAsia="zh-TW"/>
        </w:rPr>
        <w:t xml:space="preserve">人，不得少於</w:t>
      </w:r>
      <w:r>
        <w:rPr>
          <w:rFonts w:ascii="宋體-繁" w:hAnsi="宋體-繁" w:eastAsia="宋體-繁" w:cs="宋體-繁"/>
          <w:color w:val="000000" w:themeColor="text1"/>
          <w:szCs w:val="21"/>
          <w:lang w:eastAsia="zh-TW"/>
        </w:rPr>
        <w:t xml:space="preserve">105</w:t>
      </w:r>
      <w:r>
        <w:rPr>
          <w:rFonts w:ascii="宋體-繁" w:hAnsi="宋體-繁" w:eastAsia="宋體-繁" w:cs="宋體-繁"/>
          <w:color w:val="000000" w:themeColor="text1"/>
          <w:szCs w:val="21"/>
          <w:lang w:eastAsia="zh-TW"/>
        </w:rPr>
        <w:t xml:space="preserve">人；每個省級行政區可選出</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名國家參議會參議員，且每個省級行政區同時在任的參議員不得少於</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人；國家參議會參議員每屆任期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7"/>
        </w:numPr>
        <w:pBdr/>
        <w:spacing w:after="156" w:before="0"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參議會參議員由各省參議會現任參議員互選產生，且擔任國家參議會職務的不得再擔任國家眾議會職務；國家眾議會眾議員由各省眾議會現任眾議員互選產生，且擔任國家眾議會職務的不得再擔任國家參議會職務。</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司法院是國家司法權的最高行權機構，是中華民族聯邦共和國法律的最終解釋機構，國家司法院的司法權由憲法賦予；省級行政區擁有司法權，省級行政區的司法權由國家司法院授予省司法院；市級行政區擁有司法權，市級行政區的司法權由憲法賦予市司法院。</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監察院是國家監察權的最高行權機構，國家監察院的監察權由憲法賦予；省級行政區擁有監察權，省級行政區的監察權由國家監察院授予省監察院；市級行政區擁有監察權，市級行政區的監察權由憲法賦予市監察院。</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的行政區由省、市、鎮共三級組成，每個行政區內由「一府兩會三院」派駐相應的公權機構和公職人員，各級行政區屬於中華民族聯邦共和國不可分割的一部分，必須擁護憲法的權威，執行憲法的條款和保障領土的完整及國家主權的獨立。</w:t>
      </w:r>
      <w:r>
        <w:rPr>
          <w:rFonts w:ascii="宋體-繁" w:hAnsi="宋體-繁" w:cs="宋體-繁"/>
        </w:rPr>
      </w:r>
      <w:r>
        <w:rPr>
          <w:rFonts w:ascii="宋體-繁" w:hAnsi="宋體-繁" w:cs="宋體-繁"/>
        </w:rPr>
      </w:r>
    </w:p>
    <w:p>
      <w:pPr>
        <w:pStyle w:val="1203"/>
        <w:numPr>
          <w:ilvl w:val="0"/>
          <w:numId w:val="51"/>
        </w:numPr>
        <w:pBdr/>
        <w:spacing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公權機構包含行政、立法、司法、監察等機構，增加、減少和變更國家級公權機構的，由國家立法院以特別案表決通過；增加、減少和變更部級公權機構或省級行政區的，由國家立法院以重要案表決通過。</w:t>
      </w:r>
      <w:r>
        <w:rPr>
          <w:rFonts w:ascii="宋體-繁" w:hAnsi="宋體-繁" w:cs="宋體-繁"/>
        </w:rPr>
      </w:r>
      <w:r>
        <w:rPr>
          <w:rFonts w:ascii="宋體-繁" w:hAnsi="宋體-繁" w:cs="宋體-繁"/>
        </w:rPr>
      </w:r>
    </w:p>
    <w:p>
      <w:pPr>
        <w:pStyle w:val="1203"/>
        <w:numPr>
          <w:ilvl w:val="0"/>
          <w:numId w:val="58"/>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省級行政區減少和變更所轄市級行政區的，由省立法院和該市立法會以重要案表決通過；省級行政區增加所轄市級行政區的，由省立法院和擬成立市的臨時市立法會以重要案表決通過。</w:t>
      </w:r>
      <w:r>
        <w:rPr>
          <w:rFonts w:ascii="宋體-繁" w:hAnsi="宋體-繁" w:cs="宋體-繁"/>
        </w:rPr>
      </w:r>
      <w:r>
        <w:rPr>
          <w:rFonts w:ascii="宋體-繁" w:hAnsi="宋體-繁" w:cs="宋體-繁"/>
        </w:rPr>
      </w:r>
    </w:p>
    <w:p>
      <w:pPr>
        <w:pStyle w:val="1203"/>
        <w:numPr>
          <w:ilvl w:val="0"/>
          <w:numId w:val="58"/>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市級行政區變更和減少所轄鎮級行政區的，由該鎮自治會提案，市立法會以重要案表決通過；市級行政區增加所轄鎮級行政區的，由擬成立鎮的臨時鎮自治會提案，市立法會以重要案表決通過。</w:t>
      </w:r>
      <w:r>
        <w:rPr>
          <w:rFonts w:ascii="宋體-繁" w:hAnsi="宋體-繁" w:cs="宋體-繁"/>
        </w:rPr>
      </w:r>
      <w:r>
        <w:rPr>
          <w:rFonts w:ascii="宋體-繁" w:hAnsi="宋體-繁" w:cs="宋體-繁"/>
        </w:rPr>
      </w:r>
    </w:p>
    <w:p>
      <w:pPr>
        <w:pStyle w:val="1203"/>
        <w:numPr>
          <w:ilvl w:val="0"/>
          <w:numId w:val="58"/>
        </w:numPr>
        <w:pBdr/>
        <w:spacing w:after="156" w:before="0"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增加、減少和變更其他公權機構或其他行政區的，由各立法機構另立法規定。</w:t>
      </w:r>
      <w:r>
        <w:rPr>
          <w:rFonts w:ascii="宋體-繁" w:hAnsi="宋體-繁" w:cs="宋體-繁"/>
        </w:rPr>
      </w:r>
      <w:r>
        <w:rPr>
          <w:rFonts w:ascii="宋體-繁" w:hAnsi="宋體-繁" w:cs="宋體-繁"/>
        </w:rPr>
      </w:r>
    </w:p>
    <w:p>
      <w:pPr>
        <w:pStyle w:val="1203"/>
        <w:numPr>
          <w:ilvl w:val="0"/>
          <w:numId w:val="50"/>
        </w:numPr>
        <w:pBdr/>
        <w:tabs>
          <w:tab w:val="clear" w:leader="none" w:pos="210"/>
          <w:tab w:val="left" w:leader="none" w:pos="420"/>
        </w:tabs>
        <w:spacing w:after="0" w:before="156" w:line="300" w:lineRule="exact"/>
        <w:ind/>
        <w:outlineLvl w:val="1"/>
        <w:rPr>
          <w:rFonts w:ascii="宋體-繁" w:hAnsi="宋體-繁" w:cs="宋體-繁"/>
        </w:rPr>
      </w:pPr>
      <w:r/>
      <w:bookmarkStart w:id="78" w:name="_Toc4"/>
      <w:r>
        <w:rPr>
          <w:rFonts w:ascii="宋體-繁" w:hAnsi="宋體-繁" w:eastAsia="宋體-繁" w:cs="宋體-繁"/>
        </w:rPr>
      </w:r>
      <w:bookmarkStart w:id="10" w:name="__RefHeading___Toc6995_4090689648"/>
      <w:r>
        <w:rPr>
          <w:rFonts w:ascii="宋體-繁" w:hAnsi="宋體-繁" w:eastAsia="宋體-繁" w:cs="宋體-繁"/>
        </w:rPr>
      </w:r>
      <w:bookmarkEnd w:id="10"/>
      <w:r>
        <w:rPr>
          <w:rFonts w:ascii="宋體-繁" w:hAnsi="宋體-繁" w:eastAsia="宋體-繁" w:cs="宋體-繁"/>
          <w:b/>
          <w:color w:val="000000" w:themeColor="text1"/>
          <w:sz w:val="28"/>
          <w:szCs w:val="28"/>
          <w:lang w:eastAsia="zh-TW"/>
        </w:rPr>
        <w:t xml:space="preserve">憲法的定義</w:t>
      </w:r>
      <w:r>
        <w:rPr>
          <w:rFonts w:ascii="宋體-繁" w:hAnsi="宋體-繁" w:eastAsia="宋體-繁" w:cs="宋體-繁"/>
        </w:rPr>
      </w:r>
      <w:bookmarkEnd w:id="78"/>
      <w:r>
        <w:rPr>
          <w:rFonts w:ascii="宋體-繁" w:hAnsi="宋體-繁" w:cs="宋體-繁"/>
        </w:rPr>
      </w:r>
      <w:r>
        <w:rPr>
          <w:rFonts w:ascii="宋體-繁" w:hAnsi="宋體-繁" w:cs="宋體-繁"/>
        </w:rPr>
      </w:r>
    </w:p>
    <w:p>
      <w:pPr>
        <w:pStyle w:val="1203"/>
        <w:numPr>
          <w:ilvl w:val="0"/>
          <w:numId w:val="51"/>
        </w:numPr>
        <w:pBdr/>
        <w:spacing w:after="156" w:before="0"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我們是中華民族聯邦共和國的公民，為建立一個自由的、民主的、正義的、平等的、求實的國家，為保障公民權利、保障社會福利、保障國家安全，使我們和我們的後代能自由、平等、幸福、健康的生活在這個國家，特為中華民族聯邦共和國制定《中華民族聯邦共和國憲法》，簡稱憲法、本憲法或</w:t>
      </w:r>
      <w:r>
        <w:rPr>
          <w:rFonts w:ascii="宋體-繁" w:hAnsi="宋體-繁" w:eastAsia="宋體-繁" w:cs="宋體-繁"/>
          <w:color w:val="000000" w:themeColor="text1"/>
          <w:szCs w:val="21"/>
          <w:lang w:eastAsia="zh-TW"/>
        </w:rPr>
        <w:t xml:space="preserve">五民</w:t>
      </w:r>
      <w:r>
        <w:rPr>
          <w:rFonts w:ascii="宋體-繁" w:hAnsi="宋體-繁" w:eastAsia="宋體-繁" w:cs="宋體-繁"/>
          <w:color w:val="000000" w:themeColor="text1"/>
          <w:szCs w:val="21"/>
          <w:lang w:eastAsia="zh-TW"/>
        </w:rPr>
        <w:t xml:space="preserve">憲章。</w:t>
      </w:r>
      <w:r>
        <w:rPr>
          <w:rFonts w:ascii="宋體-繁" w:hAnsi="宋體-繁" w:cs="宋體-繁"/>
        </w:rPr>
      </w:r>
      <w:r>
        <w:rPr>
          <w:rFonts w:ascii="宋體-繁" w:hAnsi="宋體-繁" w:cs="宋體-繁"/>
        </w:rPr>
      </w:r>
    </w:p>
    <w:p>
      <w:pPr>
        <w:pStyle w:val="1203"/>
        <w:numPr>
          <w:ilvl w:val="0"/>
          <w:numId w:val="51"/>
        </w:numPr>
        <w:pBdr/>
        <w:spacing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本憲法是中華民族聯邦共和國的根本法，是國家所有法律的基礎，一切違反本憲法的法律都不是法律，憲法應刪除取締一切與本憲法相抵觸的法律；如有違憲法的決議，公民有權不予執行，如有違憲法的行為，公民有義務向國家護憲大法官檢舉。</w:t>
      </w:r>
      <w:r>
        <w:rPr>
          <w:rFonts w:ascii="宋體-繁" w:hAnsi="宋體-繁" w:cs="宋體-繁"/>
        </w:rPr>
      </w:r>
      <w:r>
        <w:rPr>
          <w:rFonts w:ascii="宋體-繁" w:hAnsi="宋體-繁" w:cs="宋體-繁"/>
        </w:rPr>
      </w:r>
    </w:p>
    <w:p>
      <w:pPr>
        <w:pStyle w:val="1203"/>
        <w:numPr>
          <w:ilvl w:val="0"/>
          <w:numId w:val="59"/>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本憲法賦予的最高立法權，屬於中華民族聯邦共和國國家立法院，國家立法院依憲法授予省立法院立法權，省立法院的立法不得與憲法衝突，不得與國家立法院的立法衝突。</w:t>
      </w:r>
      <w:r>
        <w:rPr>
          <w:rFonts w:ascii="宋體-繁" w:hAnsi="宋體-繁" w:cs="宋體-繁"/>
        </w:rPr>
      </w:r>
      <w:r>
        <w:rPr>
          <w:rFonts w:ascii="宋體-繁" w:hAnsi="宋體-繁" w:cs="宋體-繁"/>
        </w:rPr>
      </w:r>
    </w:p>
    <w:p>
      <w:pPr>
        <w:pStyle w:val="1203"/>
        <w:numPr>
          <w:ilvl w:val="0"/>
          <w:numId w:val="59"/>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本憲法賦予中華民族聯邦共和國市級行政區市立法會立法權，市立法會的立法權不應超出所屬市級行政區的轄區範圍，且市立法會的立法不得與憲法衝突，不得與國家立法院的立法衝突，不應與省立法院的立法衝突。</w:t>
      </w:r>
      <w:r>
        <w:rPr>
          <w:rFonts w:ascii="宋體-繁" w:hAnsi="宋體-繁" w:cs="宋體-繁"/>
        </w:rPr>
      </w:r>
      <w:r>
        <w:rPr>
          <w:rFonts w:ascii="宋體-繁" w:hAnsi="宋體-繁" w:cs="宋體-繁"/>
        </w:rPr>
      </w:r>
    </w:p>
    <w:p>
      <w:pPr>
        <w:pStyle w:val="1203"/>
        <w:numPr>
          <w:ilvl w:val="0"/>
          <w:numId w:val="59"/>
        </w:numPr>
        <w:pBdr/>
        <w:spacing w:after="156" w:before="0"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中華民族聯邦共和國憲法賦予立法機構的立法權，其立法理念應建立在以人為本的基礎之上，立法的目的不是懲罰與管制，立法的根本目的是教育與防範，是教惡揚善和防止犯罪；且憲法未盡之法律，由各立法院和立法會另立法規定。</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本憲法的第一章總則是憲法的核心章節條款，對憲法核心章節條款進行修改的，必須經國家立法院以特別案表決通過；本憲法除第一章總則以外的其它章節條款是憲法的一般章節條款，對憲法的一般章節條款進行修改的，必須經國家立法院以重要案表決通過。</w:t>
      </w:r>
      <w:r>
        <w:rPr>
          <w:rFonts w:ascii="宋體-繁" w:hAnsi="宋體-繁" w:cs="宋體-繁"/>
        </w:rPr>
      </w:r>
      <w:r>
        <w:rPr>
          <w:rFonts w:ascii="宋體-繁" w:hAnsi="宋體-繁" w:cs="宋體-繁"/>
        </w:rPr>
      </w:r>
    </w:p>
    <w:p>
      <w:pPr>
        <w:pStyle w:val="1203"/>
        <w:numPr>
          <w:ilvl w:val="0"/>
          <w:numId w:val="51"/>
        </w:numPr>
        <w:pBdr/>
        <w:spacing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為維護憲法的神聖權威，保護憲法的不受侵犯，特設護憲大法官</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人；護憲大法官每屆任期</w:t>
      </w:r>
      <w:r>
        <w:rPr>
          <w:rFonts w:ascii="宋體-繁" w:hAnsi="宋體-繁" w:eastAsia="宋體-繁" w:cs="宋體-繁"/>
          <w:color w:val="000000" w:themeColor="text1"/>
          <w:szCs w:val="21"/>
          <w:lang w:eastAsia="zh-TW"/>
        </w:rPr>
        <w:t xml:space="preserve">6</w:t>
      </w:r>
      <w:r>
        <w:rPr>
          <w:rFonts w:ascii="宋體-繁" w:hAnsi="宋體-繁" w:eastAsia="宋體-繁" w:cs="宋體-繁"/>
          <w:color w:val="000000" w:themeColor="text1"/>
          <w:szCs w:val="21"/>
          <w:lang w:eastAsia="zh-TW"/>
        </w:rPr>
        <w:t xml:space="preserve">年，連任超過</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屆的，從第</w:t>
      </w:r>
      <w:r>
        <w:rPr>
          <w:rFonts w:ascii="宋體-繁" w:hAnsi="宋體-繁" w:eastAsia="宋體-繁" w:cs="宋體-繁"/>
          <w:color w:val="000000" w:themeColor="text1"/>
          <w:szCs w:val="21"/>
          <w:lang w:eastAsia="zh-TW"/>
        </w:rPr>
        <w:t xml:space="preserve">6</w:t>
      </w:r>
      <w:r>
        <w:rPr>
          <w:rFonts w:ascii="宋體-繁" w:hAnsi="宋體-繁" w:eastAsia="宋體-繁" w:cs="宋體-繁"/>
          <w:color w:val="000000" w:themeColor="text1"/>
          <w:szCs w:val="21"/>
          <w:lang w:eastAsia="zh-TW"/>
        </w:rPr>
        <w:t xml:space="preserve">屆起授予終身護憲大法官榮譽稱謂。</w:t>
      </w:r>
      <w:r>
        <w:rPr>
          <w:rFonts w:ascii="宋體-繁" w:hAnsi="宋體-繁" w:cs="宋體-繁"/>
        </w:rPr>
      </w:r>
      <w:r>
        <w:rPr>
          <w:rFonts w:ascii="宋體-繁" w:hAnsi="宋體-繁" w:cs="宋體-繁"/>
        </w:rPr>
      </w:r>
    </w:p>
    <w:p>
      <w:pPr>
        <w:pStyle w:val="1203"/>
        <w:numPr>
          <w:ilvl w:val="0"/>
          <w:numId w:val="60"/>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護憲大法官的基本任職要求：一是擁有專業的司法學識和豐富的司法經驗，且在司法領域作出重大突出貢獻或參與主審對司法界影響重大的案件；二是人品正直極富正義感，不畏強權能始終堅守法律的公平與正義；三是以身作則維護法律的尊嚴，深受公民的愛戴與認可。</w:t>
      </w:r>
      <w:r>
        <w:rPr>
          <w:rFonts w:ascii="宋體-繁" w:hAnsi="宋體-繁" w:cs="宋體-繁"/>
        </w:rPr>
      </w:r>
      <w:r>
        <w:rPr>
          <w:rFonts w:ascii="宋體-繁" w:hAnsi="宋體-繁" w:cs="宋體-繁"/>
        </w:rPr>
      </w:r>
    </w:p>
    <w:p>
      <w:pPr>
        <w:pStyle w:val="1203"/>
        <w:numPr>
          <w:ilvl w:val="0"/>
          <w:numId w:val="60"/>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護憲大法官不隸屬於任何機構，其職權由憲法直接賦予，只對憲法負責；非不可抗力的因素或任期屆滿的，護憲大法官的任職，不得被剝奪。</w:t>
      </w:r>
      <w:r>
        <w:rPr>
          <w:rFonts w:ascii="宋體-繁" w:hAnsi="宋體-繁" w:cs="宋體-繁"/>
        </w:rPr>
      </w:r>
      <w:r>
        <w:rPr>
          <w:rFonts w:ascii="宋體-繁" w:hAnsi="宋體-繁" w:cs="宋體-繁"/>
        </w:rPr>
      </w:r>
    </w:p>
    <w:p>
      <w:pPr>
        <w:pStyle w:val="1203"/>
        <w:numPr>
          <w:ilvl w:val="0"/>
          <w:numId w:val="60"/>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護憲大法官由擁有選舉權的公民選舉產生，任職由任意在職護憲大法官主持，護憲大法官宣誓就職的，身著護憲大法官服，左手撫中華民族聯邦共和國憲法，右手持護憲大法官權杖宣誓。</w:t>
      </w:r>
      <w:r>
        <w:rPr>
          <w:rFonts w:ascii="宋體-繁" w:hAnsi="宋體-繁" w:cs="宋體-繁"/>
        </w:rPr>
      </w:r>
      <w:r>
        <w:rPr>
          <w:rFonts w:ascii="宋體-繁" w:hAnsi="宋體-繁" w:cs="宋體-繁"/>
        </w:rPr>
      </w:r>
    </w:p>
    <w:p>
      <w:pPr>
        <w:pStyle w:val="1203"/>
        <w:numPr>
          <w:ilvl w:val="0"/>
          <w:numId w:val="60"/>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護憲大法官就職誓詞：我是中華民族聯邦共和國公民，我宣誓就職中華民族聯邦共和國護憲大法官，我在此宣誓！我將以超過對待自己生命權的高度對待我所任職的護憲大法官職權，我保證我曾經的正義感、使命感和光榮感會在此之後更加的得到體現！我在此莊嚴承諾！我將任職、守護憲法，與一切違反憲法的行為進行戰鬥！</w:t>
      </w:r>
      <w:r>
        <w:rPr>
          <w:rFonts w:ascii="宋體-繁" w:hAnsi="宋體-繁" w:cs="宋體-繁"/>
        </w:rPr>
      </w:r>
      <w:r>
        <w:rPr>
          <w:rFonts w:ascii="宋體-繁" w:hAnsi="宋體-繁" w:cs="宋體-繁"/>
        </w:rPr>
      </w:r>
    </w:p>
    <w:p>
      <w:pPr>
        <w:pStyle w:val="1203"/>
        <w:numPr>
          <w:ilvl w:val="0"/>
          <w:numId w:val="60"/>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國家護憲大法官可對任意公民、公職人員和軍隊軍人發起違憲指控，被發起違憲指控的公民、公職人員或軍隊軍人，非不可抗力的因素，必須出席違憲指控聽證會。</w:t>
      </w:r>
      <w:r>
        <w:rPr>
          <w:rFonts w:ascii="宋體-繁" w:hAnsi="宋體-繁" w:cs="宋體-繁"/>
        </w:rPr>
      </w:r>
      <w:r>
        <w:rPr>
          <w:rFonts w:ascii="宋體-繁" w:hAnsi="宋體-繁" w:cs="宋體-繁"/>
        </w:rPr>
      </w:r>
    </w:p>
    <w:p>
      <w:pPr>
        <w:pStyle w:val="1203"/>
        <w:numPr>
          <w:ilvl w:val="0"/>
          <w:numId w:val="50"/>
        </w:numPr>
        <w:pBdr/>
        <w:tabs>
          <w:tab w:val="clear" w:leader="none" w:pos="210"/>
          <w:tab w:val="left" w:leader="none" w:pos="420"/>
        </w:tabs>
        <w:spacing w:after="0" w:before="156" w:line="300" w:lineRule="exact"/>
        <w:ind/>
        <w:outlineLvl w:val="1"/>
        <w:rPr>
          <w:rFonts w:ascii="宋體-繁" w:hAnsi="宋體-繁" w:cs="宋體-繁"/>
        </w:rPr>
      </w:pPr>
      <w:r/>
      <w:bookmarkStart w:id="79" w:name="_Toc5"/>
      <w:r>
        <w:rPr>
          <w:rFonts w:ascii="宋體-繁" w:hAnsi="宋體-繁" w:eastAsia="宋體-繁" w:cs="宋體-繁"/>
        </w:rPr>
      </w:r>
      <w:bookmarkStart w:id="12" w:name="__RefHeading___Toc6997_4090689648"/>
      <w:r>
        <w:rPr>
          <w:rFonts w:ascii="宋體-繁" w:hAnsi="宋體-繁" w:eastAsia="宋體-繁" w:cs="宋體-繁"/>
        </w:rPr>
      </w:r>
      <w:bookmarkEnd w:id="12"/>
      <w:r>
        <w:rPr>
          <w:rFonts w:ascii="宋體-繁" w:hAnsi="宋體-繁" w:eastAsia="宋體-繁" w:cs="宋體-繁"/>
          <w:b/>
          <w:color w:val="000000" w:themeColor="text1"/>
          <w:sz w:val="28"/>
          <w:szCs w:val="28"/>
          <w:lang w:eastAsia="zh-TW"/>
        </w:rPr>
        <w:t xml:space="preserve">軍隊的定義</w:t>
      </w:r>
      <w:r>
        <w:rPr>
          <w:rFonts w:ascii="宋體-繁" w:hAnsi="宋體-繁" w:eastAsia="宋體-繁" w:cs="宋體-繁"/>
        </w:rPr>
      </w:r>
      <w:bookmarkEnd w:id="79"/>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軍隊是國家軍事權的具體體現，軍隊的基本職責有以下三項：一是維護公民的合法權利，保障公民的人權不受侵犯、保障公民的財產不受侵犯；二是維護國家領土的完整，保障國家領土不受侵犯、保障國家主權不受侵犯；三是維護世界和平，保障人類的生存權不受侵犯、保障人類的人權不受侵犯。</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中華民族聯邦共和國總統府總統是中華民族聯邦共和國軍隊的最高統帥，由憲法授權行使國家軍事權，統領國家軍隊，總統有權解除任意一名軍人的軍銜和職務，總統有權解散任意一支軍隊的武裝。</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防務部是中華民族聯邦共和國的最高軍事管理機構，下設陸軍部、海軍部、空軍部、天軍部和聯合作戰參謀部；中華民族聯邦共和國軍隊由陸軍、海軍、空軍、天軍和國民警衛隊共五個軍種組成，陸軍、海軍、空軍和天軍分別由國家防務部所屬陸軍部、海軍部、空軍部和天軍部管理，國民警衛隊由國土安全部所屬國民警衛局管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中華民族聯邦共和國國家防務部聯合作戰參謀部，是中華民族聯邦共和國的最高軍事作戰機構；聯合作戰參謀部設總參謀長職位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個，設副總參謀長職位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個，由總統提名並任免產生，對總統負責；設參謀長職位</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個，分別由陸軍司令員、海軍司令員、空軍司令員、天軍司令員和國民警衛隊司令員兼任。</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中華民族聯邦共和國陸軍、海軍、空軍、天軍和國民警衛隊，分別設陸軍司令部、海軍司令部、空軍司令部、天軍司令部和國民警衛隊司令部，每個軍種司令部設司令員職位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個，由聯合作戰參謀部總參謀長提名，總統任免產生；每個軍種司令部設副司令員職位</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個，由本軍種司令部司令員提名，聯合作戰參謀部總參謀長任免產生。</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軍隊軍人在未取得公民的同意下，禁止在非戰爭狀態或非緊急狀態時期進入公民的私人領地；在戰爭狀態或緊急狀態時期，軍隊軍人有權進入公民的私人領地，有權徵用公民的財產，因徵用使用而造成公民財產損失的，軍隊應予以補償。</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中華民族聯邦共和國軍隊是國家的軍隊、是公民的軍隊，禁止軍隊軍人為任何政黨、宗教和非法組織提供武力保護，在政治事務中，軍隊軍人必須保持中立。</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中華民族聯邦共和國現役軍隊軍人禁止經商，禁止兼任政府、立法院、司法院、監察院、公民教育委員會和聯邦儲備委員會等國家公權機構的公職職務，禁止參加任何政黨或政治團體。</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中華民族聯邦共和國軍隊軍人違憲的，國家立法院有權通過重要案表決宣佈其為非法武裝，總統有權簽署總統令解除其武裝，國家立法院通過重要案表決宣佈其為非法武裝的，公民有權解除其武裝。</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軍事機構在沒有總統的授權下，不得在本國境內非軍事區開展軍事行動；在非戰爭狀態或非緊急狀態下，軍事機構在本國境內非軍事區開展軍事行動的，必須有聯邦調查署和公民安全部所屬公職人員的參與。</w:t>
      </w:r>
      <w:r>
        <w:rPr>
          <w:rFonts w:ascii="宋體-繁" w:hAnsi="宋體-繁" w:cs="宋體-繁"/>
        </w:rPr>
      </w:r>
      <w:r>
        <w:rPr>
          <w:rFonts w:ascii="宋體-繁" w:hAnsi="宋體-繁" w:cs="宋體-繁"/>
        </w:rPr>
      </w:r>
    </w:p>
    <w:p>
      <w:pPr>
        <w:pStyle w:val="1203"/>
        <w:numPr>
          <w:ilvl w:val="0"/>
          <w:numId w:val="50"/>
        </w:numPr>
        <w:pBdr/>
        <w:tabs>
          <w:tab w:val="clear" w:leader="none" w:pos="210"/>
          <w:tab w:val="left" w:leader="none" w:pos="420"/>
        </w:tabs>
        <w:spacing w:after="0" w:before="156" w:line="300" w:lineRule="exact"/>
        <w:ind/>
        <w:outlineLvl w:val="1"/>
        <w:rPr>
          <w:rFonts w:ascii="宋體-繁" w:hAnsi="宋體-繁" w:cs="宋體-繁"/>
        </w:rPr>
      </w:pPr>
      <w:r/>
      <w:bookmarkStart w:id="80" w:name="_Toc6"/>
      <w:r>
        <w:rPr>
          <w:rFonts w:ascii="宋體-繁" w:hAnsi="宋體-繁" w:eastAsia="宋體-繁" w:cs="宋體-繁"/>
        </w:rPr>
      </w:r>
      <w:bookmarkStart w:id="14" w:name="__RefHeading___Toc6999_4090689648"/>
      <w:r>
        <w:rPr>
          <w:rFonts w:ascii="宋體-繁" w:hAnsi="宋體-繁" w:eastAsia="宋體-繁" w:cs="宋體-繁"/>
        </w:rPr>
      </w:r>
      <w:bookmarkEnd w:id="14"/>
      <w:r>
        <w:rPr>
          <w:rFonts w:ascii="宋體-繁" w:hAnsi="宋體-繁" w:eastAsia="宋體-繁" w:cs="宋體-繁"/>
          <w:b/>
          <w:color w:val="000000" w:themeColor="text1"/>
          <w:sz w:val="28"/>
          <w:szCs w:val="28"/>
          <w:lang w:eastAsia="zh-TW"/>
        </w:rPr>
        <w:t xml:space="preserve">公民的權利與義務</w:t>
      </w:r>
      <w:r>
        <w:rPr>
          <w:rFonts w:ascii="宋體-繁" w:hAnsi="宋體-繁" w:eastAsia="宋體-繁" w:cs="宋體-繁"/>
        </w:rPr>
      </w:r>
      <w:bookmarkEnd w:id="80"/>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人自出生即是自由的、平等的、不受壓迫的，凡中華民族聯邦共和國公民，無論膚色、種族、民族、宗教、性別、地域、黨派、職業、性取向和健康狀況，其在法律上一律平等，且公民的人權大於國家的主權。</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公民是指擁有本國國籍的自然人，本國國籍是指由中華民族聯邦共和國公安部頒發的中華民族聯邦共和國護照；年滿十六週歲的中華民族聯邦共和國公民為成年人，未滿十六週歲的為未成年人，未成年人的權利與義務由其監護人負責。</w:t>
      </w:r>
      <w:r>
        <w:rPr>
          <w:rFonts w:ascii="宋體-繁" w:hAnsi="宋體-繁" w:cs="宋體-繁"/>
        </w:rPr>
      </w:r>
      <w:r>
        <w:rPr>
          <w:rFonts w:ascii="宋體-繁" w:hAnsi="宋體-繁" w:cs="宋體-繁"/>
        </w:rPr>
      </w:r>
    </w:p>
    <w:p>
      <w:pPr>
        <w:pStyle w:val="1203"/>
        <w:numPr>
          <w:ilvl w:val="0"/>
          <w:numId w:val="61"/>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取得中華民族聯邦共和國護照，需向中華民族聯邦共和國公安部下設的任意分支機構提出入籍申請，入籍後由公安部頒發中華民族聯邦共和國護照。</w:t>
      </w:r>
      <w:r>
        <w:rPr>
          <w:rFonts w:ascii="宋體-繁" w:hAnsi="宋體-繁" w:cs="宋體-繁"/>
        </w:rPr>
      </w:r>
      <w:r>
        <w:rPr>
          <w:rFonts w:ascii="宋體-繁" w:hAnsi="宋體-繁" w:cs="宋體-繁"/>
        </w:rPr>
      </w:r>
    </w:p>
    <w:p>
      <w:pPr>
        <w:pStyle w:val="1203"/>
        <w:numPr>
          <w:ilvl w:val="0"/>
          <w:numId w:val="61"/>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出生在中華民族聯邦共和國領土上的自然人，出生即擁有本國國籍；出生在非中華民族聯邦共和國領土上的自然人，其親生父母有一方是中華民族聯邦共和國公民的，出生即擁有本國國籍。</w:t>
      </w:r>
      <w:r>
        <w:rPr>
          <w:rFonts w:ascii="宋體-繁" w:hAnsi="宋體-繁" w:cs="宋體-繁"/>
        </w:rPr>
      </w:r>
      <w:r>
        <w:rPr>
          <w:rFonts w:ascii="宋體-繁" w:hAnsi="宋體-繁" w:cs="宋體-繁"/>
        </w:rPr>
      </w:r>
    </w:p>
    <w:p>
      <w:pPr>
        <w:pStyle w:val="1203"/>
        <w:numPr>
          <w:ilvl w:val="0"/>
          <w:numId w:val="61"/>
        </w:numPr>
        <w:pBdr/>
        <w:spacing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中華民族聯邦共和國公民享有自由選擇國籍和選擇多國國籍的權利，擁有本國國籍的，在入境本國及在本國境內時必須遵守本國法律和使用本國護照。</w:t>
      </w:r>
      <w:r>
        <w:rPr>
          <w:rFonts w:ascii="宋體-繁" w:hAnsi="宋體-繁" w:cs="宋體-繁"/>
        </w:rPr>
      </w:r>
      <w:r>
        <w:rPr>
          <w:rFonts w:ascii="宋體-繁" w:hAnsi="宋體-繁" w:cs="宋體-繁"/>
        </w:rPr>
      </w:r>
    </w:p>
    <w:p>
      <w:pPr>
        <w:pStyle w:val="1203"/>
        <w:numPr>
          <w:ilvl w:val="0"/>
          <w:numId w:val="61"/>
        </w:numPr>
        <w:pBdr/>
        <w:spacing w:after="156" w:before="0" w:line="300" w:lineRule="exact"/>
        <w:ind w:hanging="735" w:left="735"/>
        <w:rPr>
          <w:rFonts w:ascii="宋體-繁" w:hAnsi="宋體-繁" w:cs="宋體-繁"/>
        </w:rPr>
      </w:pPr>
      <w:r>
        <w:rPr>
          <w:rFonts w:ascii="宋體-繁" w:hAnsi="宋體-繁" w:eastAsia="宋體-繁" w:cs="宋體-繁"/>
          <w:color w:val="000000" w:themeColor="text1"/>
          <w:szCs w:val="21"/>
          <w:lang w:eastAsia="zh-TW"/>
        </w:rPr>
        <w:t xml:space="preserve">中華民族聯邦共和國公民入籍誓詞：我宣誓！完全遵守中華民族聯邦共和國憲法及其附屬法律、完全認同中華民族聯邦共和國之國家格言、完全認同先有人類後有國家，是公民建立國家，國家是公民的國家，是公民治理國家，而不是國家統治公民的國家理念、完全認同公民有依法納稅、依法服兵役、依法受教育和依法保護環境的義務。也完全認同，當法律要求時，我願意為自由民主而拿起武器、為捍衛正義而拿起武器、為平等人權而拿起武器、為保衛領土而拿起武器、為守護憲法而拿起武器。我在此宣誓，對以上誓言絕無藉口、謊言、障礙與保留！</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公民依憲法享有言論自由、信仰自由、遷居自由、生育自由、結社自由、出版自由、隱私通信自由、免於恐懼的自由和不受飢餓的自由等自由的權利，非經司法院依照現行法律審判的，不得剝奪公民的上述權利。</w:t>
      </w:r>
      <w:r>
        <w:rPr>
          <w:rFonts w:ascii="宋體-繁" w:hAnsi="宋體-繁" w:cs="宋體-繁"/>
        </w:rPr>
      </w:r>
      <w:r>
        <w:rPr>
          <w:rFonts w:ascii="宋體-繁" w:hAnsi="宋體-繁" w:cs="宋體-繁"/>
        </w:rPr>
      </w:r>
    </w:p>
    <w:p>
      <w:pPr>
        <w:pStyle w:val="1203"/>
        <w:numPr>
          <w:ilvl w:val="0"/>
          <w:numId w:val="6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中華民族聯邦共和國公民享有生存權、工作權、財產權、訴訟權及考取公職權，非經聯邦司法院終審的，不得剝奪公民的上述權利。</w:t>
      </w:r>
      <w:r>
        <w:rPr>
          <w:rFonts w:ascii="宋體-繁" w:hAnsi="宋體-繁" w:cs="宋體-繁"/>
        </w:rPr>
      </w:r>
      <w:r>
        <w:rPr>
          <w:rFonts w:ascii="宋體-繁" w:hAnsi="宋體-繁" w:cs="宋體-繁"/>
        </w:rPr>
      </w:r>
    </w:p>
    <w:p>
      <w:pPr>
        <w:pStyle w:val="1203"/>
        <w:numPr>
          <w:ilvl w:val="0"/>
          <w:numId w:val="6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公民年滿十六週歲的，即擁有選舉權與被選舉權，即可依法參與公職人員的選舉與被選舉；公民參與選舉的投票權不得用於買賣交易，凡買賣交易投票權的，經聯邦司法院審判違憲的，參與投票權買賣交易的公民永久不得再參與公職人員的選舉與被選舉。</w:t>
      </w:r>
      <w:r>
        <w:rPr>
          <w:rFonts w:ascii="宋體-繁" w:hAnsi="宋體-繁" w:cs="宋體-繁"/>
        </w:rPr>
      </w:r>
      <w:r>
        <w:rPr>
          <w:rFonts w:ascii="宋體-繁" w:hAnsi="宋體-繁" w:cs="宋體-繁"/>
        </w:rPr>
      </w:r>
    </w:p>
    <w:p>
      <w:pPr>
        <w:pStyle w:val="1203"/>
        <w:numPr>
          <w:ilvl w:val="0"/>
          <w:numId w:val="6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中華民族聯邦共和國公民享有合法擁有財產的權利，包括但不限於土地、房屋、貨幣、股權、債券和知識產權等，非經聯邦司法院終審的，不得剝奪公民的上述權利。</w:t>
      </w:r>
      <w:r>
        <w:rPr>
          <w:rFonts w:ascii="宋體-繁" w:hAnsi="宋體-繁" w:cs="宋體-繁"/>
        </w:rPr>
      </w:r>
      <w:r>
        <w:rPr>
          <w:rFonts w:ascii="宋體-繁" w:hAnsi="宋體-繁" w:cs="宋體-繁"/>
        </w:rPr>
      </w:r>
    </w:p>
    <w:p>
      <w:pPr>
        <w:pStyle w:val="1203"/>
        <w:numPr>
          <w:ilvl w:val="0"/>
          <w:numId w:val="6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中華民族聯邦共和國公民，年滿二十二週歲且獲得公民義務教育結業證書的，沒有醫學精神類疾病的，具有獨立行為能力的，十年內沒有刑事犯罪記錄的，依憲法享有合法擁有槍彈武器的權利。</w:t>
      </w:r>
      <w:r>
        <w:rPr>
          <w:rFonts w:ascii="宋體-繁" w:hAnsi="宋體-繁" w:cs="宋體-繁"/>
        </w:rPr>
      </w:r>
      <w:r>
        <w:rPr>
          <w:rFonts w:ascii="宋體-繁" w:hAnsi="宋體-繁" w:cs="宋體-繁"/>
        </w:rPr>
      </w:r>
    </w:p>
    <w:p>
      <w:pPr>
        <w:pStyle w:val="1203"/>
        <w:numPr>
          <w:ilvl w:val="0"/>
          <w:numId w:val="6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中華民族聯邦共和國公民的病例資料、通信資料、徵信資料、銀行資料、檔案資料和家庭住址屬於公民的絕對隱私，非經公民本人同意或非經市司法院和省司法院雙重授權的，不得洩漏和使用公民的上述隱私。</w:t>
      </w:r>
      <w:r>
        <w:rPr>
          <w:rFonts w:ascii="宋體-繁" w:hAnsi="宋體-繁" w:cs="宋體-繁"/>
        </w:rPr>
      </w:r>
      <w:r>
        <w:rPr>
          <w:rFonts w:ascii="宋體-繁" w:hAnsi="宋體-繁" w:cs="宋體-繁"/>
        </w:rPr>
      </w:r>
    </w:p>
    <w:p>
      <w:pPr>
        <w:pStyle w:val="1203"/>
        <w:numPr>
          <w:ilvl w:val="0"/>
          <w:numId w:val="62"/>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中華民族聯邦共和國公民的其他自由權利，在不違反現行法律、不妨礙社會秩序及不損害公共利益時，均受憲法的保護。</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公民非經司法院依照現行法律判定有罪的，不得被關押，且遭受非法逮捕、拘禁、審問、處罰的，公民有權予以拒絕。公民因違法嫌疑需要被臨時逮捕拘禁的，其執行機構需出示由監察院出具的《違法嫌疑人拘捕通知》。公民除依法服現役外，不受軍事法庭的審判，公民依法服現役的，除違憲和廉政違法外，不受司法院的審判。</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公民應依法執行服兵役義務、依法執行納稅義務、依法執行保護環境義務和依法接受公民義務教育的權利與義務；非經現行法律認可的不可抗力因素的影響，拒不執行與接受前述義務的公民，經司法院審判可剝奪其本國國籍。</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公民素質教育法》簡稱《公民素質教育法》，《公民素質教育法》是提升本國公民的人權意識、公民意識、民主意識、法律意識、維權意識、規則意識、責任意識、道德意識、環保意識和納稅意識的素質教育法案。</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公民，因人生安全遭到非法威脅的，因財產安全遭到非法侵犯的，因個人無力保證個人合法人生安全和合法財產安全的，可依法向中華民族聯邦共和國公安部及其任意分支機構申請公民保護；且公民受到公權機構或公職人員的違法侵犯其權利的，受害公民有權依法向司法院申請國家賠償。</w:t>
      </w:r>
      <w:r>
        <w:rPr>
          <w:rFonts w:ascii="宋體-繁" w:hAnsi="宋體-繁" w:cs="宋體-繁"/>
        </w:rPr>
      </w:r>
      <w:r>
        <w:rPr>
          <w:rFonts w:ascii="宋體-繁" w:hAnsi="宋體-繁" w:cs="宋體-繁"/>
        </w:rPr>
      </w:r>
    </w:p>
    <w:p>
      <w:pPr>
        <w:pStyle w:val="1203"/>
        <w:numPr>
          <w:ilvl w:val="0"/>
          <w:numId w:val="50"/>
        </w:numPr>
        <w:pBdr/>
        <w:spacing w:after="0" w:before="156" w:line="300" w:lineRule="exact"/>
        <w:ind/>
        <w:outlineLvl w:val="1"/>
        <w:rPr>
          <w:rFonts w:ascii="宋體-繁" w:hAnsi="宋體-繁" w:cs="宋體-繁"/>
        </w:rPr>
      </w:pPr>
      <w:r/>
      <w:bookmarkStart w:id="81" w:name="_Toc7"/>
      <w:r>
        <w:rPr>
          <w:rFonts w:ascii="宋體-繁" w:hAnsi="宋體-繁" w:eastAsia="宋體-繁" w:cs="宋體-繁"/>
        </w:rPr>
      </w:r>
      <w:bookmarkStart w:id="16" w:name="__RefHeading___Toc7001_4090689648"/>
      <w:r>
        <w:rPr>
          <w:rFonts w:ascii="宋體-繁" w:hAnsi="宋體-繁" w:eastAsia="宋體-繁" w:cs="宋體-繁"/>
        </w:rPr>
      </w:r>
      <w:bookmarkEnd w:id="16"/>
      <w:r>
        <w:rPr>
          <w:rFonts w:ascii="宋體-繁" w:hAnsi="宋體-繁" w:eastAsia="宋體-繁" w:cs="宋體-繁"/>
          <w:b/>
          <w:color w:val="000000" w:themeColor="text1"/>
          <w:sz w:val="28"/>
          <w:szCs w:val="28"/>
          <w:lang w:eastAsia="zh-TW"/>
        </w:rPr>
        <w:t xml:space="preserve">憲法的特別條款</w:t>
      </w:r>
      <w:r>
        <w:rPr>
          <w:rFonts w:ascii="宋體-繁" w:hAnsi="宋體-繁" w:eastAsia="宋體-繁" w:cs="宋體-繁"/>
        </w:rPr>
      </w:r>
      <w:bookmarkEnd w:id="81"/>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中華民族聯邦共和國應以國家的名義維護海外華人、華僑同胞的人權與利益，在不侵犯他國公民人權的基礎上，中華民族聯邦共和國軍隊應以不低於保衛本國領土安全的重視程度維護海外華人、華僑同胞的人權。</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中華民族聯邦共和國的執政黨隨總統選舉而產生，總統所在政黨即為執政黨，可以推選總統候選人參與總統選舉的政黨包括但不限於中國國民黨、中國民進黨、中國民主黨、中國五民黨和中國民建黨。</w:t>
      </w:r>
      <w:r>
        <w:rPr>
          <w:rFonts w:ascii="宋體-繁" w:hAnsi="宋體-繁" w:cs="宋體-繁"/>
        </w:rPr>
      </w:r>
      <w:r>
        <w:rPr>
          <w:rFonts w:ascii="宋體-繁" w:hAnsi="宋體-繁" w:cs="宋體-繁"/>
        </w:rPr>
      </w:r>
    </w:p>
    <w:p>
      <w:pPr>
        <w:pStyle w:val="1203"/>
        <w:numPr>
          <w:ilvl w:val="0"/>
          <w:numId w:val="63"/>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中華民族聯邦共和國任何註冊政黨均可推舉所屬黨員參與民選公職人員競選，任意合法公民均可參與國聘公職人員競聘，除司法要求外，政黨及公民的前述權利不得被剝奪。</w:t>
      </w:r>
      <w:r>
        <w:rPr>
          <w:rFonts w:ascii="宋體-繁" w:hAnsi="宋體-繁" w:cs="宋體-繁"/>
        </w:rPr>
      </w:r>
      <w:r>
        <w:rPr>
          <w:rFonts w:ascii="宋體-繁" w:hAnsi="宋體-繁" w:cs="宋體-繁"/>
        </w:rPr>
      </w:r>
    </w:p>
    <w:p>
      <w:pPr>
        <w:pStyle w:val="1203"/>
        <w:numPr>
          <w:ilvl w:val="0"/>
          <w:numId w:val="63"/>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中華民族聯邦共和國總統的選舉，每黨可推出</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名總統候選人參與由國家立法院選舉委員會組織的總統選舉活動；且同一政黨不得連續執政超過</w:t>
      </w:r>
      <w:r>
        <w:rPr>
          <w:rFonts w:ascii="宋體-繁" w:hAnsi="宋體-繁" w:eastAsia="宋體-繁" w:cs="宋體-繁"/>
          <w:color w:val="000000" w:themeColor="text1"/>
          <w:szCs w:val="21"/>
          <w:lang w:eastAsia="zh-TW"/>
        </w:rPr>
        <w:t xml:space="preserve">6</w:t>
      </w:r>
      <w:r>
        <w:rPr>
          <w:rFonts w:ascii="宋體-繁" w:hAnsi="宋體-繁" w:eastAsia="宋體-繁" w:cs="宋體-繁"/>
          <w:color w:val="000000" w:themeColor="text1"/>
          <w:szCs w:val="21"/>
          <w:lang w:eastAsia="zh-TW"/>
        </w:rPr>
        <w:t xml:space="preserve">屆，同一政黨連續執政</w:t>
      </w:r>
      <w:r>
        <w:rPr>
          <w:rFonts w:ascii="宋體-繁" w:hAnsi="宋體-繁" w:eastAsia="宋體-繁" w:cs="宋體-繁"/>
          <w:color w:val="000000" w:themeColor="text1"/>
          <w:szCs w:val="21"/>
          <w:lang w:eastAsia="zh-TW"/>
        </w:rPr>
        <w:t xml:space="preserve">6</w:t>
      </w:r>
      <w:r>
        <w:rPr>
          <w:rFonts w:ascii="宋體-繁" w:hAnsi="宋體-繁" w:eastAsia="宋體-繁" w:cs="宋體-繁"/>
          <w:color w:val="000000" w:themeColor="text1"/>
          <w:szCs w:val="21"/>
          <w:lang w:eastAsia="zh-TW"/>
        </w:rPr>
        <w:t xml:space="preserve">屆的，下一屆總統選舉該黨不得推出總統候選人參與總統選舉。</w:t>
      </w:r>
      <w:r>
        <w:rPr>
          <w:rFonts w:ascii="宋體-繁" w:hAnsi="宋體-繁" w:cs="宋體-繁"/>
        </w:rPr>
      </w:r>
      <w:r>
        <w:rPr>
          <w:rFonts w:ascii="宋體-繁" w:hAnsi="宋體-繁" w:cs="宋體-繁"/>
        </w:rPr>
      </w:r>
    </w:p>
    <w:p>
      <w:pPr>
        <w:pStyle w:val="1203"/>
        <w:numPr>
          <w:ilvl w:val="0"/>
          <w:numId w:val="63"/>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中華民族聯邦共和國總統每屆任期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屆，且擔任過總統的公民不得再擔任副總統、國家立法院院長、國家司法院院長和國家監察院院長；擔任過國家立法院院長、國家司法院院長和國家監察院院長的公民，不得再擔任總統或副總統。</w:t>
      </w:r>
      <w:r>
        <w:rPr>
          <w:rFonts w:ascii="宋體-繁" w:hAnsi="宋體-繁" w:cs="宋體-繁"/>
        </w:rPr>
      </w:r>
      <w:r>
        <w:rPr>
          <w:rFonts w:ascii="宋體-繁" w:hAnsi="宋體-繁" w:cs="宋體-繁"/>
        </w:rPr>
      </w:r>
    </w:p>
    <w:p>
      <w:pPr>
        <w:pStyle w:val="1203"/>
        <w:numPr>
          <w:ilvl w:val="0"/>
          <w:numId w:val="51"/>
        </w:numPr>
        <w:pBdr/>
        <w:spacing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立法院參議會負責審議立法院法案草案，沒有發起法案草案的權力；立法院眾議會負責起草發起立法院除教育類法案草案以外的法案草案，沒有法案草案終審的權力；立法院參議會和眾議會表決程序由常規案表決、重要案表決、特別案表決和常規案二審表決共四種組成。</w:t>
      </w:r>
      <w:r>
        <w:rPr>
          <w:rFonts w:ascii="宋體-繁" w:hAnsi="宋體-繁" w:cs="宋體-繁"/>
        </w:rPr>
      </w:r>
      <w:r>
        <w:rPr>
          <w:rFonts w:ascii="宋體-繁" w:hAnsi="宋體-繁" w:cs="宋體-繁"/>
        </w:rPr>
      </w:r>
    </w:p>
    <w:p>
      <w:pPr>
        <w:pStyle w:val="1203"/>
        <w:numPr>
          <w:ilvl w:val="0"/>
          <w:numId w:val="64"/>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常規案表決需超過</w:t>
      </w:r>
      <w:r>
        <w:rPr>
          <w:rFonts w:ascii="宋體-繁" w:hAnsi="宋體-繁" w:eastAsia="宋體-繁" w:cs="宋體-繁"/>
          <w:color w:val="000000" w:themeColor="text1"/>
          <w:szCs w:val="21"/>
          <w:lang w:eastAsia="zh-TW"/>
        </w:rPr>
        <w:t xml:space="preserve">80%</w:t>
      </w:r>
      <w:r>
        <w:rPr>
          <w:rFonts w:ascii="宋體-繁" w:hAnsi="宋體-繁" w:eastAsia="宋體-繁" w:cs="宋體-繁"/>
          <w:color w:val="000000" w:themeColor="text1"/>
          <w:szCs w:val="21"/>
          <w:lang w:eastAsia="zh-TW"/>
        </w:rPr>
        <w:t xml:space="preserve">以上的現任議員參與表決，並獲得</w:t>
      </w:r>
      <w:r>
        <w:rPr>
          <w:rFonts w:ascii="宋體-繁" w:hAnsi="宋體-繁" w:eastAsia="宋體-繁" w:cs="宋體-繁"/>
          <w:color w:val="000000" w:themeColor="text1"/>
          <w:szCs w:val="21"/>
          <w:lang w:eastAsia="zh-TW"/>
        </w:rPr>
        <w:t xml:space="preserve">60%</w:t>
      </w:r>
      <w:r>
        <w:rPr>
          <w:rFonts w:ascii="宋體-繁" w:hAnsi="宋體-繁" w:eastAsia="宋體-繁" w:cs="宋體-繁"/>
          <w:color w:val="000000" w:themeColor="text1"/>
          <w:szCs w:val="21"/>
          <w:lang w:eastAsia="zh-TW"/>
        </w:rPr>
        <w:t xml:space="preserve">以上參與表決的議員投贊成票即通過；重要案表決需超過</w:t>
      </w:r>
      <w:r>
        <w:rPr>
          <w:rFonts w:ascii="宋體-繁" w:hAnsi="宋體-繁" w:eastAsia="宋體-繁" w:cs="宋體-繁"/>
          <w:color w:val="000000" w:themeColor="text1"/>
          <w:szCs w:val="21"/>
          <w:lang w:eastAsia="zh-TW"/>
        </w:rPr>
        <w:t xml:space="preserve">90%</w:t>
      </w:r>
      <w:r>
        <w:rPr>
          <w:rFonts w:ascii="宋體-繁" w:hAnsi="宋體-繁" w:eastAsia="宋體-繁" w:cs="宋體-繁"/>
          <w:color w:val="000000" w:themeColor="text1"/>
          <w:szCs w:val="21"/>
          <w:lang w:eastAsia="zh-TW"/>
        </w:rPr>
        <w:t xml:space="preserve">以上的現任議員參與表決，並獲得</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以上參與表決的議員投贊成票即通過；常規案二審表決需全體現任議員參與表決，並獲得</w:t>
      </w:r>
      <w:r>
        <w:rPr>
          <w:rFonts w:ascii="宋體-繁" w:hAnsi="宋體-繁" w:eastAsia="宋體-繁" w:cs="宋體-繁"/>
          <w:color w:val="000000" w:themeColor="text1"/>
          <w:szCs w:val="21"/>
          <w:lang w:eastAsia="zh-TW"/>
        </w:rPr>
        <w:t xml:space="preserve">50%</w:t>
      </w:r>
      <w:r>
        <w:rPr>
          <w:rFonts w:ascii="宋體-繁" w:hAnsi="宋體-繁" w:eastAsia="宋體-繁" w:cs="宋體-繁"/>
          <w:color w:val="000000" w:themeColor="text1"/>
          <w:szCs w:val="21"/>
          <w:lang w:eastAsia="zh-TW"/>
        </w:rPr>
        <w:t xml:space="preserve">以上的贊成票，且反對票少於</w:t>
      </w:r>
      <w:r>
        <w:rPr>
          <w:rFonts w:ascii="宋體-繁" w:hAnsi="宋體-繁" w:eastAsia="宋體-繁" w:cs="宋體-繁"/>
          <w:color w:val="000000" w:themeColor="text1"/>
          <w:szCs w:val="21"/>
          <w:lang w:eastAsia="zh-TW"/>
        </w:rPr>
        <w:t xml:space="preserve">20%</w:t>
      </w:r>
      <w:r>
        <w:rPr>
          <w:rFonts w:ascii="宋體-繁" w:hAnsi="宋體-繁" w:eastAsia="宋體-繁" w:cs="宋體-繁"/>
          <w:color w:val="000000" w:themeColor="text1"/>
          <w:szCs w:val="21"/>
          <w:lang w:eastAsia="zh-TW"/>
        </w:rPr>
        <w:t xml:space="preserve">，表決即通過。</w:t>
      </w:r>
      <w:r>
        <w:rPr>
          <w:rFonts w:ascii="宋體-繁" w:hAnsi="宋體-繁" w:cs="宋體-繁"/>
        </w:rPr>
      </w:r>
      <w:r>
        <w:rPr>
          <w:rFonts w:ascii="宋體-繁" w:hAnsi="宋體-繁" w:cs="宋體-繁"/>
        </w:rPr>
      </w:r>
    </w:p>
    <w:p>
      <w:pPr>
        <w:pStyle w:val="1203"/>
        <w:numPr>
          <w:ilvl w:val="0"/>
          <w:numId w:val="64"/>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立法院特別案表決的通過必須同時滿足以下兩個條件：一是需全體議員參與投票表決，並獲得</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以上的贊成票；二是舉行公民投票，其特別案表決為國家立法院的，需佔全國</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以上擁有投票權的公民參與投票，並獲得</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以上參與投票的公民投贊成票；其特別案表決為省立法院的，需佔該省</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以上擁有投票權的公民參與投票，並獲得</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以上參與投票的公民投贊成票。</w:t>
      </w:r>
      <w:r>
        <w:rPr>
          <w:rFonts w:ascii="宋體-繁" w:hAnsi="宋體-繁" w:cs="宋體-繁"/>
        </w:rPr>
      </w:r>
      <w:r>
        <w:rPr>
          <w:rFonts w:ascii="宋體-繁" w:hAnsi="宋體-繁" w:cs="宋體-繁"/>
        </w:rPr>
      </w:r>
    </w:p>
    <w:p>
      <w:pPr>
        <w:pStyle w:val="1203"/>
        <w:numPr>
          <w:ilvl w:val="0"/>
          <w:numId w:val="64"/>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國家教委會負責起草發起國家立法院教育類法案草案，立法院的常規案表決、重要案表決和常規案二審表決程序適用於國家教委會。</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市立法會的法案草案由該市自治會委員、該市立法會委員、該市轄區任意公民和該市所屬鎮自治會委員提交，市立法會的表決程序由常規案表決、重要案表決、特別案表決和常規案二審表決共四種組成。</w:t>
      </w:r>
      <w:r>
        <w:rPr>
          <w:rFonts w:ascii="宋體-繁" w:hAnsi="宋體-繁" w:cs="宋體-繁"/>
        </w:rPr>
      </w:r>
      <w:r>
        <w:rPr>
          <w:rFonts w:ascii="宋體-繁" w:hAnsi="宋體-繁" w:cs="宋體-繁"/>
        </w:rPr>
      </w:r>
    </w:p>
    <w:p>
      <w:pPr>
        <w:pStyle w:val="1203"/>
        <w:numPr>
          <w:ilvl w:val="0"/>
          <w:numId w:val="65"/>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由該市公民提交的法案草案，滿足以下兩點其一的，市立法會必須接受表決：一是該法案草案獲得該市一千名以上公民和五個以上公民團體聯署的；二是為提交該法案草案表決而組織的公民集會活動單日內參與人數超過該市總人口數</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的。</w:t>
      </w:r>
      <w:r>
        <w:rPr>
          <w:rFonts w:ascii="宋體-繁" w:hAnsi="宋體-繁" w:cs="宋體-繁"/>
        </w:rPr>
      </w:r>
      <w:r>
        <w:rPr>
          <w:rFonts w:ascii="宋體-繁" w:hAnsi="宋體-繁" w:cs="宋體-繁"/>
        </w:rPr>
      </w:r>
    </w:p>
    <w:p>
      <w:pPr>
        <w:pStyle w:val="1203"/>
        <w:numPr>
          <w:ilvl w:val="0"/>
          <w:numId w:val="65"/>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市立法會的常規案表決需超過</w:t>
      </w:r>
      <w:r>
        <w:rPr>
          <w:rFonts w:ascii="宋體-繁" w:hAnsi="宋體-繁" w:eastAsia="宋體-繁" w:cs="宋體-繁"/>
          <w:color w:val="000000" w:themeColor="text1"/>
          <w:szCs w:val="21"/>
          <w:lang w:eastAsia="zh-TW"/>
        </w:rPr>
        <w:t xml:space="preserve">80%</w:t>
      </w:r>
      <w:r>
        <w:rPr>
          <w:rFonts w:ascii="宋體-繁" w:hAnsi="宋體-繁" w:eastAsia="宋體-繁" w:cs="宋體-繁"/>
          <w:color w:val="000000" w:themeColor="text1"/>
          <w:szCs w:val="21"/>
          <w:lang w:eastAsia="zh-TW"/>
        </w:rPr>
        <w:t xml:space="preserve">以上的市立法會現任委員參與表決，並獲得</w:t>
      </w:r>
      <w:r>
        <w:rPr>
          <w:rFonts w:ascii="宋體-繁" w:hAnsi="宋體-繁" w:eastAsia="宋體-繁" w:cs="宋體-繁"/>
          <w:color w:val="000000" w:themeColor="text1"/>
          <w:szCs w:val="21"/>
          <w:lang w:eastAsia="zh-TW"/>
        </w:rPr>
        <w:t xml:space="preserve">60%</w:t>
      </w:r>
      <w:r>
        <w:rPr>
          <w:rFonts w:ascii="宋體-繁" w:hAnsi="宋體-繁" w:eastAsia="宋體-繁" w:cs="宋體-繁"/>
          <w:color w:val="000000" w:themeColor="text1"/>
          <w:szCs w:val="21"/>
          <w:lang w:eastAsia="zh-TW"/>
        </w:rPr>
        <w:t xml:space="preserve">以上參與表決的委員投贊成票即通過；重要案表決需超過</w:t>
      </w:r>
      <w:r>
        <w:rPr>
          <w:rFonts w:ascii="宋體-繁" w:hAnsi="宋體-繁" w:eastAsia="宋體-繁" w:cs="宋體-繁"/>
          <w:color w:val="000000" w:themeColor="text1"/>
          <w:szCs w:val="21"/>
          <w:lang w:eastAsia="zh-TW"/>
        </w:rPr>
        <w:t xml:space="preserve">90%</w:t>
      </w:r>
      <w:r>
        <w:rPr>
          <w:rFonts w:ascii="宋體-繁" w:hAnsi="宋體-繁" w:eastAsia="宋體-繁" w:cs="宋體-繁"/>
          <w:color w:val="000000" w:themeColor="text1"/>
          <w:szCs w:val="21"/>
          <w:lang w:eastAsia="zh-TW"/>
        </w:rPr>
        <w:t xml:space="preserve">以上的市立法會現任委員參與表決，並獲得</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以上參與表決的委員投贊成票即通過；常規案二審表決需全體市立法會現任委員參與表決，並獲得</w:t>
      </w:r>
      <w:r>
        <w:rPr>
          <w:rFonts w:ascii="宋體-繁" w:hAnsi="宋體-繁" w:eastAsia="宋體-繁" w:cs="宋體-繁"/>
          <w:color w:val="000000" w:themeColor="text1"/>
          <w:szCs w:val="21"/>
          <w:lang w:eastAsia="zh-TW"/>
        </w:rPr>
        <w:t xml:space="preserve">50%</w:t>
      </w:r>
      <w:r>
        <w:rPr>
          <w:rFonts w:ascii="宋體-繁" w:hAnsi="宋體-繁" w:eastAsia="宋體-繁" w:cs="宋體-繁"/>
          <w:color w:val="000000" w:themeColor="text1"/>
          <w:szCs w:val="21"/>
          <w:lang w:eastAsia="zh-TW"/>
        </w:rPr>
        <w:t xml:space="preserve">以上的贊成票，且反對票少於</w:t>
      </w:r>
      <w:r>
        <w:rPr>
          <w:rFonts w:ascii="宋體-繁" w:hAnsi="宋體-繁" w:eastAsia="宋體-繁" w:cs="宋體-繁"/>
          <w:color w:val="000000" w:themeColor="text1"/>
          <w:szCs w:val="21"/>
          <w:lang w:eastAsia="zh-TW"/>
        </w:rPr>
        <w:t xml:space="preserve">20%</w:t>
      </w:r>
      <w:r>
        <w:rPr>
          <w:rFonts w:ascii="宋體-繁" w:hAnsi="宋體-繁" w:eastAsia="宋體-繁" w:cs="宋體-繁"/>
          <w:color w:val="000000" w:themeColor="text1"/>
          <w:szCs w:val="21"/>
          <w:lang w:eastAsia="zh-TW"/>
        </w:rPr>
        <w:t xml:space="preserve">，表決即通過。</w:t>
      </w:r>
      <w:r>
        <w:rPr>
          <w:rFonts w:ascii="宋體-繁" w:hAnsi="宋體-繁" w:cs="宋體-繁"/>
        </w:rPr>
      </w:r>
      <w:r>
        <w:rPr>
          <w:rFonts w:ascii="宋體-繁" w:hAnsi="宋體-繁" w:cs="宋體-繁"/>
        </w:rPr>
      </w:r>
    </w:p>
    <w:p>
      <w:pPr>
        <w:pStyle w:val="1203"/>
        <w:numPr>
          <w:ilvl w:val="0"/>
          <w:numId w:val="65"/>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市立法會特別案表決的通過必須同時滿足以下兩個條件：一是需全體市立法會現任委員參與表決，並獲得</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以上的贊成票；二是舉行公民投票，需佔該市</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以上擁有投票權的公民參與投票，並獲得</w:t>
      </w:r>
      <w:r>
        <w:rPr>
          <w:rFonts w:ascii="宋體-繁" w:hAnsi="宋體-繁" w:eastAsia="宋體-繁" w:cs="宋體-繁"/>
          <w:color w:val="000000" w:themeColor="text1"/>
          <w:szCs w:val="21"/>
          <w:lang w:eastAsia="zh-TW"/>
        </w:rPr>
        <w:t xml:space="preserve">70%</w:t>
      </w:r>
      <w:r>
        <w:rPr>
          <w:rFonts w:ascii="宋體-繁" w:hAnsi="宋體-繁" w:eastAsia="宋體-繁" w:cs="宋體-繁"/>
          <w:color w:val="000000" w:themeColor="text1"/>
          <w:szCs w:val="21"/>
          <w:lang w:eastAsia="zh-TW"/>
        </w:rPr>
        <w:t xml:space="preserve">以上參與投票的公民投贊成票。</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在總統出現違憲違法時，國家眾議會有權有義務發起總統彈劾案，國家眾議會和參議會以重要案表決通過的，總統彈劾案即成立；國家眾議會表決未通過或國家參議會表決未通過的，總統彈劾案即駁回。</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在軍隊軍人出現違憲時，聯邦司法院有權有義務發起軍隊軍人違憲指控聽證會，軍隊軍人有義務出席違憲指控聽證會，根據聽證會結論，聯邦司法院可升級軍隊軍人違憲指控為軍隊軍人違憲審查。</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在公職人員或軍隊軍人出現廉政違法時，聯邦廉政署有權有義務發起廉政違法調查及廉政違法訴訟，聯邦廉政署發起廉政違法訴訟經司法院審判罪名成立的，其公職人員或軍隊軍人權責立即失效。</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禁止設立國家宗教、禁止推崇領袖崇拜主義、禁止從事共產主義活動、禁止從事法西斯主義活動、禁止從事軍國主義活動、禁止從事恐怖主義活動、禁止從事反人類活動、禁止從事極端宗教活動，在中華民族聯邦共和國的領土上，上述組織、活動與行為均屬於違憲違法。</w:t>
      </w:r>
      <w:r>
        <w:rPr>
          <w:rFonts w:ascii="宋體-繁" w:hAnsi="宋體-繁" w:cs="宋體-繁"/>
        </w:rPr>
      </w:r>
      <w:r>
        <w:rPr>
          <w:rFonts w:ascii="宋體-繁" w:hAnsi="宋體-繁" w:cs="宋體-繁"/>
        </w:rPr>
      </w:r>
    </w:p>
    <w:p>
      <w:pPr>
        <w:pStyle w:val="1203"/>
        <w:numPr>
          <w:ilvl w:val="0"/>
          <w:numId w:val="66"/>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國家允許存在多個合法的宗教，合法宗教的原則在於其教義非排他性和遵守人權自由的基本原則，合法的宗教其教義應以推崇真善美、應以不限制公民的人權自由為基礎。</w:t>
      </w:r>
      <w:r>
        <w:rPr>
          <w:rFonts w:ascii="宋體-繁" w:hAnsi="宋體-繁" w:cs="宋體-繁"/>
        </w:rPr>
      </w:r>
      <w:r>
        <w:rPr>
          <w:rFonts w:ascii="宋體-繁" w:hAnsi="宋體-繁" w:cs="宋體-繁"/>
        </w:rPr>
      </w:r>
    </w:p>
    <w:p>
      <w:pPr>
        <w:pStyle w:val="1203"/>
        <w:numPr>
          <w:ilvl w:val="0"/>
          <w:numId w:val="66"/>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公民的宗教信仰自由，但宗教信仰不能限制公民的人權自由、不能違反現行法律、不得妨礙社會秩序及不得損害公共利益，且公民的人權始終大於宗教及宗教教義。</w:t>
      </w:r>
      <w:r>
        <w:rPr>
          <w:rFonts w:ascii="宋體-繁" w:hAnsi="宋體-繁" w:cs="宋體-繁"/>
        </w:rPr>
      </w:r>
      <w:r>
        <w:rPr>
          <w:rFonts w:ascii="宋體-繁" w:hAnsi="宋體-繁" w:cs="宋體-繁"/>
        </w:rPr>
      </w:r>
    </w:p>
    <w:p>
      <w:pPr>
        <w:pStyle w:val="1203"/>
        <w:numPr>
          <w:ilvl w:val="0"/>
          <w:numId w:val="66"/>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禁止一切形式的政教合一、軍政合一、黨政合一的組織機構和結社活動，宗教不具有強制約束性，政黨不具有國家公權權力；且具有領袖崇拜主義、共產主義、法西斯主義、軍國主義、恐怖主義、極端宗教主義和反人類行為的公民，不得任職公職人員，不得加入軍隊。</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中華民族聯邦共和國的公職人員分為民選公職人員、民聘公職人員和國聘公職人員三種類型，民選公職人員由公民普選產生，民聘公職人員由民選公職人員或民選自治委員提名聘用產生，其他為國聘公職人員。</w:t>
      </w:r>
      <w:r>
        <w:rPr>
          <w:rFonts w:ascii="宋體-繁" w:hAnsi="宋體-繁" w:cs="宋體-繁"/>
        </w:rPr>
      </w:r>
      <w:r>
        <w:rPr>
          <w:rFonts w:ascii="宋體-繁" w:hAnsi="宋體-繁" w:cs="宋體-繁"/>
        </w:rPr>
      </w:r>
    </w:p>
    <w:p>
      <w:pPr>
        <w:pStyle w:val="1203"/>
        <w:numPr>
          <w:ilvl w:val="0"/>
          <w:numId w:val="67"/>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公職人員中由公民普選產生的有市公民立法委員會委員、市公民教育委員會委員、省參議會參議員、省眾議會眾議員、護憲大法官和總統府總統；中華民族聯邦共和國民選自治委員有鎮公民自治委員會委員和市公民自治委員會委員。</w:t>
      </w:r>
      <w:r>
        <w:rPr>
          <w:rFonts w:ascii="宋體-繁" w:hAnsi="宋體-繁" w:cs="宋體-繁"/>
        </w:rPr>
      </w:r>
      <w:r>
        <w:rPr>
          <w:rFonts w:ascii="宋體-繁" w:hAnsi="宋體-繁" w:cs="宋體-繁"/>
        </w:rPr>
      </w:r>
    </w:p>
    <w:p>
      <w:pPr>
        <w:pStyle w:val="1203"/>
        <w:numPr>
          <w:ilvl w:val="0"/>
          <w:numId w:val="67"/>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通過鎮級行政區所轄公民的投票，可罷免由該鎮公民選舉產生的鎮自治會委員、市自治會委員和市立法會委員的任職；通過市級行政區所轄公民的投票，可罷免由該市公民選舉產生的市教委會委員、省參議會參議員和省眾議會眾議員的任職。</w:t>
      </w:r>
      <w:r>
        <w:rPr>
          <w:rFonts w:ascii="宋體-繁" w:hAnsi="宋體-繁" w:cs="宋體-繁"/>
        </w:rPr>
      </w:r>
      <w:r>
        <w:rPr>
          <w:rFonts w:ascii="宋體-繁" w:hAnsi="宋體-繁" w:cs="宋體-繁"/>
        </w:rPr>
      </w:r>
    </w:p>
    <w:p>
      <w:pPr>
        <w:pStyle w:val="1203"/>
        <w:numPr>
          <w:ilvl w:val="0"/>
          <w:numId w:val="67"/>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中華民族聯邦共和國的所有公職人員必須對外公開個人財產、家庭財產和直系親屬關係，且本人及其法定配偶、未成年子女和生育子女尚未成年的生育配偶必須是擁有中華民族聯邦共和國唯一國籍的公民。</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在中華民族聯邦共和國境內，記者和律師是維護社會自由和公平的根基所在，除總統府、府務部、國防部、各軍事管轄區以及國家司法院另行規定的公權機構和區域外，任何公權機構不得阻止記者和律師的工作自由。</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在中華民族聯邦共和國境內的任何公共場所，除獲得音視頻設備安裝所在市市立法會授權安裝的，任何機構和個人不得在公共場所安裝音視頻設備；且任何機構任何人需要調用公共場所音視頻資料的，必須獲得音視頻設備所在市市監察院和所在省省監察院的雙重授權許可。</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凡中華民族聯邦共和國的法人，未經聯邦司法院審判定罪的，任何機構和個人不得對其進行違法限制自由、不得違法要求其提供協助、不得違法沒收其財產、不得違法獲得其資料。任何行權機構因公職需要法人配合行權行為的，必須獲得該法人所在地監察院的依法授權許可，未獲得監察院授權許可的，法人有權予以拒絕。</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中華民族聯邦共和國的國家意志之一，便是推動人類實現普世價值、實現人人平等、實現人權自由；凡作為中華民族聯邦共和國的公民，均有義務捍衛自由民主與普世價值，並與一切迫害人權的現象作鬥爭。</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中華民族聯邦共和國禁止一切形式的政治迫害，禁止訂立政治迫害類法律，在中華民族聯邦共和國的領土上沒有政治犯罪的概念、沒有政治犯罪的行為和沒有政治犯罪的法律。</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中華民族聯邦共和國憲法允許公民通過合法的行為表達訴求，任何公權機構和公職人員不得阻止公民合法的表達訴求，合法的行為包括但不限於遊行、結社、示威、靜坐等方式。</w:t>
      </w:r>
      <w:r>
        <w:rPr>
          <w:rFonts w:ascii="宋體-繁" w:hAnsi="宋體-繁" w:cs="宋體-繁"/>
        </w:rPr>
      </w:r>
      <w:r>
        <w:rPr>
          <w:rFonts w:ascii="宋體-繁" w:hAnsi="宋體-繁" w:cs="宋體-繁"/>
        </w:rPr>
      </w:r>
    </w:p>
    <w:p>
      <w:pPr>
        <w:pStyle w:val="1203"/>
        <w:numPr>
          <w:ilvl w:val="0"/>
          <w:numId w:val="1"/>
        </w:numPr>
        <w:pBdr/>
        <w:spacing w:after="156" w:before="156" w:line="400" w:lineRule="exact"/>
        <w:ind/>
        <w:jc w:val="center"/>
        <w:outlineLvl w:val="0"/>
        <w:rPr>
          <w:rFonts w:ascii="宋體-繁" w:hAnsi="宋體-繁" w:cs="宋體-繁"/>
        </w:rPr>
      </w:pPr>
      <w:r/>
      <w:bookmarkStart w:id="82" w:name="_Toc8"/>
      <w:r>
        <w:rPr>
          <w:rFonts w:ascii="宋體-繁" w:hAnsi="宋體-繁" w:eastAsia="宋體-繁" w:cs="宋體-繁"/>
        </w:rPr>
      </w:r>
      <w:bookmarkStart w:id="18" w:name="__RefHeading___Toc7003_4090689648"/>
      <w:r>
        <w:rPr>
          <w:rFonts w:ascii="宋體-繁" w:hAnsi="宋體-繁" w:eastAsia="宋體-繁" w:cs="宋體-繁"/>
        </w:rPr>
      </w:r>
      <w:bookmarkEnd w:id="18"/>
      <w:r>
        <w:rPr>
          <w:rFonts w:ascii="宋體-繁" w:hAnsi="宋體-繁" w:eastAsia="宋體-繁" w:cs="宋體-繁"/>
          <w:b/>
          <w:color w:val="000000" w:themeColor="text1"/>
          <w:sz w:val="32"/>
          <w:szCs w:val="32"/>
        </w:rPr>
        <w:t xml:space="preserve">政府</w:t>
      </w:r>
      <w:r>
        <w:rPr>
          <w:rFonts w:ascii="宋體-繁" w:hAnsi="宋體-繁" w:eastAsia="宋體-繁" w:cs="宋體-繁"/>
        </w:rPr>
      </w:r>
      <w:bookmarkEnd w:id="82"/>
      <w:r>
        <w:rPr>
          <w:rFonts w:ascii="宋體-繁" w:hAnsi="宋體-繁" w:cs="宋體-繁"/>
        </w:rPr>
      </w:r>
      <w:r>
        <w:rPr>
          <w:rFonts w:ascii="宋體-繁" w:hAnsi="宋體-繁" w:cs="宋體-繁"/>
        </w:rPr>
      </w:r>
    </w:p>
    <w:p>
      <w:pPr>
        <w:pStyle w:val="1203"/>
        <w:numPr>
          <w:ilvl w:val="0"/>
          <w:numId w:val="20"/>
        </w:numPr>
        <w:pBdr/>
        <w:spacing w:after="0" w:before="156" w:line="300" w:lineRule="exact"/>
        <w:ind/>
        <w:outlineLvl w:val="1"/>
        <w:rPr>
          <w:rFonts w:ascii="宋體-繁" w:hAnsi="宋體-繁" w:cs="宋體-繁"/>
        </w:rPr>
      </w:pPr>
      <w:r/>
      <w:bookmarkStart w:id="83" w:name="_Toc9"/>
      <w:r>
        <w:rPr>
          <w:rFonts w:ascii="宋體-繁" w:hAnsi="宋體-繁" w:eastAsia="宋體-繁" w:cs="宋體-繁"/>
        </w:rPr>
      </w:r>
      <w:bookmarkStart w:id="20" w:name="__RefHeading___Toc7005_4090689648"/>
      <w:r>
        <w:rPr>
          <w:rFonts w:ascii="宋體-繁" w:hAnsi="宋體-繁" w:eastAsia="宋體-繁" w:cs="宋體-繁"/>
        </w:rPr>
      </w:r>
      <w:bookmarkEnd w:id="20"/>
      <w:r>
        <w:rPr>
          <w:rFonts w:ascii="宋體-繁" w:hAnsi="宋體-繁" w:eastAsia="宋體-繁" w:cs="宋體-繁"/>
          <w:b/>
          <w:color w:val="000000" w:themeColor="text1"/>
          <w:sz w:val="28"/>
          <w:szCs w:val="28"/>
          <w:lang w:eastAsia="zh-TW"/>
        </w:rPr>
        <w:t xml:space="preserve">總統府</w:t>
      </w:r>
      <w:r>
        <w:rPr>
          <w:rFonts w:ascii="宋體-繁" w:hAnsi="宋體-繁" w:eastAsia="宋體-繁" w:cs="宋體-繁"/>
        </w:rPr>
      </w:r>
      <w:bookmarkEnd w:id="83"/>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中華民族聯邦共和國設國家聯邦政府，即總統府，總統府設總統職位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個，由擁有選舉權的公民選舉產生，設副總統職位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個，由總統提名。</w:t>
      </w:r>
      <w:r>
        <w:rPr>
          <w:rFonts w:ascii="宋體-繁" w:hAnsi="宋體-繁" w:cs="宋體-繁"/>
        </w:rPr>
      </w:r>
      <w:r>
        <w:rPr>
          <w:rFonts w:ascii="宋體-繁" w:hAnsi="宋體-繁" w:cs="宋體-繁"/>
        </w:rPr>
      </w:r>
    </w:p>
    <w:p>
      <w:pPr>
        <w:pStyle w:val="1203"/>
        <w:numPr>
          <w:ilvl w:val="0"/>
          <w:numId w:val="21"/>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總統提名的副總統，由國家參議會以常規案表決任免產生，常規案表決未通過的，總統可發起常規案二審表決，常規案二審表決未通過的，該提名即駁回，並由總統另選被提名人；總統提名的副總統，經國家參議會三次常規案二審表決仍未通過的，總統可直接提名並任免副總統。</w:t>
      </w:r>
      <w:r>
        <w:rPr>
          <w:rFonts w:ascii="宋體-繁" w:hAnsi="宋體-繁" w:cs="宋體-繁"/>
        </w:rPr>
      </w:r>
      <w:r>
        <w:rPr>
          <w:rFonts w:ascii="宋體-繁" w:hAnsi="宋體-繁" w:cs="宋體-繁"/>
        </w:rPr>
      </w:r>
    </w:p>
    <w:p>
      <w:pPr>
        <w:pStyle w:val="1203"/>
        <w:numPr>
          <w:ilvl w:val="0"/>
          <w:numId w:val="21"/>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總統和副總統必須是年滿</w:t>
      </w:r>
      <w:r>
        <w:rPr>
          <w:rFonts w:ascii="宋體-繁" w:hAnsi="宋體-繁" w:eastAsia="宋體-繁" w:cs="宋體-繁"/>
          <w:color w:val="000000" w:themeColor="text1"/>
          <w:szCs w:val="21"/>
          <w:lang w:eastAsia="zh-TW"/>
        </w:rPr>
        <w:t xml:space="preserve">35</w:t>
      </w:r>
      <w:r>
        <w:rPr>
          <w:rFonts w:ascii="宋體-繁" w:hAnsi="宋體-繁" w:eastAsia="宋體-繁" w:cs="宋體-繁"/>
          <w:color w:val="000000" w:themeColor="text1"/>
          <w:szCs w:val="21"/>
          <w:lang w:eastAsia="zh-TW"/>
        </w:rPr>
        <w:t xml:space="preserve">週歲的中華民族聯邦共和國公民，且必須是出生在中華民族聯邦共和國境內，並在境內生活</w:t>
      </w:r>
      <w:r>
        <w:rPr>
          <w:rFonts w:ascii="宋體-繁" w:hAnsi="宋體-繁" w:eastAsia="宋體-繁" w:cs="宋體-繁"/>
          <w:color w:val="000000" w:themeColor="text1"/>
          <w:szCs w:val="21"/>
          <w:lang w:eastAsia="zh-TW"/>
        </w:rPr>
        <w:t xml:space="preserve">15</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21"/>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總統在不能履職的情況下的替任順序為副總統、府務部部長、外交部部長、國防部部長、國安部部長、公安部部長、民生部部長、住建部部長、農業部部長、商貿部部長、財稅部部長、能源部部長、交通部部長。</w:t>
      </w:r>
      <w:r>
        <w:rPr>
          <w:rFonts w:ascii="宋體-繁" w:hAnsi="宋體-繁" w:cs="宋體-繁"/>
        </w:rPr>
      </w:r>
      <w:r>
        <w:rPr>
          <w:rFonts w:ascii="宋體-繁" w:hAnsi="宋體-繁" w:cs="宋體-繁"/>
        </w:rPr>
      </w:r>
    </w:p>
    <w:p>
      <w:pPr>
        <w:pStyle w:val="1203"/>
        <w:numPr>
          <w:ilvl w:val="0"/>
          <w:numId w:val="21"/>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在被替任總統無法恢復其任職的情況下，替任總統的任期為被替任總統任期的剩餘任期，其替任任期不計入選舉總統任期，在被替任總統恢復其任職的情況下，替任總統任職資格失效。</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總統府下設府務部（總統府事務部）、外交部（外事交流部）、國防部（國家防務部）、國安部（國土安全部）、公安部（公民安全部）、民生部（公民生活保障部）、住建部（住房與城鎮建設部）、農業部（農業與農村發展部）、商貿部（商務與市場貿易部）、財稅部（財政與稅務部）、能源部（能源與環保發展部）、交通部（交通運輸部）共十二個直屬部級機構。</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總統府直屬部，每部設部長職位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個，由總統提名，設副部長職位</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個以下，由部長提名，部長和副部長每屆任期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2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總統提名的部長或部長提名的副部長，由國家參議會以常規案表決任免產生，常規案表決未通過的，提名人可發起常規案二審表決，常規案二審表決未通過的，該提名即駁回，並由提名人另選被提名人。</w:t>
      </w:r>
      <w:r>
        <w:rPr>
          <w:rFonts w:ascii="宋體-繁" w:hAnsi="宋體-繁" w:cs="宋體-繁"/>
        </w:rPr>
      </w:r>
      <w:r>
        <w:rPr>
          <w:rFonts w:ascii="宋體-繁" w:hAnsi="宋體-繁" w:cs="宋體-繁"/>
        </w:rPr>
      </w:r>
    </w:p>
    <w:p>
      <w:pPr>
        <w:pStyle w:val="1203"/>
        <w:numPr>
          <w:ilvl w:val="0"/>
          <w:numId w:val="2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在國家參議會三次常規案二審表決駁回總統提名的部長或部長提名的副部長後，由國家眾議會提名，經國家立法院以重要案表決通過，國家立法院有權獨立形成部長或副部長的任免職決議。</w:t>
      </w:r>
      <w:r>
        <w:rPr>
          <w:rFonts w:ascii="宋體-繁" w:hAnsi="宋體-繁" w:cs="宋體-繁"/>
        </w:rPr>
      </w:r>
      <w:r>
        <w:rPr>
          <w:rFonts w:ascii="宋體-繁" w:hAnsi="宋體-繁" w:cs="宋體-繁"/>
        </w:rPr>
      </w:r>
    </w:p>
    <w:p>
      <w:pPr>
        <w:pStyle w:val="1203"/>
        <w:numPr>
          <w:ilvl w:val="0"/>
          <w:numId w:val="2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在國家立法院獨立形成部長或副部長的任免職決議時，經三次重要案表決均未通過部長或副部長任免職決議的，由總統直接提名並任免部長，由部長直接提名並任免副部長。</w:t>
      </w:r>
      <w:r>
        <w:rPr>
          <w:rFonts w:ascii="宋體-繁" w:hAnsi="宋體-繁" w:cs="宋體-繁"/>
        </w:rPr>
      </w:r>
      <w:r>
        <w:rPr>
          <w:rFonts w:ascii="宋體-繁" w:hAnsi="宋體-繁" w:cs="宋體-繁"/>
        </w:rPr>
      </w:r>
    </w:p>
    <w:p>
      <w:pPr>
        <w:pStyle w:val="1203"/>
        <w:numPr>
          <w:ilvl w:val="0"/>
          <w:numId w:val="22"/>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總統府直屬部部長和副部長必須是年滿</w:t>
      </w:r>
      <w:r>
        <w:rPr>
          <w:rFonts w:ascii="宋體-繁" w:hAnsi="宋體-繁" w:eastAsia="宋體-繁" w:cs="宋體-繁"/>
          <w:color w:val="000000" w:themeColor="text1"/>
          <w:szCs w:val="21"/>
          <w:lang w:eastAsia="zh-TW"/>
        </w:rPr>
        <w:t xml:space="preserve">30</w:t>
      </w:r>
      <w:r>
        <w:rPr>
          <w:rFonts w:ascii="宋體-繁" w:hAnsi="宋體-繁" w:eastAsia="宋體-繁" w:cs="宋體-繁"/>
          <w:color w:val="000000" w:themeColor="text1"/>
          <w:szCs w:val="21"/>
          <w:lang w:eastAsia="zh-TW"/>
        </w:rPr>
        <w:t xml:space="preserve">週歲的中華民族聯邦共和國公民，且必須是出生在中華民族聯邦共和國境內，並在境內生活</w:t>
      </w:r>
      <w:r>
        <w:rPr>
          <w:rFonts w:ascii="宋體-繁" w:hAnsi="宋體-繁" w:eastAsia="宋體-繁" w:cs="宋體-繁"/>
          <w:color w:val="000000" w:themeColor="text1"/>
          <w:szCs w:val="21"/>
          <w:lang w:eastAsia="zh-TW"/>
        </w:rPr>
        <w:t xml:space="preserve">15</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總統是國家元首，對外代表中國；總統依憲法統領國家軍隊，對外簽署條約及行使宣戰、媾和的權力；總統依法簽署法律，簽署總統令，行使大赦、特赦的復核權，依法對內發佈國家戰爭動員令和緊急狀態令，依法任免文武官員，依法授予國家級榮譽稱號及頒發證書。</w:t>
      </w:r>
      <w:r>
        <w:rPr>
          <w:rFonts w:ascii="宋體-繁" w:hAnsi="宋體-繁" w:cs="宋體-繁"/>
        </w:rPr>
      </w:r>
      <w:r>
        <w:rPr>
          <w:rFonts w:ascii="宋體-繁" w:hAnsi="宋體-繁" w:cs="宋體-繁"/>
        </w:rPr>
      </w:r>
    </w:p>
    <w:p>
      <w:pPr>
        <w:pStyle w:val="1203"/>
        <w:numPr>
          <w:ilvl w:val="0"/>
          <w:numId w:val="20"/>
        </w:numPr>
        <w:pBdr/>
        <w:spacing w:after="0" w:before="156" w:line="300" w:lineRule="exact"/>
        <w:ind/>
        <w:outlineLvl w:val="1"/>
        <w:rPr>
          <w:rFonts w:ascii="宋體-繁" w:hAnsi="宋體-繁" w:cs="宋體-繁"/>
        </w:rPr>
      </w:pPr>
      <w:r/>
      <w:bookmarkStart w:id="84" w:name="_Toc10"/>
      <w:r>
        <w:rPr>
          <w:rFonts w:ascii="宋體-繁" w:hAnsi="宋體-繁" w:eastAsia="宋體-繁" w:cs="宋體-繁"/>
        </w:rPr>
      </w:r>
      <w:bookmarkStart w:id="22" w:name="__RefHeading___Toc7007_4090689648"/>
      <w:r>
        <w:rPr>
          <w:rFonts w:ascii="宋體-繁" w:hAnsi="宋體-繁" w:eastAsia="宋體-繁" w:cs="宋體-繁"/>
        </w:rPr>
      </w:r>
      <w:bookmarkEnd w:id="22"/>
      <w:r>
        <w:rPr>
          <w:rFonts w:ascii="宋體-繁" w:hAnsi="宋體-繁" w:eastAsia="宋體-繁" w:cs="宋體-繁"/>
          <w:b/>
          <w:color w:val="000000" w:themeColor="text1"/>
          <w:sz w:val="28"/>
          <w:szCs w:val="28"/>
        </w:rPr>
        <w:t xml:space="preserve">省政府</w:t>
      </w:r>
      <w:r>
        <w:rPr>
          <w:rFonts w:ascii="宋體-繁" w:hAnsi="宋體-繁" w:eastAsia="宋體-繁" w:cs="宋體-繁"/>
        </w:rPr>
      </w:r>
      <w:bookmarkEnd w:id="84"/>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中華民族聯邦共和國省級行政區設省聯邦政府，簡稱省政府，省政府是總統府派駐省級行政區的行政權行權機構，省政府隸屬於總統府；省政府設省長職位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個，由總統提名，設副省長職位</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個，由省長提名，省長和副省長每屆任期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23"/>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總統提名的省長或省長提名的副省長，由省參議會以常規案表決任免產生，常規案表決未通過的，提名人可發起常規案二審表決，常規案二審表決未通過的，該提名即駁回，並由提名人另選被提名人。</w:t>
      </w:r>
      <w:r>
        <w:rPr>
          <w:rFonts w:ascii="宋體-繁" w:hAnsi="宋體-繁" w:cs="宋體-繁"/>
        </w:rPr>
      </w:r>
      <w:r>
        <w:rPr>
          <w:rFonts w:ascii="宋體-繁" w:hAnsi="宋體-繁" w:cs="宋體-繁"/>
        </w:rPr>
      </w:r>
    </w:p>
    <w:p>
      <w:pPr>
        <w:pStyle w:val="1203"/>
        <w:numPr>
          <w:ilvl w:val="0"/>
          <w:numId w:val="23"/>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在省參議會三次常規案二審表決駁回總統提名的省長或省長提名的副省長後，由省眾議會提名，經省立法院以重要案表決通過，省立法院有權獨立形成省長或副省長的任免職決議。</w:t>
      </w:r>
      <w:r>
        <w:rPr>
          <w:rFonts w:ascii="宋體-繁" w:hAnsi="宋體-繁" w:cs="宋體-繁"/>
        </w:rPr>
      </w:r>
      <w:r>
        <w:rPr>
          <w:rFonts w:ascii="宋體-繁" w:hAnsi="宋體-繁" w:cs="宋體-繁"/>
        </w:rPr>
      </w:r>
    </w:p>
    <w:p>
      <w:pPr>
        <w:pStyle w:val="1203"/>
        <w:numPr>
          <w:ilvl w:val="0"/>
          <w:numId w:val="23"/>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在省立法院獨立形成省長或副省長的任免職決議時，經三次重要案表決均未通過省長或副省長任免職決議的，由總統直接提名並任免省長，由省長直接提名並任免副省長。</w:t>
      </w:r>
      <w:r>
        <w:rPr>
          <w:rFonts w:ascii="宋體-繁" w:hAnsi="宋體-繁" w:cs="宋體-繁"/>
        </w:rPr>
      </w:r>
      <w:r>
        <w:rPr>
          <w:rFonts w:ascii="宋體-繁" w:hAnsi="宋體-繁" w:cs="宋體-繁"/>
        </w:rPr>
      </w:r>
    </w:p>
    <w:p>
      <w:pPr>
        <w:pStyle w:val="1203"/>
        <w:numPr>
          <w:ilvl w:val="0"/>
          <w:numId w:val="23"/>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省政府省長和副省長必須是年滿</w:t>
      </w:r>
      <w:r>
        <w:rPr>
          <w:rFonts w:ascii="宋體-繁" w:hAnsi="宋體-繁" w:eastAsia="宋體-繁" w:cs="宋體-繁"/>
          <w:color w:val="000000" w:themeColor="text1"/>
          <w:szCs w:val="21"/>
          <w:lang w:eastAsia="zh-TW"/>
        </w:rPr>
        <w:t xml:space="preserve">30</w:t>
      </w:r>
      <w:r>
        <w:rPr>
          <w:rFonts w:ascii="宋體-繁" w:hAnsi="宋體-繁" w:eastAsia="宋體-繁" w:cs="宋體-繁"/>
          <w:color w:val="000000" w:themeColor="text1"/>
          <w:szCs w:val="21"/>
          <w:lang w:eastAsia="zh-TW"/>
        </w:rPr>
        <w:t xml:space="preserve">週歲的中華民族聯邦共和國公民，且必須是出生在中華民族聯邦共和國境內，並在該省轄區內生活</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省政府下設省務廳（省政府事務廳）、國防廳（國家防務廳）、國安廳（國土安全廳）、公安廳（公民安全廳）、民生廳（公民生活保障廳）、住建廳（住房與城鎮建設廳）、農業廳（農業與農村發展廳）、商貿廳（商務與市場貿易廳）、財稅廳（財政與稅務廳）、能源廳（能源與環保發展廳）、交通廳（交通運輸廳）共十一個直屬廳級機構。</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省政府直屬廳，每廳設廳長職位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個，由省長提名，設副廳長職位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個，由廳長提名，廳長和副廳長每屆任期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24"/>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省長提名的廳長或廳長提名的副廳長，由省參議會以常規案表決任免產生，常規案表決未通過的，提名人可發起常規案二審表決，常規案二審表決未通過的，該提名即駁回，並由提名人另選被提名人。</w:t>
      </w:r>
      <w:r>
        <w:rPr>
          <w:rFonts w:ascii="宋體-繁" w:hAnsi="宋體-繁" w:cs="宋體-繁"/>
        </w:rPr>
      </w:r>
      <w:r>
        <w:rPr>
          <w:rFonts w:ascii="宋體-繁" w:hAnsi="宋體-繁" w:cs="宋體-繁"/>
        </w:rPr>
      </w:r>
    </w:p>
    <w:p>
      <w:pPr>
        <w:pStyle w:val="1203"/>
        <w:numPr>
          <w:ilvl w:val="0"/>
          <w:numId w:val="24"/>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在省參議會三次常規案二審表決駁回省長提名的廳長或廳長提名的副廳長後，由省眾議會提名，經省立法院以重要案表決通過，省立法院有權獨立形成廳長或副廳長的任免職決議。</w:t>
      </w:r>
      <w:r>
        <w:rPr>
          <w:rFonts w:ascii="宋體-繁" w:hAnsi="宋體-繁" w:cs="宋體-繁"/>
        </w:rPr>
      </w:r>
      <w:r>
        <w:rPr>
          <w:rFonts w:ascii="宋體-繁" w:hAnsi="宋體-繁" w:cs="宋體-繁"/>
        </w:rPr>
      </w:r>
    </w:p>
    <w:p>
      <w:pPr>
        <w:pStyle w:val="1203"/>
        <w:numPr>
          <w:ilvl w:val="0"/>
          <w:numId w:val="24"/>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在省立法院獨立形成廳長或副廳長的任免職決議時，經三次重要案表決均未通過廳長或副廳長任免職決議的，由省長直接提名並任免廳長，由廳長直接提名並任免副廳長。</w:t>
      </w:r>
      <w:r>
        <w:rPr>
          <w:rFonts w:ascii="宋體-繁" w:hAnsi="宋體-繁" w:cs="宋體-繁"/>
        </w:rPr>
      </w:r>
      <w:r>
        <w:rPr>
          <w:rFonts w:ascii="宋體-繁" w:hAnsi="宋體-繁" w:cs="宋體-繁"/>
        </w:rPr>
      </w:r>
    </w:p>
    <w:p>
      <w:pPr>
        <w:pStyle w:val="1203"/>
        <w:numPr>
          <w:ilvl w:val="0"/>
          <w:numId w:val="24"/>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省政府直屬廳廳長和副廳長必須是年滿</w:t>
      </w:r>
      <w:r>
        <w:rPr>
          <w:rFonts w:ascii="宋體-繁" w:hAnsi="宋體-繁" w:eastAsia="宋體-繁" w:cs="宋體-繁"/>
          <w:color w:val="000000" w:themeColor="text1"/>
          <w:szCs w:val="21"/>
          <w:lang w:eastAsia="zh-TW"/>
        </w:rPr>
        <w:t xml:space="preserve">25</w:t>
      </w:r>
      <w:r>
        <w:rPr>
          <w:rFonts w:ascii="宋體-繁" w:hAnsi="宋體-繁" w:eastAsia="宋體-繁" w:cs="宋體-繁"/>
          <w:color w:val="000000" w:themeColor="text1"/>
          <w:szCs w:val="21"/>
          <w:lang w:eastAsia="zh-TW"/>
        </w:rPr>
        <w:t xml:space="preserve">週歲的中華民族聯邦共和國公民，且必須是出生在中華民族聯邦共和國境內，並在該省轄區內生活</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20"/>
        </w:numPr>
        <w:pBdr/>
        <w:spacing w:after="0" w:before="156" w:line="300" w:lineRule="exact"/>
        <w:ind/>
        <w:outlineLvl w:val="1"/>
        <w:rPr>
          <w:rFonts w:ascii="宋體-繁" w:hAnsi="宋體-繁" w:cs="宋體-繁"/>
        </w:rPr>
      </w:pPr>
      <w:r/>
      <w:bookmarkStart w:id="85" w:name="_Toc11"/>
      <w:r>
        <w:rPr>
          <w:rFonts w:ascii="宋體-繁" w:hAnsi="宋體-繁" w:eastAsia="宋體-繁" w:cs="宋體-繁"/>
        </w:rPr>
      </w:r>
      <w:bookmarkStart w:id="24" w:name="__RefHeading___Toc7009_4090689648"/>
      <w:r>
        <w:rPr>
          <w:rFonts w:ascii="宋體-繁" w:hAnsi="宋體-繁" w:eastAsia="宋體-繁" w:cs="宋體-繁"/>
        </w:rPr>
      </w:r>
      <w:bookmarkEnd w:id="24"/>
      <w:r>
        <w:rPr>
          <w:rFonts w:ascii="宋體-繁" w:hAnsi="宋體-繁" w:eastAsia="宋體-繁" w:cs="宋體-繁"/>
          <w:b/>
          <w:color w:val="000000" w:themeColor="text1"/>
          <w:sz w:val="28"/>
          <w:szCs w:val="28"/>
        </w:rPr>
        <w:t xml:space="preserve">市政府</w:t>
      </w:r>
      <w:r>
        <w:rPr>
          <w:rFonts w:ascii="宋體-繁" w:hAnsi="宋體-繁" w:eastAsia="宋體-繁" w:cs="宋體-繁"/>
        </w:rPr>
      </w:r>
      <w:bookmarkEnd w:id="85"/>
      <w:r>
        <w:rPr>
          <w:rFonts w:ascii="宋體-繁" w:hAnsi="宋體-繁" w:cs="宋體-繁"/>
        </w:rPr>
      </w:r>
      <w:r>
        <w:rPr>
          <w:rFonts w:ascii="宋體-繁" w:hAnsi="宋體-繁" w:cs="宋體-繁"/>
        </w:rPr>
      </w:r>
    </w:p>
    <w:p>
      <w:pPr>
        <w:pStyle w:val="1203"/>
        <w:numPr>
          <w:ilvl w:val="0"/>
          <w:numId w:val="51"/>
        </w:numPr>
        <w:pBdr/>
        <w:spacing w:after="156" w:before="0"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市級行政區設市自治政府，簡稱市政府，市政府是市級行政區的行政權行權機構；市政府與聯邦政府之間沒有隸屬關係，聯邦政府在市政府轄區內行使的權力與義務由憲法賦予市政府，再由市政府依法授予聯邦政府行權。</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市政府設市公民自治委員會，簡稱市自治會，市自治會委員每屆任期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屆；市自治會委員由該市所轄每個鎮級行政區的公民從該鎮現任鎮自治會委員當中選舉產生，每個鎮級行政區限選舉產生</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名市自治會委員。</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市自治會設主席職位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個，由該市自治會現任委員互選產生，主席和副主席每屆任期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屆，且委員任期屆滿的，不得繼續任職主席或副主席。</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自治會委員不屬於在編公職人員，但必須受相關公職人員法律法規要求的約束，且不享受公職人員的薪酬待遇；市自治會委員可兼職除公職人員以外的其他任何合法工作，以及從事除公權機構外包事務以外的任何合法事務。</w:t>
      </w:r>
      <w:r>
        <w:rPr>
          <w:rFonts w:ascii="宋體-繁" w:hAnsi="宋體-繁" w:cs="宋體-繁"/>
        </w:rPr>
      </w:r>
      <w:r>
        <w:rPr>
          <w:rFonts w:ascii="宋體-繁" w:hAnsi="宋體-繁" w:cs="宋體-繁"/>
        </w:rPr>
      </w:r>
    </w:p>
    <w:p>
      <w:pPr>
        <w:pStyle w:val="1203"/>
        <w:numPr>
          <w:ilvl w:val="0"/>
          <w:numId w:val="25"/>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市自治會委員有權對該市級行政區轄區內任意一名公職人員發起履職盡責聽證會，市自治會委員發起公職人員履職盡責聽證會的，被聽證公職人員必須參與聽證會。</w:t>
      </w:r>
      <w:r>
        <w:rPr>
          <w:rFonts w:ascii="宋體-繁" w:hAnsi="宋體-繁" w:cs="宋體-繁"/>
        </w:rPr>
      </w:r>
      <w:r>
        <w:rPr>
          <w:rFonts w:ascii="宋體-繁" w:hAnsi="宋體-繁" w:cs="宋體-繁"/>
        </w:rPr>
      </w:r>
    </w:p>
    <w:p>
      <w:pPr>
        <w:pStyle w:val="1203"/>
        <w:numPr>
          <w:ilvl w:val="0"/>
          <w:numId w:val="25"/>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市自治會委員發起公職人員履職盡責聽證會的，其他現任委員必須參與聽證會，且該市轄區內公民均有權要求旁聽聽證會，除司法要求外，不得拒絕公民的旁聽要求。</w:t>
      </w:r>
      <w:r>
        <w:rPr>
          <w:rFonts w:ascii="宋體-繁" w:hAnsi="宋體-繁" w:cs="宋體-繁"/>
        </w:rPr>
      </w:r>
      <w:r>
        <w:rPr>
          <w:rFonts w:ascii="宋體-繁" w:hAnsi="宋體-繁" w:cs="宋體-繁"/>
        </w:rPr>
      </w:r>
    </w:p>
    <w:p>
      <w:pPr>
        <w:pStyle w:val="1203"/>
        <w:numPr>
          <w:ilvl w:val="0"/>
          <w:numId w:val="25"/>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該市轄區內公民有權要求市自治會任意委員組織召開市自治會履職盡責聽證會，被要求組織召開聽證會的委員及其他委員，非不可抗力的因素，不得拒絕公民的要求。</w:t>
      </w:r>
      <w:r>
        <w:rPr>
          <w:rFonts w:ascii="宋體-繁" w:hAnsi="宋體-繁" w:cs="宋體-繁"/>
        </w:rPr>
      </w:r>
      <w:r>
        <w:rPr>
          <w:rFonts w:ascii="宋體-繁" w:hAnsi="宋體-繁" w:cs="宋體-繁"/>
        </w:rPr>
      </w:r>
    </w:p>
    <w:p>
      <w:pPr>
        <w:pStyle w:val="1203"/>
        <w:numPr>
          <w:ilvl w:val="0"/>
          <w:numId w:val="25"/>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公民要求召開市自治會履職盡責聽證會的，要求召開聽證會的公民有權有義務邀請任意</w:t>
      </w:r>
      <w:r>
        <w:rPr>
          <w:rFonts w:ascii="宋體-繁" w:hAnsi="宋體-繁" w:eastAsia="宋體-繁" w:cs="宋體-繁"/>
          <w:color w:val="000000" w:themeColor="text1"/>
          <w:szCs w:val="21"/>
          <w:lang w:eastAsia="zh-TW"/>
        </w:rPr>
        <w:t xml:space="preserve">50</w:t>
      </w:r>
      <w:r>
        <w:rPr>
          <w:rFonts w:ascii="宋體-繁" w:hAnsi="宋體-繁" w:eastAsia="宋體-繁" w:cs="宋體-繁"/>
          <w:color w:val="000000" w:themeColor="text1"/>
          <w:szCs w:val="21"/>
          <w:lang w:eastAsia="zh-TW"/>
        </w:rPr>
        <w:t xml:space="preserve">名以上本市公民參與聽證會；且該市轄區內其他公民均有權要求旁聽聽證會，除司法要求外，市自治會不得拒絕公民的旁聽要求。</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市政府設市長職位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個，設副市長職位</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個以下，由市自治會提名聘用，市長和副市長每屆任期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年，可連任。</w:t>
      </w:r>
      <w:r>
        <w:rPr>
          <w:rFonts w:ascii="宋體-繁" w:hAnsi="宋體-繁" w:cs="宋體-繁"/>
        </w:rPr>
      </w:r>
      <w:r>
        <w:rPr>
          <w:rFonts w:ascii="宋體-繁" w:hAnsi="宋體-繁" w:cs="宋體-繁"/>
        </w:rPr>
      </w:r>
    </w:p>
    <w:p>
      <w:pPr>
        <w:pStyle w:val="1203"/>
        <w:numPr>
          <w:ilvl w:val="0"/>
          <w:numId w:val="26"/>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市自治會提名聘用的市長或副市長，由市立法會以常規案表決任免產生，常規案表決未通過的，市自治會可發起常規案二審表決，常規案二審表決未通過的，該市長或副市長提名即駁回，並由市自治會另選被提名人。</w:t>
      </w:r>
      <w:r>
        <w:rPr>
          <w:rFonts w:ascii="宋體-繁" w:hAnsi="宋體-繁" w:cs="宋體-繁"/>
        </w:rPr>
      </w:r>
      <w:r>
        <w:rPr>
          <w:rFonts w:ascii="宋體-繁" w:hAnsi="宋體-繁" w:cs="宋體-繁"/>
        </w:rPr>
      </w:r>
    </w:p>
    <w:p>
      <w:pPr>
        <w:pStyle w:val="1203"/>
        <w:numPr>
          <w:ilvl w:val="0"/>
          <w:numId w:val="26"/>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在市立法會三次常規案二審表決駁回市自治會提名聘用的市長或副市長後，由市立法會提名，經市立法會以重要案表決通過，市立法會有權獨立形成市長或副市長的任免職決議。</w:t>
      </w:r>
      <w:r>
        <w:rPr>
          <w:rFonts w:ascii="宋體-繁" w:hAnsi="宋體-繁" w:cs="宋體-繁"/>
        </w:rPr>
      </w:r>
      <w:r>
        <w:rPr>
          <w:rFonts w:ascii="宋體-繁" w:hAnsi="宋體-繁" w:cs="宋體-繁"/>
        </w:rPr>
      </w:r>
    </w:p>
    <w:p>
      <w:pPr>
        <w:pStyle w:val="1203"/>
        <w:numPr>
          <w:ilvl w:val="0"/>
          <w:numId w:val="26"/>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在市立法會獨立形成市長或副市長的任免職決議時，經三次重要案表決均未通過市長或副市長任免職決議的，由市自治會直接提名聘用並任免市長或副市長。</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政府下設市務局（市政府事務局）、國防局（國家防務局）、國安局（國土安全局）、公安局（公民安全局）、民生局（公民生活保障局）、住建局（住房與城鎮建設局）、農業局（農業與農村發展局）、商貿局（商務與市場貿易局）、財稅局（財政與稅務局）、能源局（能源與環保發展局）、交通局（交通運輸局）共十一個直屬局級機構。</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市政府直屬局，每局設局長職位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個，由市長提名聘用，設副局長職位</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個以下，由局長提名聘用，局長和副局長每屆任期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年，可連任。</w:t>
      </w:r>
      <w:r>
        <w:rPr>
          <w:rFonts w:ascii="宋體-繁" w:hAnsi="宋體-繁" w:cs="宋體-繁"/>
        </w:rPr>
      </w:r>
      <w:r>
        <w:rPr>
          <w:rFonts w:ascii="宋體-繁" w:hAnsi="宋體-繁" w:cs="宋體-繁"/>
        </w:rPr>
      </w:r>
    </w:p>
    <w:p>
      <w:pPr>
        <w:pStyle w:val="1203"/>
        <w:numPr>
          <w:ilvl w:val="0"/>
          <w:numId w:val="27"/>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市長提名的局長或局長提名的副局長，由市立法會以常規案表決任免產生，常規案表決未通過的，提名人可發起常規案二審表決，常規案二審表決未通過的，該提名即駁回，並由提名人另選被提名人。</w:t>
      </w:r>
      <w:r>
        <w:rPr>
          <w:rFonts w:ascii="宋體-繁" w:hAnsi="宋體-繁" w:cs="宋體-繁"/>
        </w:rPr>
      </w:r>
      <w:r>
        <w:rPr>
          <w:rFonts w:ascii="宋體-繁" w:hAnsi="宋體-繁" w:cs="宋體-繁"/>
        </w:rPr>
      </w:r>
    </w:p>
    <w:p>
      <w:pPr>
        <w:pStyle w:val="1203"/>
        <w:numPr>
          <w:ilvl w:val="0"/>
          <w:numId w:val="27"/>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在市立法會三次常規案二審表決駁回市長提名的局長或局長提名的副局長後，由市立法會提名，經市立法會以重要案表決通過，市立法會有權獨立形成局長或副局長的任免職決議。</w:t>
      </w:r>
      <w:r>
        <w:rPr>
          <w:rFonts w:ascii="宋體-繁" w:hAnsi="宋體-繁" w:cs="宋體-繁"/>
        </w:rPr>
      </w:r>
      <w:r>
        <w:rPr>
          <w:rFonts w:ascii="宋體-繁" w:hAnsi="宋體-繁" w:cs="宋體-繁"/>
        </w:rPr>
      </w:r>
    </w:p>
    <w:p>
      <w:pPr>
        <w:pStyle w:val="1203"/>
        <w:numPr>
          <w:ilvl w:val="0"/>
          <w:numId w:val="27"/>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在市立法會獨立形成局長或副局長的任免職決議時，經三次重要案表決均未通過局長或副局長任免職決議的，由市長提名局長，局長提名副局長，經市自治會決議任免。</w:t>
      </w:r>
      <w:r>
        <w:rPr>
          <w:rFonts w:ascii="宋體-繁" w:hAnsi="宋體-繁" w:cs="宋體-繁"/>
        </w:rPr>
      </w:r>
      <w:r>
        <w:rPr>
          <w:rFonts w:ascii="宋體-繁" w:hAnsi="宋體-繁" w:cs="宋體-繁"/>
        </w:rPr>
      </w:r>
    </w:p>
    <w:p>
      <w:pPr>
        <w:pStyle w:val="1203"/>
        <w:numPr>
          <w:ilvl w:val="0"/>
          <w:numId w:val="20"/>
        </w:numPr>
        <w:pBdr/>
        <w:spacing w:after="0" w:before="156" w:line="300" w:lineRule="exact"/>
        <w:ind/>
        <w:outlineLvl w:val="1"/>
        <w:rPr>
          <w:rFonts w:ascii="宋體-繁" w:hAnsi="宋體-繁" w:cs="宋體-繁"/>
        </w:rPr>
      </w:pPr>
      <w:r/>
      <w:bookmarkStart w:id="86" w:name="_Toc12"/>
      <w:r>
        <w:rPr>
          <w:rFonts w:ascii="宋體-繁" w:hAnsi="宋體-繁" w:eastAsia="宋體-繁" w:cs="宋體-繁"/>
        </w:rPr>
      </w:r>
      <w:bookmarkStart w:id="26" w:name="__RefHeading___Toc7011_4090689648"/>
      <w:r>
        <w:rPr>
          <w:rFonts w:ascii="宋體-繁" w:hAnsi="宋體-繁" w:eastAsia="宋體-繁" w:cs="宋體-繁"/>
        </w:rPr>
      </w:r>
      <w:bookmarkEnd w:id="26"/>
      <w:r>
        <w:rPr>
          <w:rFonts w:ascii="宋體-繁" w:hAnsi="宋體-繁" w:eastAsia="宋體-繁" w:cs="宋體-繁"/>
          <w:b/>
          <w:color w:val="000000" w:themeColor="text1"/>
          <w:sz w:val="28"/>
          <w:szCs w:val="28"/>
          <w:lang w:eastAsia="zh-TW"/>
        </w:rPr>
        <w:t xml:space="preserve">鎮</w:t>
      </w:r>
      <w:r>
        <w:rPr>
          <w:rFonts w:ascii="宋體-繁" w:hAnsi="宋體-繁" w:eastAsia="宋體-繁" w:cs="宋體-繁"/>
          <w:b/>
          <w:color w:val="000000" w:themeColor="text1"/>
          <w:sz w:val="28"/>
          <w:szCs w:val="28"/>
        </w:rPr>
        <w:t xml:space="preserve">政府</w:t>
      </w:r>
      <w:r>
        <w:rPr>
          <w:rFonts w:ascii="宋體-繁" w:hAnsi="宋體-繁" w:eastAsia="宋體-繁" w:cs="宋體-繁"/>
        </w:rPr>
      </w:r>
      <w:bookmarkEnd w:id="86"/>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中華民族聯邦共和國鎮級行政區設鎮自治政府，簡稱鎮政府，鎮政府是市政府派駐鎮級行政區的自治政府機構，鎮政府與聯邦政府之間沒有隸屬關係。</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鎮政府設鎮公民自治委員會，簡稱鎮自治會，鎮自治會由</w:t>
      </w:r>
      <w:r>
        <w:rPr>
          <w:rFonts w:ascii="宋體-繁" w:hAnsi="宋體-繁" w:eastAsia="宋體-繁" w:cs="宋體-繁"/>
          <w:color w:val="000000" w:themeColor="text1"/>
          <w:szCs w:val="21"/>
          <w:lang w:eastAsia="zh-TW"/>
        </w:rPr>
        <w:t xml:space="preserve">11</w:t>
      </w:r>
      <w:r>
        <w:rPr>
          <w:rFonts w:ascii="宋體-繁" w:hAnsi="宋體-繁" w:eastAsia="宋體-繁" w:cs="宋體-繁"/>
          <w:color w:val="000000" w:themeColor="text1"/>
          <w:szCs w:val="21"/>
          <w:lang w:eastAsia="zh-TW"/>
        </w:rPr>
        <w:t xml:space="preserve">名委員組成，委員由該鎮轄區內的公民選舉產生；鎮自治會委員每屆任期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屆，且必須是出生在該鎮級行政區轄區內，並在該鎮轄區內生活</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鎮自治會設主席職位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個，由該鎮自治會現任委員互選產生，主席和副主席每屆任期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屆，且委員任期屆滿的，不得繼續任職主席或副主席。</w:t>
      </w:r>
      <w:r>
        <w:rPr>
          <w:rFonts w:ascii="宋體-繁" w:hAnsi="宋體-繁" w:cs="宋體-繁"/>
        </w:rPr>
      </w:r>
      <w:r>
        <w:rPr>
          <w:rFonts w:ascii="宋體-繁" w:hAnsi="宋體-繁" w:cs="宋體-繁"/>
        </w:rPr>
      </w:r>
    </w:p>
    <w:p>
      <w:pPr>
        <w:pStyle w:val="1203"/>
        <w:numPr>
          <w:ilvl w:val="0"/>
          <w:numId w:val="51"/>
        </w:numPr>
        <w:pBdr/>
        <w:spacing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鎮自治會委員不屬於在編公職人員，但必須受相關公職人員法律法規要求的約束，且不享受公職人員的薪酬待遇；鎮自治會委員可兼職除公職人員以外的其他任何合法工作，以及從事除公權機構外包事務以外的任何合法事務。</w:t>
      </w:r>
      <w:r>
        <w:rPr>
          <w:rFonts w:ascii="宋體-繁" w:hAnsi="宋體-繁" w:cs="宋體-繁"/>
        </w:rPr>
      </w:r>
      <w:r>
        <w:rPr>
          <w:rFonts w:ascii="宋體-繁" w:hAnsi="宋體-繁" w:cs="宋體-繁"/>
        </w:rPr>
      </w:r>
    </w:p>
    <w:p>
      <w:pPr>
        <w:pStyle w:val="1203"/>
        <w:numPr>
          <w:ilvl w:val="0"/>
          <w:numId w:val="28"/>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鎮自治會委員有權對該鎮級行政區轄區內任意一名公職人員發起履職盡責聽證會，鎮自治會委員發起公職人員履職盡責聽證會的，被聽證公職人員必須參與聽證會。</w:t>
      </w:r>
      <w:r>
        <w:rPr>
          <w:rFonts w:ascii="宋體-繁" w:hAnsi="宋體-繁" w:cs="宋體-繁"/>
        </w:rPr>
      </w:r>
      <w:r>
        <w:rPr>
          <w:rFonts w:ascii="宋體-繁" w:hAnsi="宋體-繁" w:cs="宋體-繁"/>
        </w:rPr>
      </w:r>
    </w:p>
    <w:p>
      <w:pPr>
        <w:pStyle w:val="1203"/>
        <w:numPr>
          <w:ilvl w:val="0"/>
          <w:numId w:val="28"/>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鎮自治會委員發起公職人員履職盡責聽證會的，其他現任委員必須參與聽證會，且該鎮轄區內公民均有權要求旁聽聽證會，除司法要求外，不得拒絕公民的旁聽要求。</w:t>
      </w:r>
      <w:r>
        <w:rPr>
          <w:rFonts w:ascii="宋體-繁" w:hAnsi="宋體-繁" w:cs="宋體-繁"/>
        </w:rPr>
      </w:r>
      <w:r>
        <w:rPr>
          <w:rFonts w:ascii="宋體-繁" w:hAnsi="宋體-繁" w:cs="宋體-繁"/>
        </w:rPr>
      </w:r>
    </w:p>
    <w:p>
      <w:pPr>
        <w:pStyle w:val="1203"/>
        <w:numPr>
          <w:ilvl w:val="0"/>
          <w:numId w:val="28"/>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該鎮轄區內公民有權要求鎮自治會任意委員組織召開鎮自治會履職盡責聽證會，被要求組織召開聽證會的委員及其他委員，非不可抗力的因素，不得拒絕公民的要求。</w:t>
      </w:r>
      <w:r>
        <w:rPr>
          <w:rFonts w:ascii="宋體-繁" w:hAnsi="宋體-繁" w:cs="宋體-繁"/>
        </w:rPr>
      </w:r>
      <w:r>
        <w:rPr>
          <w:rFonts w:ascii="宋體-繁" w:hAnsi="宋體-繁" w:cs="宋體-繁"/>
        </w:rPr>
      </w:r>
    </w:p>
    <w:p>
      <w:pPr>
        <w:pStyle w:val="1203"/>
        <w:numPr>
          <w:ilvl w:val="0"/>
          <w:numId w:val="28"/>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公民要求召開鎮自治會履職盡責聽證會的，要求召開聽證會的公民有權有義務邀請任意</w:t>
      </w:r>
      <w:r>
        <w:rPr>
          <w:rFonts w:ascii="宋體-繁" w:hAnsi="宋體-繁" w:eastAsia="宋體-繁" w:cs="宋體-繁"/>
          <w:color w:val="000000" w:themeColor="text1"/>
          <w:szCs w:val="21"/>
          <w:lang w:eastAsia="zh-TW"/>
        </w:rPr>
        <w:t xml:space="preserve">30</w:t>
      </w:r>
      <w:r>
        <w:rPr>
          <w:rFonts w:ascii="宋體-繁" w:hAnsi="宋體-繁" w:eastAsia="宋體-繁" w:cs="宋體-繁"/>
          <w:color w:val="000000" w:themeColor="text1"/>
          <w:szCs w:val="21"/>
          <w:lang w:eastAsia="zh-TW"/>
        </w:rPr>
        <w:t xml:space="preserve">名以上本鎮公民參與聽證會；且該鎮轄區內其他公民均有權要求旁聽聽證會，除司法要求外，鎮自治會不得拒絕公民的旁聽要求。</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鎮政府設鎮長職位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個，設副鎮長職位</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個以下，由鎮自治會提名聘用並任免產生，鎮長和副鎮長每屆任期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年，可連任；鎮政府下設科級公權機構，每科設科長職位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個，設副科長職位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個，由鎮自治會提名聘用並任免產生，科長和副科長每屆任期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年，可連任。</w:t>
      </w:r>
      <w:r>
        <w:rPr>
          <w:rFonts w:ascii="宋體-繁" w:hAnsi="宋體-繁" w:cs="宋體-繁"/>
        </w:rPr>
      </w:r>
      <w:r>
        <w:rPr>
          <w:rFonts w:ascii="宋體-繁" w:hAnsi="宋體-繁" w:cs="宋體-繁"/>
        </w:rPr>
      </w:r>
    </w:p>
    <w:p>
      <w:pPr>
        <w:pStyle w:val="1203"/>
        <w:numPr>
          <w:ilvl w:val="0"/>
          <w:numId w:val="1"/>
        </w:numPr>
        <w:pBdr/>
        <w:spacing w:after="156" w:before="156" w:line="400" w:lineRule="exact"/>
        <w:ind/>
        <w:jc w:val="center"/>
        <w:outlineLvl w:val="0"/>
        <w:rPr>
          <w:rFonts w:ascii="宋體-繁" w:hAnsi="宋體-繁" w:cs="宋體-繁"/>
        </w:rPr>
      </w:pPr>
      <w:r/>
      <w:bookmarkStart w:id="87" w:name="_Toc13"/>
      <w:r>
        <w:rPr>
          <w:rFonts w:ascii="宋體-繁" w:hAnsi="宋體-繁" w:eastAsia="宋體-繁" w:cs="宋體-繁"/>
        </w:rPr>
      </w:r>
      <w:bookmarkStart w:id="28" w:name="__RefHeading___Toc7013_4090689648"/>
      <w:r>
        <w:rPr>
          <w:rFonts w:ascii="宋體-繁" w:hAnsi="宋體-繁" w:eastAsia="宋體-繁" w:cs="宋體-繁"/>
        </w:rPr>
      </w:r>
      <w:bookmarkEnd w:id="28"/>
      <w:r>
        <w:rPr>
          <w:rFonts w:ascii="宋體-繁" w:hAnsi="宋體-繁" w:eastAsia="宋體-繁" w:cs="宋體-繁"/>
          <w:b/>
          <w:color w:val="000000" w:themeColor="text1"/>
          <w:sz w:val="32"/>
          <w:szCs w:val="32"/>
        </w:rPr>
        <w:t xml:space="preserve">立法院</w:t>
      </w:r>
      <w:r>
        <w:rPr>
          <w:rFonts w:ascii="宋體-繁" w:hAnsi="宋體-繁" w:eastAsia="宋體-繁" w:cs="宋體-繁"/>
        </w:rPr>
      </w:r>
      <w:bookmarkEnd w:id="87"/>
      <w:r>
        <w:rPr>
          <w:rFonts w:ascii="宋體-繁" w:hAnsi="宋體-繁" w:cs="宋體-繁"/>
        </w:rPr>
      </w:r>
      <w:r>
        <w:rPr>
          <w:rFonts w:ascii="宋體-繁" w:hAnsi="宋體-繁" w:cs="宋體-繁"/>
        </w:rPr>
      </w:r>
    </w:p>
    <w:p>
      <w:pPr>
        <w:pStyle w:val="1203"/>
        <w:numPr>
          <w:ilvl w:val="0"/>
          <w:numId w:val="29"/>
        </w:numPr>
        <w:pBdr/>
        <w:spacing w:after="0" w:before="156" w:line="300" w:lineRule="exact"/>
        <w:ind/>
        <w:outlineLvl w:val="1"/>
        <w:rPr>
          <w:rFonts w:ascii="宋體-繁" w:hAnsi="宋體-繁" w:cs="宋體-繁"/>
        </w:rPr>
      </w:pPr>
      <w:r/>
      <w:bookmarkStart w:id="88" w:name="_Toc14"/>
      <w:r>
        <w:rPr>
          <w:rFonts w:ascii="宋體-繁" w:hAnsi="宋體-繁" w:eastAsia="宋體-繁" w:cs="宋體-繁"/>
        </w:rPr>
      </w:r>
      <w:bookmarkStart w:id="30" w:name="__RefHeading___Toc7015_4090689648"/>
      <w:r>
        <w:rPr>
          <w:rFonts w:ascii="宋體-繁" w:hAnsi="宋體-繁" w:eastAsia="宋體-繁" w:cs="宋體-繁"/>
        </w:rPr>
      </w:r>
      <w:bookmarkEnd w:id="30"/>
      <w:r>
        <w:rPr>
          <w:rFonts w:ascii="宋體-繁" w:hAnsi="宋體-繁" w:eastAsia="宋體-繁" w:cs="宋體-繁"/>
          <w:b/>
          <w:color w:val="000000" w:themeColor="text1"/>
          <w:sz w:val="28"/>
          <w:szCs w:val="28"/>
          <w:lang w:eastAsia="zh-TW"/>
        </w:rPr>
        <w:t xml:space="preserve">國家立法院</w:t>
      </w:r>
      <w:r>
        <w:rPr>
          <w:rFonts w:ascii="宋體-繁" w:hAnsi="宋體-繁" w:eastAsia="宋體-繁" w:cs="宋體-繁"/>
        </w:rPr>
      </w:r>
      <w:bookmarkEnd w:id="88"/>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中華民族聯邦共和國設立法院，簡稱國家立法院，國家立法院設院長職位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個，由國家參議會現任參議員互選產生，每屆任期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屆；國家立法院設副院長職位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個，由國家眾議會現任眾議員互選產生，每屆任期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國家參議會設參議長職位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個，設副參議長職位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個，由國家參議會現任參議員互選產生，參議長和副參議長每屆任期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國家參議會無權起草國家立法院法案草案，參議會有權力有義務審議眾議會提交的法案草案和國家教委會提交的教育類法案草案以及公職人員提交的人事任免職書。</w:t>
      </w:r>
      <w:r>
        <w:rPr>
          <w:rFonts w:ascii="宋體-繁" w:hAnsi="宋體-繁" w:cs="宋體-繁"/>
        </w:rPr>
      </w:r>
      <w:r>
        <w:rPr>
          <w:rFonts w:ascii="宋體-繁" w:hAnsi="宋體-繁" w:cs="宋體-繁"/>
        </w:rPr>
      </w:r>
    </w:p>
    <w:p>
      <w:pPr>
        <w:pStyle w:val="1203"/>
        <w:numPr>
          <w:ilvl w:val="0"/>
          <w:numId w:val="30"/>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國家眾議會提交的常規案表決的法案草案，由國家參議會以常規案表決，常規案表決未通過的，眾議會可提交對該法案草案進行常規案二審表決，常規案二審表決未通過的即駁回。</w:t>
      </w:r>
      <w:r>
        <w:rPr>
          <w:rFonts w:ascii="宋體-繁" w:hAnsi="宋體-繁" w:cs="宋體-繁"/>
        </w:rPr>
      </w:r>
      <w:r>
        <w:rPr>
          <w:rFonts w:ascii="宋體-繁" w:hAnsi="宋體-繁" w:cs="宋體-繁"/>
        </w:rPr>
      </w:r>
    </w:p>
    <w:p>
      <w:pPr>
        <w:pStyle w:val="1203"/>
        <w:numPr>
          <w:ilvl w:val="0"/>
          <w:numId w:val="30"/>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國家眾議會提交的重要案表決的法案草案，由國家參議會以重要案表決，重要案表決未通過的即駁回；國家眾議會提交的特別案表決的法案草案，由國家參議會以特別案表決，特別案表決未通過的即駁回。</w:t>
      </w:r>
      <w:r>
        <w:rPr>
          <w:rFonts w:ascii="宋體-繁" w:hAnsi="宋體-繁" w:cs="宋體-繁"/>
        </w:rPr>
      </w:r>
      <w:r>
        <w:rPr>
          <w:rFonts w:ascii="宋體-繁" w:hAnsi="宋體-繁" w:cs="宋體-繁"/>
        </w:rPr>
      </w:r>
    </w:p>
    <w:p>
      <w:pPr>
        <w:pStyle w:val="1203"/>
        <w:numPr>
          <w:ilvl w:val="0"/>
          <w:numId w:val="30"/>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國家教委會提交的常規案表決的教育類法案草案，由國家參議會以常規案表決，常規案表決未通過的，教委會可提交對該法案草案進行常規案二審表決，常規案二審表決未通過的即駁回。</w:t>
      </w:r>
      <w:r>
        <w:rPr>
          <w:rFonts w:ascii="宋體-繁" w:hAnsi="宋體-繁" w:cs="宋體-繁"/>
        </w:rPr>
      </w:r>
      <w:r>
        <w:rPr>
          <w:rFonts w:ascii="宋體-繁" w:hAnsi="宋體-繁" w:cs="宋體-繁"/>
        </w:rPr>
      </w:r>
    </w:p>
    <w:p>
      <w:pPr>
        <w:pStyle w:val="1203"/>
        <w:numPr>
          <w:ilvl w:val="0"/>
          <w:numId w:val="30"/>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國家教委會提交的重要案表決的教育類法案草案，由國家參議會以重要案表決，重要案表決未通過的即駁回，教育類法案草案不適用於特別案表決程序。</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國家眾議會設眾議長職位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個，設副眾議長職位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個，由國家眾議會現任眾議員互選產生，眾議長和副眾議長每屆任期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國家眾議會負責起草全部特別案表決的國家立法院法案草案，並負責起草除教育類法案草案以外的重要案表決和常規案表決的國家立法院法案草案，眾議會無權對法案草案終審。</w:t>
      </w:r>
      <w:r>
        <w:rPr>
          <w:rFonts w:ascii="宋體-繁" w:hAnsi="宋體-繁" w:cs="宋體-繁"/>
        </w:rPr>
      </w:r>
      <w:r>
        <w:rPr>
          <w:rFonts w:ascii="宋體-繁" w:hAnsi="宋體-繁" w:cs="宋體-繁"/>
        </w:rPr>
      </w:r>
    </w:p>
    <w:p>
      <w:pPr>
        <w:pStyle w:val="1203"/>
        <w:numPr>
          <w:ilvl w:val="0"/>
          <w:numId w:val="31"/>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國家眾議會眾議員提交的常規案表決的法案草案，由國家眾議會以常規案表決，常規案表決未通過的，眾議員可提交對該法案草案進行常規案二審表決，常規案二審表決未通過的即駁回。</w:t>
      </w:r>
      <w:r>
        <w:rPr>
          <w:rFonts w:ascii="宋體-繁" w:hAnsi="宋體-繁" w:cs="宋體-繁"/>
        </w:rPr>
      </w:r>
      <w:r>
        <w:rPr>
          <w:rFonts w:ascii="宋體-繁" w:hAnsi="宋體-繁" w:cs="宋體-繁"/>
        </w:rPr>
      </w:r>
    </w:p>
    <w:p>
      <w:pPr>
        <w:pStyle w:val="1203"/>
        <w:numPr>
          <w:ilvl w:val="0"/>
          <w:numId w:val="31"/>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眾議會眾議員提交的重要案表決的法案草案，由國家眾議會以重要案表決，重要案表決未通過的即駁回；國家眾議會眾議員提交的特別案表決的法案草案，由國家眾議會以特別案表決，特別案表決未通過的即駁回。</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國家立法院議員，由各省級行政區改選，國家立法院院長、副院長、參議長、副參議長、參議員、眾議長、副眾議長和眾議員，任期內不得兼任除國家立法院所屬職位以外的其他職位。</w:t>
      </w:r>
      <w:r>
        <w:rPr>
          <w:rFonts w:ascii="宋體-繁" w:hAnsi="宋體-繁" w:cs="宋體-繁"/>
        </w:rPr>
      </w:r>
      <w:r>
        <w:rPr>
          <w:rFonts w:ascii="宋體-繁" w:hAnsi="宋體-繁" w:cs="宋體-繁"/>
        </w:rPr>
      </w:r>
    </w:p>
    <w:p>
      <w:pPr>
        <w:pStyle w:val="1203"/>
        <w:numPr>
          <w:ilvl w:val="0"/>
          <w:numId w:val="29"/>
        </w:numPr>
        <w:pBdr/>
        <w:spacing w:after="0" w:before="156" w:line="300" w:lineRule="exact"/>
        <w:ind/>
        <w:outlineLvl w:val="1"/>
        <w:rPr>
          <w:rFonts w:ascii="宋體-繁" w:hAnsi="宋體-繁" w:cs="宋體-繁"/>
        </w:rPr>
      </w:pPr>
      <w:r/>
      <w:bookmarkStart w:id="89" w:name="_Toc15"/>
      <w:r>
        <w:rPr>
          <w:rFonts w:ascii="宋體-繁" w:hAnsi="宋體-繁" w:eastAsia="宋體-繁" w:cs="宋體-繁"/>
        </w:rPr>
      </w:r>
      <w:bookmarkStart w:id="32" w:name="__RefHeading___Toc7017_4090689648"/>
      <w:r>
        <w:rPr>
          <w:rFonts w:ascii="宋體-繁" w:hAnsi="宋體-繁" w:eastAsia="宋體-繁" w:cs="宋體-繁"/>
        </w:rPr>
      </w:r>
      <w:bookmarkEnd w:id="32"/>
      <w:r>
        <w:rPr>
          <w:rFonts w:ascii="宋體-繁" w:hAnsi="宋體-繁" w:eastAsia="宋體-繁" w:cs="宋體-繁"/>
          <w:b/>
          <w:color w:val="000000" w:themeColor="text1"/>
          <w:sz w:val="28"/>
          <w:szCs w:val="28"/>
        </w:rPr>
        <w:t xml:space="preserve">省立法院</w:t>
      </w:r>
      <w:r>
        <w:rPr>
          <w:rFonts w:ascii="宋體-繁" w:hAnsi="宋體-繁" w:eastAsia="宋體-繁" w:cs="宋體-繁"/>
        </w:rPr>
      </w:r>
      <w:bookmarkEnd w:id="89"/>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中華民族聯邦共和國省級行政區設立法院，簡稱省立法院，省立法院設院長職位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個，由省參議會現任參議員互選產生，每屆任期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屆；省立法院設副院長職位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個，由省眾議會現任眾議員互選產生，每屆任期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省立法院下設參議員議政會，簡稱省參議會，省參議會設參議長職位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個，設副參議長職位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個，參議長、副參議長和參議員每屆任期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屆；省參議會參議長和副參議長由省參議會現任參議員互選產生，參議員由該省所轄每個市級行政區的公民從該市現任市自治會委員當中選舉產生，每個市級行政區限選舉產生</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名省參議會參議員。</w:t>
      </w:r>
      <w:r>
        <w:rPr>
          <w:rFonts w:ascii="宋體-繁" w:hAnsi="宋體-繁" w:cs="宋體-繁"/>
        </w:rPr>
      </w:r>
      <w:r>
        <w:rPr>
          <w:rFonts w:ascii="宋體-繁" w:hAnsi="宋體-繁" w:cs="宋體-繁"/>
        </w:rPr>
      </w:r>
    </w:p>
    <w:p>
      <w:pPr>
        <w:pStyle w:val="1203"/>
        <w:numPr>
          <w:ilvl w:val="0"/>
          <w:numId w:val="51"/>
        </w:numPr>
        <w:pBdr/>
        <w:spacing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省參議會無權起草省立法院法案草案，省參議會有權力有義務審議省眾議會提交的省立法院法案草案以及公職人員提交的人事任免職書。</w:t>
      </w:r>
      <w:r>
        <w:rPr>
          <w:rFonts w:ascii="宋體-繁" w:hAnsi="宋體-繁" w:cs="宋體-繁"/>
        </w:rPr>
      </w:r>
      <w:r>
        <w:rPr>
          <w:rFonts w:ascii="宋體-繁" w:hAnsi="宋體-繁" w:cs="宋體-繁"/>
        </w:rPr>
      </w:r>
    </w:p>
    <w:p>
      <w:pPr>
        <w:pStyle w:val="1203"/>
        <w:numPr>
          <w:ilvl w:val="0"/>
          <w:numId w:val="3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省眾議會提交的常規案表決的法案草案，由省參議會以常規案表決，常規案表決未通過的，眾議會可提交對該法案草案進行常規案二審表決，常規案二審表決未通過的即駁回。</w:t>
      </w:r>
      <w:r>
        <w:rPr>
          <w:rFonts w:ascii="宋體-繁" w:hAnsi="宋體-繁" w:cs="宋體-繁"/>
        </w:rPr>
      </w:r>
      <w:r>
        <w:rPr>
          <w:rFonts w:ascii="宋體-繁" w:hAnsi="宋體-繁" w:cs="宋體-繁"/>
        </w:rPr>
      </w:r>
    </w:p>
    <w:p>
      <w:pPr>
        <w:pStyle w:val="1203"/>
        <w:numPr>
          <w:ilvl w:val="0"/>
          <w:numId w:val="32"/>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省眾議會提交的重要案表決的法案草案，由省參議會以重要案表決，重要案表決未通過的即駁回；省眾議會提交的特別案表決的法案草案，由省參議會以特別案表決，特別案表決未通過的即駁回。</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省立法院下設眾議員議政會，簡稱省眾議會，省眾議會設眾議長職位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個，設副眾議長職位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個，眾議長、副眾議長和眾議員每屆任期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屆；省眾議會眾議長和副眾議長由省眾議會現任眾議員互選產生，眾議員由該省所轄每個市級行政區的公民從該市現任市立法會委員當中選舉產生；該市轄區內人口在</w:t>
      </w:r>
      <w:r>
        <w:rPr>
          <w:rFonts w:ascii="宋體-繁" w:hAnsi="宋體-繁" w:eastAsia="宋體-繁" w:cs="宋體-繁"/>
          <w:color w:val="000000" w:themeColor="text1"/>
          <w:szCs w:val="21"/>
          <w:lang w:eastAsia="zh-TW"/>
        </w:rPr>
        <w:t xml:space="preserve">100</w:t>
      </w:r>
      <w:r>
        <w:rPr>
          <w:rFonts w:ascii="宋體-繁" w:hAnsi="宋體-繁" w:eastAsia="宋體-繁" w:cs="宋體-繁"/>
          <w:color w:val="000000" w:themeColor="text1"/>
          <w:szCs w:val="21"/>
          <w:lang w:eastAsia="zh-TW"/>
        </w:rPr>
        <w:t xml:space="preserve">萬人以下的，限選舉產生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名省眾議會眾議員，該市轄區內人口超過</w:t>
      </w:r>
      <w:r>
        <w:rPr>
          <w:rFonts w:ascii="宋體-繁" w:hAnsi="宋體-繁" w:eastAsia="宋體-繁" w:cs="宋體-繁"/>
          <w:color w:val="000000" w:themeColor="text1"/>
          <w:szCs w:val="21"/>
          <w:lang w:eastAsia="zh-TW"/>
        </w:rPr>
        <w:t xml:space="preserve">100</w:t>
      </w:r>
      <w:r>
        <w:rPr>
          <w:rFonts w:ascii="宋體-繁" w:hAnsi="宋體-繁" w:eastAsia="宋體-繁" w:cs="宋體-繁"/>
          <w:color w:val="000000" w:themeColor="text1"/>
          <w:szCs w:val="21"/>
          <w:lang w:eastAsia="zh-TW"/>
        </w:rPr>
        <w:t xml:space="preserve">萬人的，後每滿</w:t>
      </w:r>
      <w:r>
        <w:rPr>
          <w:rFonts w:ascii="宋體-繁" w:hAnsi="宋體-繁" w:eastAsia="宋體-繁" w:cs="宋體-繁"/>
          <w:color w:val="000000" w:themeColor="text1"/>
          <w:szCs w:val="21"/>
          <w:lang w:eastAsia="zh-TW"/>
        </w:rPr>
        <w:t xml:space="preserve">100</w:t>
      </w:r>
      <w:r>
        <w:rPr>
          <w:rFonts w:ascii="宋體-繁" w:hAnsi="宋體-繁" w:eastAsia="宋體-繁" w:cs="宋體-繁"/>
          <w:color w:val="000000" w:themeColor="text1"/>
          <w:szCs w:val="21"/>
          <w:lang w:eastAsia="zh-TW"/>
        </w:rPr>
        <w:t xml:space="preserve">萬人增選</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名省眾議會眾議員，最多可增選至</w:t>
      </w:r>
      <w:r>
        <w:rPr>
          <w:rFonts w:ascii="宋體-繁" w:hAnsi="宋體-繁" w:eastAsia="宋體-繁" w:cs="宋體-繁"/>
          <w:color w:val="000000" w:themeColor="text1"/>
          <w:szCs w:val="21"/>
          <w:lang w:eastAsia="zh-TW"/>
        </w:rPr>
        <w:t xml:space="preserve">7</w:t>
      </w:r>
      <w:r>
        <w:rPr>
          <w:rFonts w:ascii="宋體-繁" w:hAnsi="宋體-繁" w:eastAsia="宋體-繁" w:cs="宋體-繁"/>
          <w:color w:val="000000" w:themeColor="text1"/>
          <w:szCs w:val="21"/>
          <w:lang w:eastAsia="zh-TW"/>
        </w:rPr>
        <w:t xml:space="preserve">名。</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省眾議會負責起草全部特別案表決、重要案表決和常規案表決的省立法院法案草案，省眾議會無權對省立法院法案草案終審。</w:t>
      </w:r>
      <w:r>
        <w:rPr>
          <w:rFonts w:ascii="宋體-繁" w:hAnsi="宋體-繁" w:cs="宋體-繁"/>
        </w:rPr>
      </w:r>
      <w:r>
        <w:rPr>
          <w:rFonts w:ascii="宋體-繁" w:hAnsi="宋體-繁" w:cs="宋體-繁"/>
        </w:rPr>
      </w:r>
    </w:p>
    <w:p>
      <w:pPr>
        <w:pStyle w:val="1203"/>
        <w:numPr>
          <w:ilvl w:val="0"/>
          <w:numId w:val="33"/>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省眾議會眾議員提交的常規案表決的法案草案，由省眾議會以常規案表決，常規案表決未通過的，眾議員可提交對該法案草案進行常規案二審表決，常規案二審表決未通過的即駁回。</w:t>
      </w:r>
      <w:r>
        <w:rPr>
          <w:rFonts w:ascii="宋體-繁" w:hAnsi="宋體-繁" w:cs="宋體-繁"/>
        </w:rPr>
      </w:r>
      <w:r>
        <w:rPr>
          <w:rFonts w:ascii="宋體-繁" w:hAnsi="宋體-繁" w:cs="宋體-繁"/>
        </w:rPr>
      </w:r>
    </w:p>
    <w:p>
      <w:pPr>
        <w:pStyle w:val="1203"/>
        <w:numPr>
          <w:ilvl w:val="0"/>
          <w:numId w:val="33"/>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省眾議會眾議員提交的重要案表決的法案草案，由省眾議會以重要案表決，重要案表決未通過的即駁回；省眾議會眾議員提交的特別案表決的法案草案，由省眾議會以特別案表決，特別案表決未通過的即駁回。</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省立法院議員，由所屬各市級行政區改選，省立法院院長、副院長、參議長、副參議長、參議員、眾議長、副眾議長和眾議員，任期內不得兼任除該省立法院所屬職位以外的其他職位。</w:t>
      </w:r>
      <w:r>
        <w:rPr>
          <w:rFonts w:ascii="宋體-繁" w:hAnsi="宋體-繁" w:cs="宋體-繁"/>
        </w:rPr>
      </w:r>
      <w:r>
        <w:rPr>
          <w:rFonts w:ascii="宋體-繁" w:hAnsi="宋體-繁" w:cs="宋體-繁"/>
        </w:rPr>
      </w:r>
    </w:p>
    <w:p>
      <w:pPr>
        <w:pStyle w:val="1203"/>
        <w:numPr>
          <w:ilvl w:val="0"/>
          <w:numId w:val="29"/>
        </w:numPr>
        <w:pBdr/>
        <w:spacing w:after="0" w:before="156" w:line="300" w:lineRule="exact"/>
        <w:ind/>
        <w:outlineLvl w:val="1"/>
        <w:rPr>
          <w:rFonts w:ascii="宋體-繁" w:hAnsi="宋體-繁" w:cs="宋體-繁"/>
        </w:rPr>
      </w:pPr>
      <w:r/>
      <w:bookmarkStart w:id="90" w:name="_Toc16"/>
      <w:r>
        <w:rPr>
          <w:rFonts w:ascii="宋體-繁" w:hAnsi="宋體-繁" w:eastAsia="宋體-繁" w:cs="宋體-繁"/>
        </w:rPr>
      </w:r>
      <w:bookmarkStart w:id="34" w:name="__RefHeading___Toc7019_4090689648"/>
      <w:r>
        <w:rPr>
          <w:rFonts w:ascii="宋體-繁" w:hAnsi="宋體-繁" w:eastAsia="宋體-繁" w:cs="宋體-繁"/>
        </w:rPr>
      </w:r>
      <w:bookmarkEnd w:id="34"/>
      <w:r>
        <w:rPr>
          <w:rFonts w:ascii="宋體-繁" w:hAnsi="宋體-繁" w:eastAsia="宋體-繁" w:cs="宋體-繁"/>
          <w:b/>
          <w:color w:val="000000" w:themeColor="text1"/>
          <w:sz w:val="28"/>
          <w:szCs w:val="28"/>
        </w:rPr>
        <w:t xml:space="preserve">市立法</w:t>
      </w:r>
      <w:r>
        <w:rPr>
          <w:rFonts w:ascii="宋體-繁" w:hAnsi="宋體-繁" w:eastAsia="宋體-繁" w:cs="宋體-繁"/>
          <w:b/>
          <w:color w:val="000000" w:themeColor="text1"/>
          <w:sz w:val="28"/>
          <w:szCs w:val="28"/>
          <w:lang w:eastAsia="zh-TW"/>
        </w:rPr>
        <w:t xml:space="preserve">會</w:t>
      </w:r>
      <w:r>
        <w:rPr>
          <w:rFonts w:ascii="宋體-繁" w:hAnsi="宋體-繁" w:eastAsia="宋體-繁" w:cs="宋體-繁"/>
        </w:rPr>
      </w:r>
      <w:bookmarkEnd w:id="90"/>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中華民族聯邦共和國市級行政區設市公民立法委員會，簡稱市立法會，市立法會委員由該市所轄每個鎮級行政區的公民從該鎮現任鎮自治會委員當中選舉產生，該鎮轄區內人口在</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萬人以下的，限選舉產生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名市立法會委員；該鎮轄區內人口超過</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萬人的，後每滿</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萬人增選</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名市立法會委員，最多可增選至</w:t>
      </w:r>
      <w:r>
        <w:rPr>
          <w:rFonts w:ascii="宋體-繁" w:hAnsi="宋體-繁" w:eastAsia="宋體-繁" w:cs="宋體-繁"/>
          <w:color w:val="000000" w:themeColor="text1"/>
          <w:szCs w:val="21"/>
          <w:lang w:eastAsia="zh-TW"/>
        </w:rPr>
        <w:t xml:space="preserve">7</w:t>
      </w:r>
      <w:r>
        <w:rPr>
          <w:rFonts w:ascii="宋體-繁" w:hAnsi="宋體-繁" w:eastAsia="宋體-繁" w:cs="宋體-繁"/>
          <w:color w:val="000000" w:themeColor="text1"/>
          <w:szCs w:val="21"/>
          <w:lang w:eastAsia="zh-TW"/>
        </w:rPr>
        <w:t xml:space="preserve">名。</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市立法會設主席職位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個，由該市立法會現任委員互選產生；市立法會主席、副主席和委員每屆任期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護憲大法官有權對市立法會發起違憲指控聽證會，護憲大法官發起市立法會違憲指控聽證會的，全體委員必須參與聽證會，違憲指控聽證會期間，市立法會暫時失去一切職權。</w:t>
      </w:r>
      <w:r>
        <w:rPr>
          <w:rFonts w:ascii="宋體-繁" w:hAnsi="宋體-繁" w:cs="宋體-繁"/>
        </w:rPr>
      </w:r>
      <w:r>
        <w:rPr>
          <w:rFonts w:ascii="宋體-繁" w:hAnsi="宋體-繁" w:cs="宋體-繁"/>
        </w:rPr>
      </w:r>
    </w:p>
    <w:p>
      <w:pPr>
        <w:pStyle w:val="1203"/>
        <w:numPr>
          <w:ilvl w:val="0"/>
          <w:numId w:val="34"/>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市立法會違憲指控聽證會後，護憲大法官放棄發起違憲司法審查的，其市立法會的職權恢復；市立法會違憲指控聽證會後，護憲大法官發起違憲司法審查的，立即解散該屆市立法會，並由公民選舉重組。</w:t>
      </w:r>
      <w:r>
        <w:rPr>
          <w:rFonts w:ascii="宋體-繁" w:hAnsi="宋體-繁" w:cs="宋體-繁"/>
        </w:rPr>
      </w:r>
      <w:r>
        <w:rPr>
          <w:rFonts w:ascii="宋體-繁" w:hAnsi="宋體-繁" w:cs="宋體-繁"/>
        </w:rPr>
      </w:r>
    </w:p>
    <w:p>
      <w:pPr>
        <w:pStyle w:val="1203"/>
        <w:numPr>
          <w:ilvl w:val="0"/>
          <w:numId w:val="34"/>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護憲大法官有權對市立法會任意委員發起違憲指控聽證會，違憲指控聽證會期間，受違憲指控的委員暫時失去委員職權；違憲指控聽證會後護憲大法官放棄發起違憲司法審查的，其市立法會委員的職權恢復；違憲指控聽證會後護憲大法官發起違憲司法審查的，其市立法會委員的權責立即失效，並由公民重新選舉。</w:t>
      </w:r>
      <w:r>
        <w:rPr>
          <w:rFonts w:ascii="宋體-繁" w:hAnsi="宋體-繁" w:cs="宋體-繁"/>
        </w:rPr>
      </w:r>
      <w:r>
        <w:rPr>
          <w:rFonts w:ascii="宋體-繁" w:hAnsi="宋體-繁" w:cs="宋體-繁"/>
        </w:rPr>
      </w:r>
    </w:p>
    <w:p>
      <w:pPr>
        <w:pStyle w:val="1203"/>
        <w:numPr>
          <w:ilvl w:val="0"/>
          <w:numId w:val="34"/>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由護憲大法官發起的市立法會違憲司法審查及市立法會委員違憲司法審查由國家司法院負責審查，經國家司法院審判後，市立法會委員違憲罪名成立的，立即永久剝奪其任職公職人員的資格，其違憲罪名不成立的，恢復其自由公民。經國家司法院審判後，該市該屆市立法會違憲罪名成立的，立即永久剝奪該市該屆市立法會所有委員任職公職人員的資格。</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市立法會委員，由所屬各鎮級行政區改選，市立法會主席、副主席和委員，任期內不得兼任除該市立法會所屬職位以外的其他職位。</w:t>
      </w:r>
      <w:r>
        <w:rPr>
          <w:rFonts w:ascii="宋體-繁" w:hAnsi="宋體-繁" w:cs="宋體-繁"/>
        </w:rPr>
      </w:r>
      <w:r>
        <w:rPr>
          <w:rFonts w:ascii="宋體-繁" w:hAnsi="宋體-繁" w:cs="宋體-繁"/>
        </w:rPr>
      </w:r>
    </w:p>
    <w:p>
      <w:pPr>
        <w:pStyle w:val="1203"/>
        <w:numPr>
          <w:ilvl w:val="0"/>
          <w:numId w:val="1"/>
        </w:numPr>
        <w:pBdr/>
        <w:spacing w:after="156" w:before="156" w:line="400" w:lineRule="exact"/>
        <w:ind/>
        <w:jc w:val="center"/>
        <w:outlineLvl w:val="0"/>
        <w:rPr>
          <w:rFonts w:ascii="宋體-繁" w:hAnsi="宋體-繁" w:cs="宋體-繁"/>
        </w:rPr>
      </w:pPr>
      <w:r/>
      <w:bookmarkStart w:id="91" w:name="_Toc17"/>
      <w:r>
        <w:rPr>
          <w:rFonts w:ascii="宋體-繁" w:hAnsi="宋體-繁" w:eastAsia="宋體-繁" w:cs="宋體-繁"/>
        </w:rPr>
      </w:r>
      <w:bookmarkStart w:id="36" w:name="__RefHeading___Toc7021_4090689648"/>
      <w:r>
        <w:rPr>
          <w:rFonts w:ascii="宋體-繁" w:hAnsi="宋體-繁" w:eastAsia="宋體-繁" w:cs="宋體-繁"/>
        </w:rPr>
      </w:r>
      <w:bookmarkEnd w:id="36"/>
      <w:r>
        <w:rPr>
          <w:rFonts w:ascii="宋體-繁" w:hAnsi="宋體-繁" w:eastAsia="宋體-繁" w:cs="宋體-繁"/>
          <w:b/>
          <w:color w:val="000000" w:themeColor="text1"/>
          <w:sz w:val="32"/>
          <w:szCs w:val="32"/>
        </w:rPr>
        <w:t xml:space="preserve">司法院</w:t>
      </w:r>
      <w:r>
        <w:rPr>
          <w:rFonts w:ascii="宋體-繁" w:hAnsi="宋體-繁" w:eastAsia="宋體-繁" w:cs="宋體-繁"/>
        </w:rPr>
      </w:r>
      <w:bookmarkEnd w:id="91"/>
      <w:r>
        <w:rPr>
          <w:rFonts w:ascii="宋體-繁" w:hAnsi="宋體-繁" w:cs="宋體-繁"/>
        </w:rPr>
      </w:r>
      <w:r>
        <w:rPr>
          <w:rFonts w:ascii="宋體-繁" w:hAnsi="宋體-繁" w:cs="宋體-繁"/>
        </w:rPr>
      </w:r>
    </w:p>
    <w:p>
      <w:pPr>
        <w:pStyle w:val="1203"/>
        <w:numPr>
          <w:ilvl w:val="0"/>
          <w:numId w:val="35"/>
        </w:numPr>
        <w:pBdr/>
        <w:spacing w:after="0" w:before="156" w:line="300" w:lineRule="exact"/>
        <w:ind/>
        <w:outlineLvl w:val="1"/>
        <w:rPr>
          <w:rFonts w:ascii="宋體-繁" w:hAnsi="宋體-繁" w:cs="宋體-繁"/>
        </w:rPr>
      </w:pPr>
      <w:r/>
      <w:bookmarkStart w:id="92" w:name="_Toc18"/>
      <w:r>
        <w:rPr>
          <w:rFonts w:ascii="宋體-繁" w:hAnsi="宋體-繁" w:eastAsia="宋體-繁" w:cs="宋體-繁"/>
        </w:rPr>
      </w:r>
      <w:bookmarkStart w:id="38" w:name="__RefHeading___Toc7023_4090689648"/>
      <w:r>
        <w:rPr>
          <w:rFonts w:ascii="宋體-繁" w:hAnsi="宋體-繁" w:eastAsia="宋體-繁" w:cs="宋體-繁"/>
        </w:rPr>
      </w:r>
      <w:bookmarkEnd w:id="38"/>
      <w:r>
        <w:rPr>
          <w:rFonts w:ascii="宋體-繁" w:hAnsi="宋體-繁" w:eastAsia="宋體-繁" w:cs="宋體-繁"/>
          <w:b/>
          <w:color w:val="000000" w:themeColor="text1"/>
          <w:sz w:val="28"/>
          <w:szCs w:val="28"/>
          <w:lang w:eastAsia="zh-TW"/>
        </w:rPr>
        <w:t xml:space="preserve">國家司法院</w:t>
      </w:r>
      <w:r>
        <w:rPr>
          <w:rFonts w:ascii="宋體-繁" w:hAnsi="宋體-繁" w:eastAsia="宋體-繁" w:cs="宋體-繁"/>
        </w:rPr>
      </w:r>
      <w:bookmarkEnd w:id="92"/>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中華民族聯邦共和國設司法院，簡稱國家司法院，國家司法院設院長職位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個，由護憲大法官提名，院長和副院長每屆任期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36"/>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護憲大法官提名的國家司法院院長和副院長，由國家參議會以常規案表決任免產生，常規案表決未通過的由提名人發起常規案二審表決，常規案二審表決未通過的即駁回，駁回的由提名人另選被提名人。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36"/>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護憲大法官提名的國家司法院院長和副院長，經國家參議會三次常規案二審表決仍未通過的，護憲大法官可直接提名並任免國家司法院院長和副院長。</w:t>
      </w:r>
      <w:r>
        <w:rPr>
          <w:rFonts w:ascii="宋體-繁" w:hAnsi="宋體-繁" w:cs="宋體-繁"/>
        </w:rPr>
      </w:r>
      <w:r>
        <w:rPr>
          <w:rFonts w:ascii="宋體-繁" w:hAnsi="宋體-繁" w:cs="宋體-繁"/>
        </w:rPr>
      </w:r>
    </w:p>
    <w:p>
      <w:pPr>
        <w:pStyle w:val="1203"/>
        <w:numPr>
          <w:ilvl w:val="0"/>
          <w:numId w:val="36"/>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國家司法院院長和副院長必須是年滿</w:t>
      </w:r>
      <w:r>
        <w:rPr>
          <w:rFonts w:ascii="宋體-繁" w:hAnsi="宋體-繁" w:eastAsia="宋體-繁" w:cs="宋體-繁"/>
          <w:color w:val="000000" w:themeColor="text1"/>
          <w:szCs w:val="21"/>
          <w:lang w:eastAsia="zh-TW"/>
        </w:rPr>
        <w:t xml:space="preserve">35</w:t>
      </w:r>
      <w:r>
        <w:rPr>
          <w:rFonts w:ascii="宋體-繁" w:hAnsi="宋體-繁" w:eastAsia="宋體-繁" w:cs="宋體-繁"/>
          <w:color w:val="000000" w:themeColor="text1"/>
          <w:szCs w:val="21"/>
          <w:lang w:eastAsia="zh-TW"/>
        </w:rPr>
        <w:t xml:space="preserve">週歲的中華民族聯邦共和國公民，且必須是出生在中華民族聯邦共和國境內，並在境內生活</w:t>
      </w:r>
      <w:r>
        <w:rPr>
          <w:rFonts w:ascii="宋體-繁" w:hAnsi="宋體-繁" w:eastAsia="宋體-繁" w:cs="宋體-繁"/>
          <w:color w:val="000000" w:themeColor="text1"/>
          <w:szCs w:val="21"/>
          <w:lang w:eastAsia="zh-TW"/>
        </w:rPr>
        <w:t xml:space="preserve">15</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國家司法院設首席大法官職位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個，設次席大法官職位</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個，設大法官職位</w:t>
      </w:r>
      <w:r>
        <w:rPr>
          <w:rFonts w:ascii="宋體-繁" w:hAnsi="宋體-繁" w:eastAsia="宋體-繁" w:cs="宋體-繁"/>
          <w:color w:val="000000" w:themeColor="text1"/>
          <w:szCs w:val="21"/>
          <w:lang w:eastAsia="zh-TW"/>
        </w:rPr>
        <w:t xml:space="preserve">7</w:t>
      </w:r>
      <w:r>
        <w:rPr>
          <w:rFonts w:ascii="宋體-繁" w:hAnsi="宋體-繁" w:eastAsia="宋體-繁" w:cs="宋體-繁"/>
          <w:color w:val="000000" w:themeColor="text1"/>
          <w:szCs w:val="21"/>
          <w:lang w:eastAsia="zh-TW"/>
        </w:rPr>
        <w:t xml:space="preserve">個，由國家司法院院長提名；國家司法院首席大法官、次席大法官和大法官每屆任期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4</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37"/>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國家司法院首席大法官、次席大法官和大法官的任免由國家參議會以常規案表決任免產生，常規案表決未通過的由提名人發起常規案二審表決，常規案二審表決未通過的即駁回，駁回的由提名人另選被提名人。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37"/>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國家司法院首席大法官、次席大法官和大法官必須是年滿</w:t>
      </w:r>
      <w:r>
        <w:rPr>
          <w:rFonts w:ascii="宋體-繁" w:hAnsi="宋體-繁" w:eastAsia="宋體-繁" w:cs="宋體-繁"/>
          <w:color w:val="000000" w:themeColor="text1"/>
          <w:szCs w:val="21"/>
          <w:lang w:eastAsia="zh-TW"/>
        </w:rPr>
        <w:t xml:space="preserve">35</w:t>
      </w:r>
      <w:r>
        <w:rPr>
          <w:rFonts w:ascii="宋體-繁" w:hAnsi="宋體-繁" w:eastAsia="宋體-繁" w:cs="宋體-繁"/>
          <w:color w:val="000000" w:themeColor="text1"/>
          <w:szCs w:val="21"/>
          <w:lang w:eastAsia="zh-TW"/>
        </w:rPr>
        <w:t xml:space="preserve">週歲的中華民族聯邦共和國公民，且必須是出生在中華民族聯邦共和國境內，並在境內生活</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國家司法院設終審法庭，終審法庭是中華民族聯邦共和國法律的最終解釋法庭，負責審議省司法院復審法庭審判後，當事人不滿復審法庭的審判結果，併發起終審的司法案件，及審判管轄權屬於國家司法院的司法案件，對於國家司法院終審法庭的審判結果，當事人必須執行。</w:t>
      </w:r>
      <w:r>
        <w:rPr>
          <w:rFonts w:ascii="宋體-繁" w:hAnsi="宋體-繁" w:cs="宋體-繁"/>
        </w:rPr>
      </w:r>
      <w:r>
        <w:rPr>
          <w:rFonts w:ascii="宋體-繁" w:hAnsi="宋體-繁" w:cs="宋體-繁"/>
        </w:rPr>
      </w:r>
    </w:p>
    <w:p>
      <w:pPr>
        <w:pStyle w:val="1203"/>
        <w:numPr>
          <w:ilvl w:val="0"/>
          <w:numId w:val="35"/>
        </w:numPr>
        <w:pBdr/>
        <w:spacing w:after="0" w:before="156" w:line="300" w:lineRule="exact"/>
        <w:ind/>
        <w:outlineLvl w:val="1"/>
        <w:rPr>
          <w:rFonts w:ascii="宋體-繁" w:hAnsi="宋體-繁" w:cs="宋體-繁"/>
        </w:rPr>
      </w:pPr>
      <w:r/>
      <w:bookmarkStart w:id="93" w:name="_Toc19"/>
      <w:r>
        <w:rPr>
          <w:rFonts w:ascii="宋體-繁" w:hAnsi="宋體-繁" w:eastAsia="宋體-繁" w:cs="宋體-繁"/>
        </w:rPr>
      </w:r>
      <w:bookmarkStart w:id="40" w:name="__RefHeading___Toc7025_4090689648"/>
      <w:r>
        <w:rPr>
          <w:rFonts w:ascii="宋體-繁" w:hAnsi="宋體-繁" w:eastAsia="宋體-繁" w:cs="宋體-繁"/>
        </w:rPr>
      </w:r>
      <w:bookmarkEnd w:id="40"/>
      <w:r>
        <w:rPr>
          <w:rFonts w:ascii="宋體-繁" w:hAnsi="宋體-繁" w:eastAsia="宋體-繁" w:cs="宋體-繁"/>
          <w:b/>
          <w:color w:val="000000" w:themeColor="text1"/>
          <w:sz w:val="28"/>
          <w:szCs w:val="28"/>
        </w:rPr>
        <w:t xml:space="preserve">省司法院</w:t>
      </w:r>
      <w:r>
        <w:rPr>
          <w:rFonts w:ascii="宋體-繁" w:hAnsi="宋體-繁" w:eastAsia="宋體-繁" w:cs="宋體-繁"/>
        </w:rPr>
      </w:r>
      <w:bookmarkEnd w:id="93"/>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中華民族聯邦共和國省級行政區設司法院，簡稱省司法院，省司法院是國家司法院派駐省級行政區的聯邦司法機構；省司法院設院長職位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個，由國家司法院院長提名，設副院長職位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個，由省司法院院長提名，院長和副院長每屆任期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省司法院設首席大法官職位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個，設次席大法官職位</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個，設大法官職位</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個，由省司法院院長提名；省司法院首席大法官、次席大法官和大法官每屆任期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4</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省司法院院長、副院長、首席大法官、次席大法官和大法官的任免由省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省司法院設復審法庭，復審法庭負責審議市司法院上訴法庭審判後，當事人不滿上訴法庭的審判結果，併發起復審的司法案件，及審判管轄權屬於聯邦司法院的司法案件。</w:t>
      </w:r>
      <w:r>
        <w:rPr>
          <w:rFonts w:ascii="宋體-繁" w:hAnsi="宋體-繁" w:cs="宋體-繁"/>
        </w:rPr>
      </w:r>
      <w:r>
        <w:rPr>
          <w:rFonts w:ascii="宋體-繁" w:hAnsi="宋體-繁" w:cs="宋體-繁"/>
        </w:rPr>
      </w:r>
    </w:p>
    <w:p>
      <w:pPr>
        <w:pStyle w:val="1203"/>
        <w:numPr>
          <w:ilvl w:val="0"/>
          <w:numId w:val="35"/>
        </w:numPr>
        <w:pBdr/>
        <w:spacing w:after="0" w:before="156" w:line="300" w:lineRule="exact"/>
        <w:ind/>
        <w:outlineLvl w:val="1"/>
        <w:rPr>
          <w:rFonts w:ascii="宋體-繁" w:hAnsi="宋體-繁" w:cs="宋體-繁"/>
        </w:rPr>
      </w:pPr>
      <w:r/>
      <w:bookmarkStart w:id="94" w:name="_Toc20"/>
      <w:r>
        <w:rPr>
          <w:rFonts w:ascii="宋體-繁" w:hAnsi="宋體-繁" w:eastAsia="宋體-繁" w:cs="宋體-繁"/>
        </w:rPr>
      </w:r>
      <w:bookmarkStart w:id="42" w:name="__RefHeading___Toc7027_4090689648"/>
      <w:r>
        <w:rPr>
          <w:rFonts w:ascii="宋體-繁" w:hAnsi="宋體-繁" w:eastAsia="宋體-繁" w:cs="宋體-繁"/>
        </w:rPr>
      </w:r>
      <w:bookmarkEnd w:id="42"/>
      <w:r>
        <w:rPr>
          <w:rFonts w:ascii="宋體-繁" w:hAnsi="宋體-繁" w:eastAsia="宋體-繁" w:cs="宋體-繁"/>
          <w:b/>
          <w:color w:val="000000" w:themeColor="text1"/>
          <w:sz w:val="28"/>
          <w:szCs w:val="28"/>
        </w:rPr>
        <w:t xml:space="preserve">市司法院</w:t>
      </w:r>
      <w:r>
        <w:rPr>
          <w:rFonts w:ascii="宋體-繁" w:hAnsi="宋體-繁" w:eastAsia="宋體-繁" w:cs="宋體-繁"/>
        </w:rPr>
      </w:r>
      <w:bookmarkEnd w:id="94"/>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中華民族聯邦共和國市級行政區設司法院，簡稱市司法院，市司法院設院長職位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個，由市自治會提名；市司法院院長和副院長每屆任期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市司法院設首席大法官職位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個，設次席大法官職位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個，設大法官職位</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個，由市司法院院長提名；市司法院首席大法官、次席大法官和大法官每屆任期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4</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司法院院長、副院長、首席大法官、次席大法官和大法官的任免由市立法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市司法院設原訴法庭和上訴法庭，原訴法庭是市司法院的初審法庭，上訴法庭是市司法院的復審法庭，每個市級行政區有一個上訴法庭和多個原訴法庭，轄區內人口大於</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萬人的鎮級行政區必須設置原訴法庭。</w:t>
      </w:r>
      <w:r>
        <w:rPr>
          <w:rFonts w:ascii="宋體-繁" w:hAnsi="宋體-繁" w:cs="宋體-繁"/>
        </w:rPr>
      </w:r>
      <w:r>
        <w:rPr>
          <w:rFonts w:ascii="宋體-繁" w:hAnsi="宋體-繁" w:cs="宋體-繁"/>
        </w:rPr>
      </w:r>
    </w:p>
    <w:p>
      <w:pPr>
        <w:pStyle w:val="1203"/>
        <w:numPr>
          <w:ilvl w:val="0"/>
          <w:numId w:val="1"/>
        </w:numPr>
        <w:pBdr/>
        <w:spacing w:after="156" w:before="156" w:line="400" w:lineRule="exact"/>
        <w:ind/>
        <w:jc w:val="center"/>
        <w:outlineLvl w:val="0"/>
        <w:rPr>
          <w:rFonts w:ascii="宋體-繁" w:hAnsi="宋體-繁" w:cs="宋體-繁"/>
        </w:rPr>
      </w:pPr>
      <w:r/>
      <w:bookmarkStart w:id="95" w:name="_Toc21"/>
      <w:r>
        <w:rPr>
          <w:rFonts w:ascii="宋體-繁" w:hAnsi="宋體-繁" w:eastAsia="宋體-繁" w:cs="宋體-繁"/>
        </w:rPr>
      </w:r>
      <w:bookmarkStart w:id="44" w:name="__RefHeading___Toc7029_4090689648"/>
      <w:r>
        <w:rPr>
          <w:rFonts w:ascii="宋體-繁" w:hAnsi="宋體-繁" w:eastAsia="宋體-繁" w:cs="宋體-繁"/>
        </w:rPr>
      </w:r>
      <w:bookmarkEnd w:id="44"/>
      <w:r>
        <w:rPr>
          <w:rFonts w:ascii="宋體-繁" w:hAnsi="宋體-繁" w:eastAsia="宋體-繁" w:cs="宋體-繁"/>
          <w:b/>
          <w:color w:val="000000" w:themeColor="text1"/>
          <w:sz w:val="32"/>
          <w:szCs w:val="32"/>
          <w:lang w:eastAsia="zh-TW"/>
        </w:rPr>
        <w:t xml:space="preserve">監察院</w:t>
      </w:r>
      <w:r>
        <w:rPr>
          <w:rFonts w:ascii="宋體-繁" w:hAnsi="宋體-繁" w:eastAsia="宋體-繁" w:cs="宋體-繁"/>
        </w:rPr>
      </w:r>
      <w:bookmarkEnd w:id="95"/>
      <w:r>
        <w:rPr>
          <w:rFonts w:ascii="宋體-繁" w:hAnsi="宋體-繁" w:cs="宋體-繁"/>
        </w:rPr>
      </w:r>
      <w:r>
        <w:rPr>
          <w:rFonts w:ascii="宋體-繁" w:hAnsi="宋體-繁" w:cs="宋體-繁"/>
        </w:rPr>
      </w:r>
    </w:p>
    <w:p>
      <w:pPr>
        <w:pStyle w:val="1203"/>
        <w:numPr>
          <w:ilvl w:val="0"/>
          <w:numId w:val="38"/>
        </w:numPr>
        <w:pBdr/>
        <w:spacing w:after="0" w:before="156" w:line="300" w:lineRule="exact"/>
        <w:ind/>
        <w:outlineLvl w:val="1"/>
        <w:rPr>
          <w:rFonts w:ascii="宋體-繁" w:hAnsi="宋體-繁" w:cs="宋體-繁"/>
        </w:rPr>
      </w:pPr>
      <w:r/>
      <w:bookmarkStart w:id="96" w:name="_Toc22"/>
      <w:r>
        <w:rPr>
          <w:rFonts w:ascii="宋體-繁" w:hAnsi="宋體-繁" w:eastAsia="宋體-繁" w:cs="宋體-繁"/>
        </w:rPr>
      </w:r>
      <w:bookmarkStart w:id="46" w:name="__RefHeading___Toc7031_4090689648"/>
      <w:r>
        <w:rPr>
          <w:rFonts w:ascii="宋體-繁" w:hAnsi="宋體-繁" w:eastAsia="宋體-繁" w:cs="宋體-繁"/>
        </w:rPr>
      </w:r>
      <w:bookmarkEnd w:id="46"/>
      <w:r>
        <w:rPr>
          <w:rFonts w:ascii="宋體-繁" w:hAnsi="宋體-繁" w:eastAsia="宋體-繁" w:cs="宋體-繁"/>
          <w:b/>
          <w:color w:val="000000" w:themeColor="text1"/>
          <w:sz w:val="28"/>
          <w:szCs w:val="28"/>
          <w:lang w:eastAsia="zh-TW"/>
        </w:rPr>
        <w:t xml:space="preserve">國家監察</w:t>
      </w:r>
      <w:r>
        <w:rPr>
          <w:rFonts w:ascii="宋體-繁" w:hAnsi="宋體-繁" w:eastAsia="宋體-繁" w:cs="宋體-繁"/>
          <w:b/>
          <w:color w:val="000000" w:themeColor="text1"/>
          <w:sz w:val="28"/>
          <w:szCs w:val="28"/>
        </w:rPr>
        <w:t xml:space="preserve">院</w:t>
      </w:r>
      <w:r>
        <w:rPr>
          <w:rFonts w:ascii="宋體-繁" w:hAnsi="宋體-繁" w:eastAsia="宋體-繁" w:cs="宋體-繁"/>
        </w:rPr>
      </w:r>
      <w:bookmarkEnd w:id="96"/>
      <w:r>
        <w:rPr>
          <w:rFonts w:ascii="宋體-繁" w:hAnsi="宋體-繁" w:cs="宋體-繁"/>
        </w:rPr>
      </w:r>
      <w:r>
        <w:rPr>
          <w:rFonts w:ascii="宋體-繁" w:hAnsi="宋體-繁" w:cs="宋體-繁"/>
        </w:rPr>
      </w:r>
    </w:p>
    <w:p>
      <w:pPr>
        <w:pStyle w:val="1203"/>
        <w:numPr>
          <w:ilvl w:val="0"/>
          <w:numId w:val="51"/>
        </w:numPr>
        <w:pBdr/>
        <w:spacing w:line="300" w:lineRule="exact"/>
        <w:ind w:hanging="1155" w:left="115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中華民族聯邦共和國設監察院，簡稱國家監察院，國家監察院設院長職位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個，由總統提名，院長和副院長每屆任期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39"/>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國家監察院院長和副院長的任免由國家參議會以常規案表決任免產生，常規案表決未通過的由提名人發起常規案二審表決，常規案二審表決未通過的即駁回，駁回的由提名人另選被提名人。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39"/>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國家監察院院長和副院長必須是年滿</w:t>
      </w:r>
      <w:r>
        <w:rPr>
          <w:rFonts w:ascii="宋體-繁" w:hAnsi="宋體-繁" w:eastAsia="宋體-繁" w:cs="宋體-繁"/>
          <w:color w:val="000000" w:themeColor="text1"/>
          <w:szCs w:val="21"/>
          <w:lang w:eastAsia="zh-TW"/>
        </w:rPr>
        <w:t xml:space="preserve">35</w:t>
      </w:r>
      <w:r>
        <w:rPr>
          <w:rFonts w:ascii="宋體-繁" w:hAnsi="宋體-繁" w:eastAsia="宋體-繁" w:cs="宋體-繁"/>
          <w:color w:val="000000" w:themeColor="text1"/>
          <w:szCs w:val="21"/>
          <w:lang w:eastAsia="zh-TW"/>
        </w:rPr>
        <w:t xml:space="preserve">週歲的中華民族聯邦共和國公民，且必須是出生在中華民族聯邦共和國境內，並在境內生活</w:t>
      </w:r>
      <w:r>
        <w:rPr>
          <w:rFonts w:ascii="宋體-繁" w:hAnsi="宋體-繁" w:eastAsia="宋體-繁" w:cs="宋體-繁"/>
          <w:color w:val="000000" w:themeColor="text1"/>
          <w:szCs w:val="21"/>
          <w:lang w:eastAsia="zh-TW"/>
        </w:rPr>
        <w:t xml:space="preserve">15</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51"/>
        </w:numPr>
        <w:pBdr/>
        <w:spacing w:line="300" w:lineRule="exact"/>
        <w:ind w:hanging="945" w:left="945"/>
        <w:outlineLvl w:val="2"/>
        <w:rPr>
          <w:rFonts w:ascii="宋體-繁" w:hAnsi="宋體-繁" w:cs="宋體-繁"/>
        </w:rPr>
      </w:pPr>
      <w:r>
        <w:rPr>
          <w:rFonts w:ascii="宋體-繁" w:hAnsi="宋體-繁" w:eastAsia="宋體-繁" w:cs="宋體-繁"/>
          <w:color w:val="000000" w:themeColor="text1"/>
          <w:szCs w:val="21"/>
          <w:lang w:eastAsia="zh-TW"/>
        </w:rPr>
        <w:t xml:space="preserve">國家監察院設首席監察官職位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個，設次席監察官職位</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個，設監察官職位</w:t>
      </w:r>
      <w:r>
        <w:rPr>
          <w:rFonts w:ascii="宋體-繁" w:hAnsi="宋體-繁" w:eastAsia="宋體-繁" w:cs="宋體-繁"/>
          <w:color w:val="000000" w:themeColor="text1"/>
          <w:szCs w:val="21"/>
          <w:lang w:eastAsia="zh-TW"/>
        </w:rPr>
        <w:t xml:space="preserve">7</w:t>
      </w:r>
      <w:r>
        <w:rPr>
          <w:rFonts w:ascii="宋體-繁" w:hAnsi="宋體-繁" w:eastAsia="宋體-繁" w:cs="宋體-繁"/>
          <w:color w:val="000000" w:themeColor="text1"/>
          <w:szCs w:val="21"/>
          <w:lang w:eastAsia="zh-TW"/>
        </w:rPr>
        <w:t xml:space="preserve">個，由國家監察院院長提名；國家監察院首席監察官、次席監察官和監察官每屆任期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40"/>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國家監察院首席監察官、次席監察官和監察官的任免由國家參議會以常規案表決任免產生，常規案表決未通過的由提名人發起常規案二審表決，常規案二審表決未通過的即駁回，駁回的由提名人另選被提名人。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40"/>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國家監察院首席監察官、次席監察官和監察官必須是年滿</w:t>
      </w:r>
      <w:r>
        <w:rPr>
          <w:rFonts w:ascii="宋體-繁" w:hAnsi="宋體-繁" w:eastAsia="宋體-繁" w:cs="宋體-繁"/>
          <w:color w:val="000000" w:themeColor="text1"/>
          <w:szCs w:val="21"/>
          <w:lang w:eastAsia="zh-TW"/>
        </w:rPr>
        <w:t xml:space="preserve">35</w:t>
      </w:r>
      <w:r>
        <w:rPr>
          <w:rFonts w:ascii="宋體-繁" w:hAnsi="宋體-繁" w:eastAsia="宋體-繁" w:cs="宋體-繁"/>
          <w:color w:val="000000" w:themeColor="text1"/>
          <w:szCs w:val="21"/>
          <w:lang w:eastAsia="zh-TW"/>
        </w:rPr>
        <w:t xml:space="preserve">週歲的中華民族聯邦共和國公民，且必須是出生在中華民族聯邦共和國境內，並在境內生活</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38"/>
        </w:numPr>
        <w:pBdr/>
        <w:spacing w:after="0" w:before="156" w:line="300" w:lineRule="exact"/>
        <w:ind/>
        <w:outlineLvl w:val="1"/>
        <w:rPr>
          <w:rFonts w:ascii="宋體-繁" w:hAnsi="宋體-繁" w:cs="宋體-繁"/>
        </w:rPr>
      </w:pPr>
      <w:r/>
      <w:bookmarkStart w:id="97" w:name="_Toc23"/>
      <w:r>
        <w:rPr>
          <w:rFonts w:ascii="宋體-繁" w:hAnsi="宋體-繁" w:eastAsia="宋體-繁" w:cs="宋體-繁"/>
        </w:rPr>
      </w:r>
      <w:bookmarkStart w:id="48" w:name="__RefHeading___Toc7033_4090689648"/>
      <w:r>
        <w:rPr>
          <w:rFonts w:ascii="宋體-繁" w:hAnsi="宋體-繁" w:eastAsia="宋體-繁" w:cs="宋體-繁"/>
        </w:rPr>
      </w:r>
      <w:bookmarkEnd w:id="48"/>
      <w:r>
        <w:rPr>
          <w:rFonts w:ascii="宋體-繁" w:hAnsi="宋體-繁" w:eastAsia="宋體-繁" w:cs="宋體-繁"/>
          <w:b/>
          <w:color w:val="000000" w:themeColor="text1"/>
          <w:sz w:val="28"/>
          <w:szCs w:val="28"/>
          <w:lang w:eastAsia="zh-TW"/>
        </w:rPr>
        <w:t xml:space="preserve">聯邦廉政署</w:t>
      </w:r>
      <w:r>
        <w:rPr>
          <w:rFonts w:ascii="宋體-繁" w:hAnsi="宋體-繁" w:eastAsia="宋體-繁" w:cs="宋體-繁"/>
        </w:rPr>
      </w:r>
      <w:bookmarkEnd w:id="97"/>
      <w:r>
        <w:rPr>
          <w:rFonts w:ascii="宋體-繁" w:hAnsi="宋體-繁" w:cs="宋體-繁"/>
        </w:rPr>
      </w:r>
      <w:r>
        <w:rPr>
          <w:rFonts w:ascii="宋體-繁" w:hAnsi="宋體-繁" w:cs="宋體-繁"/>
        </w:rPr>
      </w:r>
    </w:p>
    <w:p>
      <w:pPr>
        <w:pStyle w:val="1203"/>
        <w:numPr>
          <w:ilvl w:val="0"/>
          <w:numId w:val="51"/>
        </w:numPr>
        <w:pBdr/>
        <w:spacing w:after="156" w:before="0"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監察院設國家監察院聯邦廉政署，簡稱聯邦廉政署，聯邦廉政署依《中華民族聯邦共和國公職人員義務與權力法》、《中華民族聯邦共和國防止賄賂法》、《中華民族聯邦共和國刑法》等相關法律對所有自然人和法人執行廉政監督檢查。</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聯邦廉政署設署長職位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個，由國家監察院院長提名，設副署長職位</w:t>
      </w:r>
      <w:r>
        <w:rPr>
          <w:rFonts w:ascii="宋體-繁" w:hAnsi="宋體-繁" w:eastAsia="宋體-繁" w:cs="宋體-繁"/>
          <w:color w:val="000000" w:themeColor="text1"/>
          <w:szCs w:val="21"/>
          <w:lang w:eastAsia="zh-TW"/>
        </w:rPr>
        <w:t xml:space="preserve">6</w:t>
      </w:r>
      <w:r>
        <w:rPr>
          <w:rFonts w:ascii="宋體-繁" w:hAnsi="宋體-繁" w:eastAsia="宋體-繁" w:cs="宋體-繁"/>
          <w:color w:val="000000" w:themeColor="text1"/>
          <w:szCs w:val="21"/>
          <w:lang w:eastAsia="zh-TW"/>
        </w:rPr>
        <w:t xml:space="preserve">個，由署長提名，署長和副署長每屆任期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4</w:t>
      </w:r>
      <w:r>
        <w:rPr>
          <w:rFonts w:ascii="宋體-繁" w:hAnsi="宋體-繁" w:eastAsia="宋體-繁" w:cs="宋體-繁"/>
          <w:color w:val="000000" w:themeColor="text1"/>
          <w:szCs w:val="21"/>
          <w:lang w:eastAsia="zh-TW"/>
        </w:rPr>
        <w:t xml:space="preserve">屆；聯邦廉政署署長和副署長的任免由國家參議會以常規案表決任免產生，常規案表決未通過的由提名人發起常規案二審表決，常規案二審表決未通過的即駁回，駁回的由提名人另選被提名人。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51"/>
        </w:numPr>
        <w:pBdr/>
        <w:spacing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聯邦廉政署廉政專員職級由七個等級組成，分別為五級督察、四級督察、三級督察、二級督察、一級督察、特級督察和總督察。</w:t>
      </w:r>
      <w:r>
        <w:rPr>
          <w:rFonts w:ascii="宋體-繁" w:hAnsi="宋體-繁" w:cs="宋體-繁"/>
        </w:rPr>
      </w:r>
      <w:r>
        <w:rPr>
          <w:rFonts w:ascii="宋體-繁" w:hAnsi="宋體-繁" w:cs="宋體-繁"/>
        </w:rPr>
      </w:r>
    </w:p>
    <w:p>
      <w:pPr>
        <w:pStyle w:val="1203"/>
        <w:numPr>
          <w:ilvl w:val="0"/>
          <w:numId w:val="41"/>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聯邦廉政署設總督察職級</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個，總督察職級授予聯邦廉政署署長；聯邦廉政署設特級督察職級</w:t>
      </w:r>
      <w:r>
        <w:rPr>
          <w:rFonts w:ascii="宋體-繁" w:hAnsi="宋體-繁" w:eastAsia="宋體-繁" w:cs="宋體-繁"/>
          <w:color w:val="000000" w:themeColor="text1"/>
          <w:szCs w:val="21"/>
          <w:lang w:eastAsia="zh-TW"/>
        </w:rPr>
        <w:t xml:space="preserve">55</w:t>
      </w:r>
      <w:r>
        <w:rPr>
          <w:rFonts w:ascii="宋體-繁" w:hAnsi="宋體-繁" w:eastAsia="宋體-繁" w:cs="宋體-繁"/>
          <w:color w:val="000000" w:themeColor="text1"/>
          <w:szCs w:val="21"/>
          <w:lang w:eastAsia="zh-TW"/>
        </w:rPr>
        <w:t xml:space="preserve">個以下，特級督察職級授予聯邦廉政署副署長及其他高級廉政專員。</w:t>
      </w:r>
      <w:r>
        <w:rPr>
          <w:rFonts w:ascii="宋體-繁" w:hAnsi="宋體-繁" w:cs="宋體-繁"/>
        </w:rPr>
      </w:r>
      <w:r>
        <w:rPr>
          <w:rFonts w:ascii="宋體-繁" w:hAnsi="宋體-繁" w:cs="宋體-繁"/>
        </w:rPr>
      </w:r>
    </w:p>
    <w:p>
      <w:pPr>
        <w:pStyle w:val="1203"/>
        <w:numPr>
          <w:ilvl w:val="0"/>
          <w:numId w:val="41"/>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聯邦廉政署設一級督察職級</w:t>
      </w:r>
      <w:r>
        <w:rPr>
          <w:rFonts w:ascii="宋體-繁" w:hAnsi="宋體-繁" w:eastAsia="宋體-繁" w:cs="宋體-繁"/>
          <w:color w:val="000000" w:themeColor="text1"/>
          <w:szCs w:val="21"/>
          <w:lang w:eastAsia="zh-TW"/>
        </w:rPr>
        <w:t xml:space="preserve">550</w:t>
      </w:r>
      <w:r>
        <w:rPr>
          <w:rFonts w:ascii="宋體-繁" w:hAnsi="宋體-繁" w:eastAsia="宋體-繁" w:cs="宋體-繁"/>
          <w:color w:val="000000" w:themeColor="text1"/>
          <w:szCs w:val="21"/>
          <w:lang w:eastAsia="zh-TW"/>
        </w:rPr>
        <w:t xml:space="preserve">個以下，設二級督察職級</w:t>
      </w:r>
      <w:r>
        <w:rPr>
          <w:rFonts w:ascii="宋體-繁" w:hAnsi="宋體-繁" w:eastAsia="宋體-繁" w:cs="宋體-繁"/>
          <w:color w:val="000000" w:themeColor="text1"/>
          <w:szCs w:val="21"/>
          <w:lang w:eastAsia="zh-TW"/>
        </w:rPr>
        <w:t xml:space="preserve">5500</w:t>
      </w:r>
      <w:r>
        <w:rPr>
          <w:rFonts w:ascii="宋體-繁" w:hAnsi="宋體-繁" w:eastAsia="宋體-繁" w:cs="宋體-繁"/>
          <w:color w:val="000000" w:themeColor="text1"/>
          <w:szCs w:val="21"/>
          <w:lang w:eastAsia="zh-TW"/>
        </w:rPr>
        <w:t xml:space="preserve">個以下，設三級督察職級</w:t>
      </w:r>
      <w:r>
        <w:rPr>
          <w:rFonts w:ascii="宋體-繁" w:hAnsi="宋體-繁" w:eastAsia="宋體-繁" w:cs="宋體-繁"/>
          <w:color w:val="000000" w:themeColor="text1"/>
          <w:szCs w:val="21"/>
          <w:lang w:eastAsia="zh-TW"/>
        </w:rPr>
        <w:t xml:space="preserve">5500</w:t>
      </w:r>
      <w:r>
        <w:rPr>
          <w:rFonts w:ascii="宋體-繁" w:hAnsi="宋體-繁" w:eastAsia="宋體-繁" w:cs="宋體-繁"/>
          <w:color w:val="000000" w:themeColor="text1"/>
          <w:szCs w:val="21"/>
          <w:lang w:eastAsia="zh-TW"/>
        </w:rPr>
        <w:t xml:space="preserve">個以下，設四級督察職級</w:t>
      </w:r>
      <w:r>
        <w:rPr>
          <w:rFonts w:ascii="宋體-繁" w:hAnsi="宋體-繁" w:eastAsia="宋體-繁" w:cs="宋體-繁"/>
          <w:color w:val="000000" w:themeColor="text1"/>
          <w:szCs w:val="21"/>
          <w:lang w:eastAsia="zh-TW"/>
        </w:rPr>
        <w:t xml:space="preserve">11000</w:t>
      </w:r>
      <w:r>
        <w:rPr>
          <w:rFonts w:ascii="宋體-繁" w:hAnsi="宋體-繁" w:eastAsia="宋體-繁" w:cs="宋體-繁"/>
          <w:color w:val="000000" w:themeColor="text1"/>
          <w:szCs w:val="21"/>
          <w:lang w:eastAsia="zh-TW"/>
        </w:rPr>
        <w:t xml:space="preserve">個以下，設五級督察職級</w:t>
      </w:r>
      <w:r>
        <w:rPr>
          <w:rFonts w:ascii="宋體-繁" w:hAnsi="宋體-繁" w:eastAsia="宋體-繁" w:cs="宋體-繁"/>
          <w:color w:val="000000" w:themeColor="text1"/>
          <w:szCs w:val="21"/>
          <w:lang w:eastAsia="zh-TW"/>
        </w:rPr>
        <w:t xml:space="preserve">16500</w:t>
      </w:r>
      <w:r>
        <w:rPr>
          <w:rFonts w:ascii="宋體-繁" w:hAnsi="宋體-繁" w:eastAsia="宋體-繁" w:cs="宋體-繁"/>
          <w:color w:val="000000" w:themeColor="text1"/>
          <w:szCs w:val="21"/>
          <w:lang w:eastAsia="zh-TW"/>
        </w:rPr>
        <w:t xml:space="preserve">個以下。</w:t>
      </w:r>
      <w:r>
        <w:rPr>
          <w:rFonts w:ascii="宋體-繁" w:hAnsi="宋體-繁" w:cs="宋體-繁"/>
        </w:rPr>
      </w:r>
      <w:r>
        <w:rPr>
          <w:rFonts w:ascii="宋體-繁" w:hAnsi="宋體-繁" w:cs="宋體-繁"/>
        </w:rPr>
      </w:r>
    </w:p>
    <w:p>
      <w:pPr>
        <w:pStyle w:val="1203"/>
        <w:numPr>
          <w:ilvl w:val="0"/>
          <w:numId w:val="38"/>
        </w:numPr>
        <w:pBdr/>
        <w:spacing w:after="0" w:before="156" w:line="300" w:lineRule="exact"/>
        <w:ind/>
        <w:outlineLvl w:val="1"/>
        <w:rPr>
          <w:rFonts w:ascii="宋體-繁" w:hAnsi="宋體-繁" w:cs="宋體-繁"/>
        </w:rPr>
      </w:pPr>
      <w:r/>
      <w:bookmarkStart w:id="98" w:name="_Toc24"/>
      <w:r>
        <w:rPr>
          <w:rFonts w:ascii="宋體-繁" w:hAnsi="宋體-繁" w:eastAsia="宋體-繁" w:cs="宋體-繁"/>
        </w:rPr>
      </w:r>
      <w:bookmarkStart w:id="50" w:name="__RefHeading___Toc7035_4090689648"/>
      <w:r>
        <w:rPr>
          <w:rFonts w:ascii="宋體-繁" w:hAnsi="宋體-繁" w:eastAsia="宋體-繁" w:cs="宋體-繁"/>
        </w:rPr>
      </w:r>
      <w:bookmarkEnd w:id="50"/>
      <w:r>
        <w:rPr>
          <w:rFonts w:ascii="宋體-繁" w:hAnsi="宋體-繁" w:eastAsia="宋體-繁" w:cs="宋體-繁"/>
          <w:b/>
          <w:color w:val="000000" w:themeColor="text1"/>
          <w:sz w:val="28"/>
          <w:szCs w:val="28"/>
          <w:lang w:eastAsia="zh-TW"/>
        </w:rPr>
        <w:t xml:space="preserve">聯邦審計署</w:t>
      </w:r>
      <w:r>
        <w:rPr>
          <w:rFonts w:ascii="宋體-繁" w:hAnsi="宋體-繁" w:eastAsia="宋體-繁" w:cs="宋體-繁"/>
        </w:rPr>
      </w:r>
      <w:bookmarkEnd w:id="98"/>
      <w:r>
        <w:rPr>
          <w:rFonts w:ascii="宋體-繁" w:hAnsi="宋體-繁" w:cs="宋體-繁"/>
        </w:rPr>
      </w:r>
      <w:r>
        <w:rPr>
          <w:rFonts w:ascii="宋體-繁" w:hAnsi="宋體-繁" w:cs="宋體-繁"/>
        </w:rPr>
      </w:r>
    </w:p>
    <w:p>
      <w:pPr>
        <w:pStyle w:val="1203"/>
        <w:numPr>
          <w:ilvl w:val="0"/>
          <w:numId w:val="51"/>
        </w:numPr>
        <w:pBdr/>
        <w:spacing w:after="156" w:before="0"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監察院設國家監察院聯邦審計署，簡稱聯邦審計署，聯邦審計署依《中華民族聯邦共和國會計與審計法》、《中華民族聯邦共和國財政預算法》、《中華民族聯邦共和國稅法》等相關法律對所有自然人和法人進行審計審查。</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聯邦審計署設署長職位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個，由國家監察院院長提名，設副署長職位</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個，由署長提名，署長和副署長每屆任期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4</w:t>
      </w:r>
      <w:r>
        <w:rPr>
          <w:rFonts w:ascii="宋體-繁" w:hAnsi="宋體-繁" w:eastAsia="宋體-繁" w:cs="宋體-繁"/>
          <w:color w:val="000000" w:themeColor="text1"/>
          <w:szCs w:val="21"/>
          <w:lang w:eastAsia="zh-TW"/>
        </w:rPr>
        <w:t xml:space="preserve">屆；聯邦審計署署長和副署長的任免由國家參議會以常規案表決任免產生，常規案表決未通過的由提名人發起常規案二審表決，常規案二審表決未通過的即駁回，駁回的由提名人另選被提名人。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51"/>
        </w:numPr>
        <w:pBdr/>
        <w:spacing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聯邦審計署審計師職級由五個等級組成，分別為三級審計師、二級審計師、一級審計師、特級審計師和總審計師。</w:t>
      </w:r>
      <w:r>
        <w:rPr>
          <w:rFonts w:ascii="宋體-繁" w:hAnsi="宋體-繁" w:cs="宋體-繁"/>
        </w:rPr>
      </w:r>
      <w:r>
        <w:rPr>
          <w:rFonts w:ascii="宋體-繁" w:hAnsi="宋體-繁" w:cs="宋體-繁"/>
        </w:rPr>
      </w:r>
    </w:p>
    <w:p>
      <w:pPr>
        <w:pStyle w:val="1203"/>
        <w:numPr>
          <w:ilvl w:val="0"/>
          <w:numId w:val="4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聯邦審計署設總審計師職級</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個，總審計師職級授予聯邦審計署署長；聯邦審計署設特級審計師職級</w:t>
      </w:r>
      <w:r>
        <w:rPr>
          <w:rFonts w:ascii="宋體-繁" w:hAnsi="宋體-繁" w:eastAsia="宋體-繁" w:cs="宋體-繁"/>
          <w:color w:val="000000" w:themeColor="text1"/>
          <w:szCs w:val="21"/>
          <w:lang w:eastAsia="zh-TW"/>
        </w:rPr>
        <w:t xml:space="preserve">55</w:t>
      </w:r>
      <w:r>
        <w:rPr>
          <w:rFonts w:ascii="宋體-繁" w:hAnsi="宋體-繁" w:eastAsia="宋體-繁" w:cs="宋體-繁"/>
          <w:color w:val="000000" w:themeColor="text1"/>
          <w:szCs w:val="21"/>
          <w:lang w:eastAsia="zh-TW"/>
        </w:rPr>
        <w:t xml:space="preserve">個以下，特級審計師職級授予聯邦審計署副署長及其他高級審計專員。</w:t>
      </w:r>
      <w:r>
        <w:rPr>
          <w:rFonts w:ascii="宋體-繁" w:hAnsi="宋體-繁" w:cs="宋體-繁"/>
        </w:rPr>
      </w:r>
      <w:r>
        <w:rPr>
          <w:rFonts w:ascii="宋體-繁" w:hAnsi="宋體-繁" w:cs="宋體-繁"/>
        </w:rPr>
      </w:r>
    </w:p>
    <w:p>
      <w:pPr>
        <w:pStyle w:val="1203"/>
        <w:numPr>
          <w:ilvl w:val="0"/>
          <w:numId w:val="42"/>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聯邦審計署設一級審計師職級</w:t>
      </w:r>
      <w:r>
        <w:rPr>
          <w:rFonts w:ascii="宋體-繁" w:hAnsi="宋體-繁" w:eastAsia="宋體-繁" w:cs="宋體-繁"/>
          <w:color w:val="000000" w:themeColor="text1"/>
          <w:szCs w:val="21"/>
          <w:lang w:eastAsia="zh-TW"/>
        </w:rPr>
        <w:t xml:space="preserve">165</w:t>
      </w:r>
      <w:r>
        <w:rPr>
          <w:rFonts w:ascii="宋體-繁" w:hAnsi="宋體-繁" w:eastAsia="宋體-繁" w:cs="宋體-繁"/>
          <w:color w:val="000000" w:themeColor="text1"/>
          <w:szCs w:val="21"/>
          <w:lang w:eastAsia="zh-TW"/>
        </w:rPr>
        <w:t xml:space="preserve">個以下，設二級審計師職級</w:t>
      </w:r>
      <w:r>
        <w:rPr>
          <w:rFonts w:ascii="宋體-繁" w:hAnsi="宋體-繁" w:eastAsia="宋體-繁" w:cs="宋體-繁"/>
          <w:color w:val="000000" w:themeColor="text1"/>
          <w:szCs w:val="21"/>
          <w:lang w:eastAsia="zh-TW"/>
        </w:rPr>
        <w:t xml:space="preserve">1650</w:t>
      </w:r>
      <w:r>
        <w:rPr>
          <w:rFonts w:ascii="宋體-繁" w:hAnsi="宋體-繁" w:eastAsia="宋體-繁" w:cs="宋體-繁"/>
          <w:color w:val="000000" w:themeColor="text1"/>
          <w:szCs w:val="21"/>
          <w:lang w:eastAsia="zh-TW"/>
        </w:rPr>
        <w:t xml:space="preserve">個以下，設三級審計師職級</w:t>
      </w:r>
      <w:r>
        <w:rPr>
          <w:rFonts w:ascii="宋體-繁" w:hAnsi="宋體-繁" w:eastAsia="宋體-繁" w:cs="宋體-繁"/>
          <w:color w:val="000000" w:themeColor="text1"/>
          <w:szCs w:val="21"/>
          <w:lang w:eastAsia="zh-TW"/>
        </w:rPr>
        <w:t xml:space="preserve">4950</w:t>
      </w:r>
      <w:r>
        <w:rPr>
          <w:rFonts w:ascii="宋體-繁" w:hAnsi="宋體-繁" w:eastAsia="宋體-繁" w:cs="宋體-繁"/>
          <w:color w:val="000000" w:themeColor="text1"/>
          <w:szCs w:val="21"/>
          <w:lang w:eastAsia="zh-TW"/>
        </w:rPr>
        <w:t xml:space="preserve">個以下。</w:t>
      </w:r>
      <w:r>
        <w:rPr>
          <w:rFonts w:ascii="宋體-繁" w:hAnsi="宋體-繁" w:cs="宋體-繁"/>
        </w:rPr>
      </w:r>
      <w:r>
        <w:rPr>
          <w:rFonts w:ascii="宋體-繁" w:hAnsi="宋體-繁" w:cs="宋體-繁"/>
        </w:rPr>
      </w:r>
    </w:p>
    <w:p>
      <w:pPr>
        <w:pStyle w:val="1203"/>
        <w:numPr>
          <w:ilvl w:val="0"/>
          <w:numId w:val="38"/>
        </w:numPr>
        <w:pBdr/>
        <w:spacing w:after="0" w:before="156" w:line="300" w:lineRule="exact"/>
        <w:ind/>
        <w:outlineLvl w:val="1"/>
        <w:rPr>
          <w:rFonts w:ascii="宋體-繁" w:hAnsi="宋體-繁" w:cs="宋體-繁"/>
        </w:rPr>
      </w:pPr>
      <w:r/>
      <w:bookmarkStart w:id="99" w:name="_Toc25"/>
      <w:r>
        <w:rPr>
          <w:rFonts w:ascii="宋體-繁" w:hAnsi="宋體-繁" w:eastAsia="宋體-繁" w:cs="宋體-繁"/>
        </w:rPr>
      </w:r>
      <w:bookmarkStart w:id="52" w:name="__RefHeading___Toc7037_4090689648"/>
      <w:r>
        <w:rPr>
          <w:rFonts w:ascii="宋體-繁" w:hAnsi="宋體-繁" w:eastAsia="宋體-繁" w:cs="宋體-繁"/>
        </w:rPr>
      </w:r>
      <w:bookmarkEnd w:id="52"/>
      <w:r>
        <w:rPr>
          <w:rFonts w:ascii="宋體-繁" w:hAnsi="宋體-繁" w:eastAsia="宋體-繁" w:cs="宋體-繁"/>
          <w:b/>
          <w:color w:val="000000" w:themeColor="text1"/>
          <w:sz w:val="28"/>
          <w:szCs w:val="28"/>
          <w:lang w:eastAsia="zh-TW"/>
        </w:rPr>
        <w:t xml:space="preserve">聯邦調查</w:t>
      </w:r>
      <w:r>
        <w:rPr>
          <w:rFonts w:ascii="宋體-繁" w:hAnsi="宋體-繁" w:eastAsia="宋體-繁" w:cs="宋體-繁"/>
          <w:b/>
          <w:color w:val="000000" w:themeColor="text1"/>
          <w:sz w:val="28"/>
          <w:szCs w:val="28"/>
        </w:rPr>
        <w:t xml:space="preserve">署</w:t>
      </w:r>
      <w:r>
        <w:rPr>
          <w:rFonts w:ascii="宋體-繁" w:hAnsi="宋體-繁" w:eastAsia="宋體-繁" w:cs="宋體-繁"/>
        </w:rPr>
      </w:r>
      <w:bookmarkEnd w:id="99"/>
      <w:r>
        <w:rPr>
          <w:rFonts w:ascii="宋體-繁" w:hAnsi="宋體-繁" w:cs="宋體-繁"/>
        </w:rPr>
      </w:r>
      <w:r>
        <w:rPr>
          <w:rFonts w:ascii="宋體-繁" w:hAnsi="宋體-繁" w:cs="宋體-繁"/>
        </w:rPr>
      </w:r>
    </w:p>
    <w:p>
      <w:pPr>
        <w:pStyle w:val="1203"/>
        <w:numPr>
          <w:ilvl w:val="0"/>
          <w:numId w:val="51"/>
        </w:numPr>
        <w:pBdr/>
        <w:spacing w:after="156" w:before="0"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監察院設國家監察院聯邦調查署，簡稱聯邦調查署，聯邦調查署依《中華民族聯邦共和國刑法》、《中華民族聯邦共和國反恐法》、《中華民族聯邦共和國國土安全法》、《中華民族聯邦共和國金融犯罪法》、《中華民族聯邦共和國稅法》等相關法律對所有自然人和法人進行依法調查。</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聯邦調查署設署長職位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個，由總統提名，設副署長職位</w:t>
      </w:r>
      <w:r>
        <w:rPr>
          <w:rFonts w:ascii="宋體-繁" w:hAnsi="宋體-繁" w:eastAsia="宋體-繁" w:cs="宋體-繁"/>
          <w:color w:val="000000" w:themeColor="text1"/>
          <w:szCs w:val="21"/>
          <w:lang w:eastAsia="zh-TW"/>
        </w:rPr>
        <w:t xml:space="preserve">6</w:t>
      </w:r>
      <w:r>
        <w:rPr>
          <w:rFonts w:ascii="宋體-繁" w:hAnsi="宋體-繁" w:eastAsia="宋體-繁" w:cs="宋體-繁"/>
          <w:color w:val="000000" w:themeColor="text1"/>
          <w:szCs w:val="21"/>
          <w:lang w:eastAsia="zh-TW"/>
        </w:rPr>
        <w:t xml:space="preserve">個，由署長提名，署長和副署長每屆任期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屆；聯邦調查署署長和副署長的任免由國家參議會以常規案表決任免產生，常規案表決未通過的由提名人發起常規案二審表決，常規案二審表決未通過的即駁回，駁回的由提名人另選被提名人。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51"/>
        </w:numPr>
        <w:pBdr/>
        <w:spacing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聯邦調查署調查專員職級由七個等級組成，分別為警員、警士、警長、警司、警督、警監和總警監。</w:t>
      </w:r>
      <w:r>
        <w:rPr>
          <w:rFonts w:ascii="宋體-繁" w:hAnsi="宋體-繁" w:cs="宋體-繁"/>
        </w:rPr>
      </w:r>
      <w:r>
        <w:rPr>
          <w:rFonts w:ascii="宋體-繁" w:hAnsi="宋體-繁" w:cs="宋體-繁"/>
        </w:rPr>
      </w:r>
    </w:p>
    <w:p>
      <w:pPr>
        <w:pStyle w:val="1203"/>
        <w:numPr>
          <w:ilvl w:val="0"/>
          <w:numId w:val="43"/>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聯邦調查署設總警監職級</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個，總警監職級授予聯邦調查署署長；聯邦調查署設警監職級</w:t>
      </w:r>
      <w:r>
        <w:rPr>
          <w:rFonts w:ascii="宋體-繁" w:hAnsi="宋體-繁" w:eastAsia="宋體-繁" w:cs="宋體-繁"/>
          <w:color w:val="000000" w:themeColor="text1"/>
          <w:szCs w:val="21"/>
          <w:lang w:eastAsia="zh-TW"/>
        </w:rPr>
        <w:t xml:space="preserve">55</w:t>
      </w:r>
      <w:r>
        <w:rPr>
          <w:rFonts w:ascii="宋體-繁" w:hAnsi="宋體-繁" w:eastAsia="宋體-繁" w:cs="宋體-繁"/>
          <w:color w:val="000000" w:themeColor="text1"/>
          <w:szCs w:val="21"/>
          <w:lang w:eastAsia="zh-TW"/>
        </w:rPr>
        <w:t xml:space="preserve">個以下，警監職級授予聯邦調查署副署長及其他高級調查專員。</w:t>
      </w:r>
      <w:r>
        <w:rPr>
          <w:rFonts w:ascii="宋體-繁" w:hAnsi="宋體-繁" w:cs="宋體-繁"/>
        </w:rPr>
      </w:r>
      <w:r>
        <w:rPr>
          <w:rFonts w:ascii="宋體-繁" w:hAnsi="宋體-繁" w:cs="宋體-繁"/>
        </w:rPr>
      </w:r>
    </w:p>
    <w:p>
      <w:pPr>
        <w:pStyle w:val="1203"/>
        <w:numPr>
          <w:ilvl w:val="0"/>
          <w:numId w:val="43"/>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聯邦調查署設警督職級</w:t>
      </w:r>
      <w:r>
        <w:rPr>
          <w:rFonts w:ascii="宋體-繁" w:hAnsi="宋體-繁" w:eastAsia="宋體-繁" w:cs="宋體-繁"/>
          <w:color w:val="000000" w:themeColor="text1"/>
          <w:szCs w:val="21"/>
          <w:lang w:eastAsia="zh-TW"/>
        </w:rPr>
        <w:t xml:space="preserve">550</w:t>
      </w:r>
      <w:r>
        <w:rPr>
          <w:rFonts w:ascii="宋體-繁" w:hAnsi="宋體-繁" w:eastAsia="宋體-繁" w:cs="宋體-繁"/>
          <w:color w:val="000000" w:themeColor="text1"/>
          <w:szCs w:val="21"/>
          <w:lang w:eastAsia="zh-TW"/>
        </w:rPr>
        <w:t xml:space="preserve">個以下，設警司職級</w:t>
      </w:r>
      <w:r>
        <w:rPr>
          <w:rFonts w:ascii="宋體-繁" w:hAnsi="宋體-繁" w:eastAsia="宋體-繁" w:cs="宋體-繁"/>
          <w:color w:val="000000" w:themeColor="text1"/>
          <w:szCs w:val="21"/>
          <w:lang w:eastAsia="zh-TW"/>
        </w:rPr>
        <w:t xml:space="preserve">1100</w:t>
      </w:r>
      <w:r>
        <w:rPr>
          <w:rFonts w:ascii="宋體-繁" w:hAnsi="宋體-繁" w:eastAsia="宋體-繁" w:cs="宋體-繁"/>
          <w:color w:val="000000" w:themeColor="text1"/>
          <w:szCs w:val="21"/>
          <w:lang w:eastAsia="zh-TW"/>
        </w:rPr>
        <w:t xml:space="preserve">個以下，設警長職級</w:t>
      </w:r>
      <w:r>
        <w:rPr>
          <w:rFonts w:ascii="宋體-繁" w:hAnsi="宋體-繁" w:eastAsia="宋體-繁" w:cs="宋體-繁"/>
          <w:color w:val="000000" w:themeColor="text1"/>
          <w:szCs w:val="21"/>
          <w:lang w:eastAsia="zh-TW"/>
        </w:rPr>
        <w:t xml:space="preserve">5500</w:t>
      </w:r>
      <w:r>
        <w:rPr>
          <w:rFonts w:ascii="宋體-繁" w:hAnsi="宋體-繁" w:eastAsia="宋體-繁" w:cs="宋體-繁"/>
          <w:color w:val="000000" w:themeColor="text1"/>
          <w:szCs w:val="21"/>
          <w:lang w:eastAsia="zh-TW"/>
        </w:rPr>
        <w:t xml:space="preserve">個以下，設警士職級</w:t>
      </w:r>
      <w:r>
        <w:rPr>
          <w:rFonts w:ascii="宋體-繁" w:hAnsi="宋體-繁" w:eastAsia="宋體-繁" w:cs="宋體-繁"/>
          <w:color w:val="000000" w:themeColor="text1"/>
          <w:szCs w:val="21"/>
          <w:lang w:eastAsia="zh-TW"/>
        </w:rPr>
        <w:t xml:space="preserve">11000</w:t>
      </w:r>
      <w:r>
        <w:rPr>
          <w:rFonts w:ascii="宋體-繁" w:hAnsi="宋體-繁" w:eastAsia="宋體-繁" w:cs="宋體-繁"/>
          <w:color w:val="000000" w:themeColor="text1"/>
          <w:szCs w:val="21"/>
          <w:lang w:eastAsia="zh-TW"/>
        </w:rPr>
        <w:t xml:space="preserve">個以下，設警員職級</w:t>
      </w:r>
      <w:r>
        <w:rPr>
          <w:rFonts w:ascii="宋體-繁" w:hAnsi="宋體-繁" w:eastAsia="宋體-繁" w:cs="宋體-繁"/>
          <w:color w:val="000000" w:themeColor="text1"/>
          <w:szCs w:val="21"/>
          <w:lang w:eastAsia="zh-TW"/>
        </w:rPr>
        <w:t xml:space="preserve">22000</w:t>
      </w:r>
      <w:r>
        <w:rPr>
          <w:rFonts w:ascii="宋體-繁" w:hAnsi="宋體-繁" w:eastAsia="宋體-繁" w:cs="宋體-繁"/>
          <w:color w:val="000000" w:themeColor="text1"/>
          <w:szCs w:val="21"/>
          <w:lang w:eastAsia="zh-TW"/>
        </w:rPr>
        <w:t xml:space="preserve">個以下。</w:t>
      </w:r>
      <w:r>
        <w:rPr>
          <w:rFonts w:ascii="宋體-繁" w:hAnsi="宋體-繁" w:cs="宋體-繁"/>
        </w:rPr>
      </w:r>
      <w:r>
        <w:rPr>
          <w:rFonts w:ascii="宋體-繁" w:hAnsi="宋體-繁" w:cs="宋體-繁"/>
        </w:rPr>
      </w:r>
    </w:p>
    <w:p>
      <w:pPr>
        <w:pStyle w:val="1203"/>
        <w:numPr>
          <w:ilvl w:val="0"/>
          <w:numId w:val="38"/>
        </w:numPr>
        <w:pBdr/>
        <w:spacing w:after="0" w:before="156" w:line="300" w:lineRule="exact"/>
        <w:ind/>
        <w:outlineLvl w:val="1"/>
        <w:rPr>
          <w:rFonts w:ascii="宋體-繁" w:hAnsi="宋體-繁" w:cs="宋體-繁"/>
        </w:rPr>
      </w:pPr>
      <w:r/>
      <w:bookmarkStart w:id="100" w:name="_Toc26"/>
      <w:r>
        <w:rPr>
          <w:rFonts w:ascii="宋體-繁" w:hAnsi="宋體-繁" w:eastAsia="宋體-繁" w:cs="宋體-繁"/>
        </w:rPr>
      </w:r>
      <w:bookmarkStart w:id="54" w:name="__RefHeading___Toc7039_4090689648"/>
      <w:r>
        <w:rPr>
          <w:rFonts w:ascii="宋體-繁" w:hAnsi="宋體-繁" w:eastAsia="宋體-繁" w:cs="宋體-繁"/>
        </w:rPr>
      </w:r>
      <w:bookmarkEnd w:id="54"/>
      <w:r>
        <w:rPr>
          <w:rFonts w:ascii="宋體-繁" w:hAnsi="宋體-繁" w:eastAsia="宋體-繁" w:cs="宋體-繁"/>
          <w:b/>
          <w:color w:val="000000" w:themeColor="text1"/>
          <w:sz w:val="28"/>
          <w:szCs w:val="28"/>
        </w:rPr>
        <w:t xml:space="preserve">省</w:t>
      </w:r>
      <w:r>
        <w:rPr>
          <w:rFonts w:ascii="宋體-繁" w:hAnsi="宋體-繁" w:eastAsia="宋體-繁" w:cs="宋體-繁"/>
          <w:b/>
          <w:color w:val="000000" w:themeColor="text1"/>
          <w:sz w:val="28"/>
          <w:szCs w:val="28"/>
          <w:lang w:eastAsia="zh-TW"/>
        </w:rPr>
        <w:t xml:space="preserve">監察</w:t>
      </w:r>
      <w:r>
        <w:rPr>
          <w:rFonts w:ascii="宋體-繁" w:hAnsi="宋體-繁" w:eastAsia="宋體-繁" w:cs="宋體-繁"/>
          <w:b/>
          <w:color w:val="000000" w:themeColor="text1"/>
          <w:sz w:val="28"/>
          <w:szCs w:val="28"/>
        </w:rPr>
        <w:t xml:space="preserve">院</w:t>
      </w:r>
      <w:r>
        <w:rPr>
          <w:rFonts w:ascii="宋體-繁" w:hAnsi="宋體-繁" w:eastAsia="宋體-繁" w:cs="宋體-繁"/>
        </w:rPr>
      </w:r>
      <w:bookmarkEnd w:id="100"/>
      <w:r>
        <w:rPr>
          <w:rFonts w:ascii="宋體-繁" w:hAnsi="宋體-繁" w:cs="宋體-繁"/>
        </w:rPr>
      </w:r>
      <w:r>
        <w:rPr>
          <w:rFonts w:ascii="宋體-繁" w:hAnsi="宋體-繁" w:cs="宋體-繁"/>
        </w:rPr>
      </w:r>
    </w:p>
    <w:p>
      <w:pPr>
        <w:pStyle w:val="1203"/>
        <w:numPr>
          <w:ilvl w:val="0"/>
          <w:numId w:val="51"/>
        </w:numPr>
        <w:pBdr/>
        <w:spacing w:after="156" w:before="0"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中華民族聯邦共和國省級行政區設監察院，簡稱省監察院，省監察院是國家監察院派駐省級行政區的聯邦監察機構；省監察院設院長職位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個，由國家監察院院長提名，設副院長職位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個，由省監察院院長提名，院長和副院長每屆任期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省監察院設首席監察官職位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個，設次席監察官職位</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個，設監察官職位</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個，由省監察院院長提名；省監察院首席監察官、次席監察官和監察官每屆任期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省監察院院長、副院長、首席監察官、次席監察官和監察官的任免由省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38"/>
        </w:numPr>
        <w:pBdr/>
        <w:spacing w:after="0" w:before="156" w:line="300" w:lineRule="exact"/>
        <w:ind/>
        <w:outlineLvl w:val="1"/>
        <w:rPr>
          <w:rFonts w:ascii="宋體-繁" w:hAnsi="宋體-繁" w:cs="宋體-繁"/>
        </w:rPr>
      </w:pPr>
      <w:r/>
      <w:bookmarkStart w:id="101" w:name="_Toc27"/>
      <w:r>
        <w:rPr>
          <w:rFonts w:ascii="宋體-繁" w:hAnsi="宋體-繁" w:eastAsia="宋體-繁" w:cs="宋體-繁"/>
        </w:rPr>
      </w:r>
      <w:bookmarkStart w:id="56" w:name="__RefHeading___Toc7041_4090689648"/>
      <w:r>
        <w:rPr>
          <w:rFonts w:ascii="宋體-繁" w:hAnsi="宋體-繁" w:eastAsia="宋體-繁" w:cs="宋體-繁"/>
        </w:rPr>
      </w:r>
      <w:bookmarkEnd w:id="56"/>
      <w:r>
        <w:rPr>
          <w:rFonts w:ascii="宋體-繁" w:hAnsi="宋體-繁" w:eastAsia="宋體-繁" w:cs="宋體-繁"/>
          <w:b/>
          <w:color w:val="000000" w:themeColor="text1"/>
          <w:sz w:val="28"/>
          <w:szCs w:val="28"/>
        </w:rPr>
        <w:t xml:space="preserve">市</w:t>
      </w:r>
      <w:r>
        <w:rPr>
          <w:rFonts w:ascii="宋體-繁" w:hAnsi="宋體-繁" w:eastAsia="宋體-繁" w:cs="宋體-繁"/>
          <w:b/>
          <w:color w:val="000000" w:themeColor="text1"/>
          <w:sz w:val="28"/>
          <w:szCs w:val="28"/>
          <w:lang w:eastAsia="zh-TW"/>
        </w:rPr>
        <w:t xml:space="preserve">監察</w:t>
      </w:r>
      <w:r>
        <w:rPr>
          <w:rFonts w:ascii="宋體-繁" w:hAnsi="宋體-繁" w:eastAsia="宋體-繁" w:cs="宋體-繁"/>
          <w:b/>
          <w:color w:val="000000" w:themeColor="text1"/>
          <w:sz w:val="28"/>
          <w:szCs w:val="28"/>
        </w:rPr>
        <w:t xml:space="preserve">院</w:t>
      </w:r>
      <w:r>
        <w:rPr>
          <w:rFonts w:ascii="宋體-繁" w:hAnsi="宋體-繁" w:eastAsia="宋體-繁" w:cs="宋體-繁"/>
        </w:rPr>
      </w:r>
      <w:bookmarkEnd w:id="101"/>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中華民族聯邦共和國市級行政區設監察院，簡稱市監察院，市監察院設院長職位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個，設副院長職位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個，由市自治會提名；市監察院院長和副院長每屆任期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市監察院設首席監察官職位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個，設次席監察官職位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個，設監察官職位</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個，由市監察院院長提名；市監察院首席監察官、次席監察官和監察官每屆任期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4</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市監察院院長、副院長、首席監察官、次席監察官和監察官的任免由市立法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1"/>
        </w:numPr>
        <w:pBdr/>
        <w:spacing w:after="156" w:before="156" w:line="400" w:lineRule="exact"/>
        <w:ind/>
        <w:jc w:val="center"/>
        <w:outlineLvl w:val="0"/>
        <w:rPr>
          <w:rFonts w:ascii="宋體-繁" w:hAnsi="宋體-繁" w:cs="宋體-繁"/>
        </w:rPr>
      </w:pPr>
      <w:r/>
      <w:bookmarkStart w:id="102" w:name="_Toc28"/>
      <w:r>
        <w:rPr>
          <w:rFonts w:ascii="宋體-繁" w:hAnsi="宋體-繁" w:eastAsia="宋體-繁" w:cs="宋體-繁"/>
        </w:rPr>
      </w:r>
      <w:bookmarkStart w:id="58" w:name="__RefHeading___Toc7043_4090689648"/>
      <w:r>
        <w:rPr>
          <w:rFonts w:ascii="宋體-繁" w:hAnsi="宋體-繁" w:eastAsia="宋體-繁" w:cs="宋體-繁"/>
        </w:rPr>
      </w:r>
      <w:bookmarkEnd w:id="58"/>
      <w:r>
        <w:rPr>
          <w:rFonts w:ascii="宋體-繁" w:hAnsi="宋體-繁" w:eastAsia="宋體-繁" w:cs="宋體-繁"/>
          <w:b/>
          <w:color w:val="000000" w:themeColor="text1"/>
          <w:sz w:val="32"/>
          <w:szCs w:val="32"/>
        </w:rPr>
        <w:t xml:space="preserve">教委會</w:t>
      </w:r>
      <w:r>
        <w:rPr>
          <w:rFonts w:ascii="宋體-繁" w:hAnsi="宋體-繁" w:eastAsia="宋體-繁" w:cs="宋體-繁"/>
        </w:rPr>
      </w:r>
      <w:bookmarkEnd w:id="102"/>
      <w:r>
        <w:rPr>
          <w:rFonts w:ascii="宋體-繁" w:hAnsi="宋體-繁" w:cs="宋體-繁"/>
        </w:rPr>
      </w:r>
      <w:r>
        <w:rPr>
          <w:rFonts w:ascii="宋體-繁" w:hAnsi="宋體-繁" w:cs="宋體-繁"/>
        </w:rPr>
      </w:r>
    </w:p>
    <w:p>
      <w:pPr>
        <w:pStyle w:val="1203"/>
        <w:numPr>
          <w:ilvl w:val="0"/>
          <w:numId w:val="44"/>
        </w:numPr>
        <w:pBdr/>
        <w:spacing w:after="0" w:before="156" w:line="300" w:lineRule="exact"/>
        <w:ind/>
        <w:outlineLvl w:val="1"/>
        <w:rPr>
          <w:rFonts w:ascii="宋體-繁" w:hAnsi="宋體-繁" w:cs="宋體-繁"/>
        </w:rPr>
      </w:pPr>
      <w:r/>
      <w:bookmarkStart w:id="103" w:name="_Toc29"/>
      <w:r>
        <w:rPr>
          <w:rFonts w:ascii="宋體-繁" w:hAnsi="宋體-繁" w:eastAsia="宋體-繁" w:cs="宋體-繁"/>
        </w:rPr>
      </w:r>
      <w:bookmarkStart w:id="60" w:name="__RefHeading___Toc7045_4090689648"/>
      <w:r>
        <w:rPr>
          <w:rFonts w:ascii="宋體-繁" w:hAnsi="宋體-繁" w:eastAsia="宋體-繁" w:cs="宋體-繁"/>
        </w:rPr>
      </w:r>
      <w:bookmarkEnd w:id="60"/>
      <w:r>
        <w:rPr>
          <w:rFonts w:ascii="宋體-繁" w:hAnsi="宋體-繁" w:eastAsia="宋體-繁" w:cs="宋體-繁"/>
          <w:b/>
          <w:color w:val="000000" w:themeColor="text1"/>
          <w:sz w:val="28"/>
          <w:szCs w:val="28"/>
          <w:lang w:eastAsia="zh-TW"/>
        </w:rPr>
        <w:t xml:space="preserve">國家</w:t>
      </w:r>
      <w:r>
        <w:rPr>
          <w:rFonts w:ascii="宋體-繁" w:hAnsi="宋體-繁" w:eastAsia="宋體-繁" w:cs="宋體-繁"/>
          <w:b/>
          <w:color w:val="000000" w:themeColor="text1"/>
          <w:sz w:val="28"/>
          <w:szCs w:val="28"/>
        </w:rPr>
        <w:t xml:space="preserve">教委會</w:t>
      </w:r>
      <w:r>
        <w:rPr>
          <w:rFonts w:ascii="宋體-繁" w:hAnsi="宋體-繁" w:eastAsia="宋體-繁" w:cs="宋體-繁"/>
        </w:rPr>
      </w:r>
      <w:bookmarkEnd w:id="103"/>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中華民族聯邦共和國設國家公民教育委員會，簡稱國家教委會，國家教委會設主席職位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個，由國家教委會現任委員互選產生；國家教委會主席和副主席每屆任期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省級行政區選舉產生的國家教委會委員，由該省轄區內市教委會現任委員通過投票，在現任市教委會委員中，分別選舉產生</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名教師委員和</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名任意職業委員。</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大學聯盟選舉產生的國家教委會委員，由各大學聯盟選舉產生的國家教委會委員候選人互選產生；國家教委會委員候選人，由各大學聯盟從國家教委會委員預備候選人中互選產生，每個大學聯盟限產生</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名國家教委會委員候選人；國家教委會委員預備候選人，由各大學校教委會現任委員互選產生，每個大學限產生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名國家教委會委員預備候選人。</w:t>
      </w:r>
      <w:r>
        <w:rPr>
          <w:rFonts w:ascii="宋體-繁" w:hAnsi="宋體-繁" w:cs="宋體-繁"/>
        </w:rPr>
      </w:r>
      <w:r>
        <w:rPr>
          <w:rFonts w:ascii="宋體-繁" w:hAnsi="宋體-繁" w:cs="宋體-繁"/>
        </w:rPr>
      </w:r>
    </w:p>
    <w:p>
      <w:pPr>
        <w:pStyle w:val="1203"/>
        <w:numPr>
          <w:ilvl w:val="0"/>
          <w:numId w:val="51"/>
        </w:numPr>
        <w:pBdr/>
        <w:spacing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教育應脫離政府的行政干預，除教委會擁有對教育機構的管理權外，各級政府對教育機構沒有行政管理權，且政府有義務保障公立教育機構的財政預算。</w:t>
      </w:r>
      <w:r>
        <w:rPr>
          <w:rFonts w:ascii="宋體-繁" w:hAnsi="宋體-繁" w:cs="宋體-繁"/>
        </w:rPr>
      </w:r>
      <w:r>
        <w:rPr>
          <w:rFonts w:ascii="宋體-繁" w:hAnsi="宋體-繁" w:cs="宋體-繁"/>
        </w:rPr>
      </w:r>
    </w:p>
    <w:p>
      <w:pPr>
        <w:pStyle w:val="1203"/>
        <w:numPr>
          <w:ilvl w:val="0"/>
          <w:numId w:val="45"/>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中華民族聯邦共和國的大學是高度自治的社會組織，大學教學區不屬於所在地行政管理區，大學校教委會僅隸屬於國家教委會，大學校教委會有權有義務制訂本校教學內容和教學規則。</w:t>
      </w:r>
      <w:r>
        <w:rPr>
          <w:rFonts w:ascii="宋體-繁" w:hAnsi="宋體-繁" w:cs="宋體-繁"/>
        </w:rPr>
      </w:r>
      <w:r>
        <w:rPr>
          <w:rFonts w:ascii="宋體-繁" w:hAnsi="宋體-繁" w:cs="宋體-繁"/>
        </w:rPr>
      </w:r>
    </w:p>
    <w:p>
      <w:pPr>
        <w:pStyle w:val="1203"/>
        <w:numPr>
          <w:ilvl w:val="0"/>
          <w:numId w:val="45"/>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國家教委會委員有權有義務起草提交國家立法院所有教育類法案草案，國家教委會委員起草提交的教育類法案草案由國家教委會表決，國家教委會表決通過的，由國家教委會主席提交至國家立法院參議會表決。</w:t>
      </w:r>
      <w:r>
        <w:rPr>
          <w:rFonts w:ascii="宋體-繁" w:hAnsi="宋體-繁" w:cs="宋體-繁"/>
        </w:rPr>
      </w:r>
      <w:r>
        <w:rPr>
          <w:rFonts w:ascii="宋體-繁" w:hAnsi="宋體-繁" w:cs="宋體-繁"/>
        </w:rPr>
      </w:r>
    </w:p>
    <w:p>
      <w:pPr>
        <w:pStyle w:val="1203"/>
        <w:numPr>
          <w:ilvl w:val="0"/>
          <w:numId w:val="45"/>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國家教委會委員提交的常規案表決的教育類法案草案，由國家教委會以常規案表決，國家教委會常規案表決未通過的，委員可提交該法案草案進行常規案二審表決，國家教委會常規案二審表決未通過的即駁回。</w:t>
      </w:r>
      <w:r>
        <w:rPr>
          <w:rFonts w:ascii="宋體-繁" w:hAnsi="宋體-繁" w:cs="宋體-繁"/>
        </w:rPr>
      </w:r>
      <w:r>
        <w:rPr>
          <w:rFonts w:ascii="宋體-繁" w:hAnsi="宋體-繁" w:cs="宋體-繁"/>
        </w:rPr>
      </w:r>
    </w:p>
    <w:p>
      <w:pPr>
        <w:pStyle w:val="1203"/>
        <w:numPr>
          <w:ilvl w:val="0"/>
          <w:numId w:val="45"/>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國家教委會委員提交的重要案表決的教育類法案草案，由國家教委會以重要案表決，國家教委會重要案表決未通過的即駁回。</w:t>
      </w:r>
      <w:r>
        <w:rPr>
          <w:rFonts w:ascii="宋體-繁" w:hAnsi="宋體-繁" w:cs="宋體-繁"/>
        </w:rPr>
      </w:r>
      <w:r>
        <w:rPr>
          <w:rFonts w:ascii="宋體-繁" w:hAnsi="宋體-繁" w:cs="宋體-繁"/>
        </w:rPr>
      </w:r>
    </w:p>
    <w:p>
      <w:pPr>
        <w:pStyle w:val="1203"/>
        <w:numPr>
          <w:ilvl w:val="0"/>
          <w:numId w:val="44"/>
        </w:numPr>
        <w:pBdr/>
        <w:spacing w:after="0" w:before="156" w:line="300" w:lineRule="exact"/>
        <w:ind/>
        <w:outlineLvl w:val="1"/>
        <w:rPr>
          <w:rFonts w:ascii="宋體-繁" w:hAnsi="宋體-繁" w:cs="宋體-繁"/>
        </w:rPr>
      </w:pPr>
      <w:r/>
      <w:bookmarkStart w:id="104" w:name="_Toc30"/>
      <w:r>
        <w:rPr>
          <w:rFonts w:ascii="宋體-繁" w:hAnsi="宋體-繁" w:eastAsia="宋體-繁" w:cs="宋體-繁"/>
        </w:rPr>
      </w:r>
      <w:bookmarkStart w:id="62" w:name="__RefHeading___Toc7047_4090689648"/>
      <w:r>
        <w:rPr>
          <w:rFonts w:ascii="宋體-繁" w:hAnsi="宋體-繁" w:eastAsia="宋體-繁" w:cs="宋體-繁"/>
        </w:rPr>
      </w:r>
      <w:bookmarkEnd w:id="62"/>
      <w:r>
        <w:rPr>
          <w:rFonts w:ascii="宋體-繁" w:hAnsi="宋體-繁" w:eastAsia="宋體-繁" w:cs="宋體-繁"/>
          <w:b/>
          <w:color w:val="000000" w:themeColor="text1"/>
          <w:sz w:val="28"/>
          <w:szCs w:val="28"/>
        </w:rPr>
        <w:t xml:space="preserve">市教委會</w:t>
      </w:r>
      <w:r>
        <w:rPr>
          <w:rFonts w:ascii="宋體-繁" w:hAnsi="宋體-繁" w:eastAsia="宋體-繁" w:cs="宋體-繁"/>
        </w:rPr>
      </w:r>
      <w:bookmarkEnd w:id="104"/>
      <w:r>
        <w:rPr>
          <w:rFonts w:ascii="宋體-繁" w:hAnsi="宋體-繁" w:cs="宋體-繁"/>
        </w:rPr>
      </w:r>
      <w:r>
        <w:rPr>
          <w:rFonts w:ascii="宋體-繁" w:hAnsi="宋體-繁" w:cs="宋體-繁"/>
        </w:rPr>
      </w:r>
    </w:p>
    <w:p>
      <w:pPr>
        <w:pStyle w:val="1203"/>
        <w:numPr>
          <w:ilvl w:val="0"/>
          <w:numId w:val="51"/>
        </w:numPr>
        <w:pBdr/>
        <w:spacing w:after="156" w:before="0"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中華民族聯邦共和國市級行政區設市公民教育委員會，簡稱市教委會，市教委會由</w:t>
      </w:r>
      <w:r>
        <w:rPr>
          <w:rFonts w:ascii="宋體-繁" w:hAnsi="宋體-繁" w:eastAsia="宋體-繁" w:cs="宋體-繁"/>
          <w:color w:val="000000" w:themeColor="text1"/>
          <w:szCs w:val="21"/>
          <w:lang w:eastAsia="zh-TW"/>
        </w:rPr>
        <w:t xml:space="preserve">15</w:t>
      </w:r>
      <w:r>
        <w:rPr>
          <w:rFonts w:ascii="宋體-繁" w:hAnsi="宋體-繁" w:eastAsia="宋體-繁" w:cs="宋體-繁"/>
          <w:color w:val="000000" w:themeColor="text1"/>
          <w:szCs w:val="21"/>
          <w:lang w:eastAsia="zh-TW"/>
        </w:rPr>
        <w:t xml:space="preserve">名委員組成，委員每屆任期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市教委會委員由該市擁有選舉權的公民從市教委會委員候選人當中投票選舉產生，該市轄區內所有中學、小學和初學的校教委會均可推選出</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名市教委會委員候選人，且市教委會委員候選人不得少於</w:t>
      </w:r>
      <w:r>
        <w:rPr>
          <w:rFonts w:ascii="宋體-繁" w:hAnsi="宋體-繁" w:eastAsia="宋體-繁" w:cs="宋體-繁"/>
          <w:color w:val="000000" w:themeColor="text1"/>
          <w:szCs w:val="21"/>
          <w:lang w:eastAsia="zh-TW"/>
        </w:rPr>
        <w:t xml:space="preserve">30</w:t>
      </w:r>
      <w:r>
        <w:rPr>
          <w:rFonts w:ascii="宋體-繁" w:hAnsi="宋體-繁" w:eastAsia="宋體-繁" w:cs="宋體-繁"/>
          <w:color w:val="000000" w:themeColor="text1"/>
          <w:szCs w:val="21"/>
          <w:lang w:eastAsia="zh-TW"/>
        </w:rPr>
        <w:t xml:space="preserve">人。</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市教委會設主席職位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個，由市教委會現任委員互選產生，主席和副主席每屆任期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市教委會有權有義務監督轄區內除大學以外的所有教育機構是否執行國家教育法律法案，有權有義務檢查轄區內除大學以外的所有學校的教育教學情況，有權有義務執行國家教育法律法案。</w:t>
      </w:r>
      <w:r>
        <w:rPr>
          <w:rFonts w:ascii="宋體-繁" w:hAnsi="宋體-繁" w:cs="宋體-繁"/>
        </w:rPr>
      </w:r>
      <w:r>
        <w:rPr>
          <w:rFonts w:ascii="宋體-繁" w:hAnsi="宋體-繁" w:cs="宋體-繁"/>
        </w:rPr>
      </w:r>
    </w:p>
    <w:p>
      <w:pPr>
        <w:pStyle w:val="1203"/>
        <w:numPr>
          <w:ilvl w:val="0"/>
          <w:numId w:val="44"/>
        </w:numPr>
        <w:pBdr/>
        <w:spacing w:after="0" w:before="156" w:line="300" w:lineRule="exact"/>
        <w:ind/>
        <w:outlineLvl w:val="1"/>
        <w:rPr>
          <w:rFonts w:ascii="宋體-繁" w:hAnsi="宋體-繁" w:cs="宋體-繁"/>
        </w:rPr>
      </w:pPr>
      <w:r/>
      <w:bookmarkStart w:id="105" w:name="_Toc31"/>
      <w:r>
        <w:rPr>
          <w:rFonts w:ascii="宋體-繁" w:hAnsi="宋體-繁" w:eastAsia="宋體-繁" w:cs="宋體-繁"/>
        </w:rPr>
      </w:r>
      <w:bookmarkStart w:id="64" w:name="__RefHeading___Toc7049_4090689648"/>
      <w:r>
        <w:rPr>
          <w:rFonts w:ascii="宋體-繁" w:hAnsi="宋體-繁" w:eastAsia="宋體-繁" w:cs="宋體-繁"/>
        </w:rPr>
      </w:r>
      <w:bookmarkEnd w:id="64"/>
      <w:r>
        <w:rPr>
          <w:rFonts w:ascii="宋體-繁" w:hAnsi="宋體-繁" w:eastAsia="宋體-繁" w:cs="宋體-繁"/>
          <w:b/>
          <w:color w:val="000000" w:themeColor="text1"/>
          <w:sz w:val="28"/>
          <w:szCs w:val="28"/>
        </w:rPr>
        <w:t xml:space="preserve">校教委會</w:t>
      </w:r>
      <w:r>
        <w:rPr>
          <w:rFonts w:ascii="宋體-繁" w:hAnsi="宋體-繁" w:eastAsia="宋體-繁" w:cs="宋體-繁"/>
        </w:rPr>
      </w:r>
      <w:bookmarkEnd w:id="105"/>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中華民族聯邦共和國所有大學、中學、小學和初學必須設立學校公民教育委員會，簡稱校教委會，校教委會為學校的最高行政管理機構；大學校教委會由</w:t>
      </w:r>
      <w:r>
        <w:rPr>
          <w:rFonts w:ascii="宋體-繁" w:hAnsi="宋體-繁" w:eastAsia="宋體-繁" w:cs="宋體-繁"/>
          <w:color w:val="000000" w:themeColor="text1"/>
          <w:szCs w:val="21"/>
          <w:lang w:eastAsia="zh-TW"/>
        </w:rPr>
        <w:t xml:space="preserve">15</w:t>
      </w:r>
      <w:r>
        <w:rPr>
          <w:rFonts w:ascii="宋體-繁" w:hAnsi="宋體-繁" w:eastAsia="宋體-繁" w:cs="宋體-繁"/>
          <w:color w:val="000000" w:themeColor="text1"/>
          <w:szCs w:val="21"/>
          <w:lang w:eastAsia="zh-TW"/>
        </w:rPr>
        <w:t xml:space="preserve">名委員組成，中學、小學和初學校教委會由</w:t>
      </w:r>
      <w:r>
        <w:rPr>
          <w:rFonts w:ascii="宋體-繁" w:hAnsi="宋體-繁" w:eastAsia="宋體-繁" w:cs="宋體-繁"/>
          <w:color w:val="000000" w:themeColor="text1"/>
          <w:szCs w:val="21"/>
          <w:lang w:eastAsia="zh-TW"/>
        </w:rPr>
        <w:t xml:space="preserve">11</w:t>
      </w:r>
      <w:r>
        <w:rPr>
          <w:rFonts w:ascii="宋體-繁" w:hAnsi="宋體-繁" w:eastAsia="宋體-繁" w:cs="宋體-繁"/>
          <w:color w:val="000000" w:themeColor="text1"/>
          <w:szCs w:val="21"/>
          <w:lang w:eastAsia="zh-TW"/>
        </w:rPr>
        <w:t xml:space="preserve">名委員組成。</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大學校教委會委員中，任教於該大學的教授委員為</w:t>
      </w:r>
      <w:r>
        <w:rPr>
          <w:rFonts w:ascii="宋體-繁" w:hAnsi="宋體-繁" w:eastAsia="宋體-繁" w:cs="宋體-繁"/>
          <w:color w:val="000000" w:themeColor="text1"/>
          <w:szCs w:val="21"/>
          <w:lang w:eastAsia="zh-TW"/>
        </w:rPr>
        <w:t xml:space="preserve">11</w:t>
      </w:r>
      <w:r>
        <w:rPr>
          <w:rFonts w:ascii="宋體-繁" w:hAnsi="宋體-繁" w:eastAsia="宋體-繁" w:cs="宋體-繁"/>
          <w:color w:val="000000" w:themeColor="text1"/>
          <w:szCs w:val="21"/>
          <w:lang w:eastAsia="zh-TW"/>
        </w:rPr>
        <w:t xml:space="preserve">人，就讀於該大學的學生委員為</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人，獨立委員為</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人；中學、小學和初學校教委會委員中，任教於該校的教師委員為</w:t>
      </w:r>
      <w:r>
        <w:rPr>
          <w:rFonts w:ascii="宋體-繁" w:hAnsi="宋體-繁" w:eastAsia="宋體-繁" w:cs="宋體-繁"/>
          <w:color w:val="000000" w:themeColor="text1"/>
          <w:szCs w:val="21"/>
          <w:lang w:eastAsia="zh-TW"/>
        </w:rPr>
        <w:t xml:space="preserve">7</w:t>
      </w:r>
      <w:r>
        <w:rPr>
          <w:rFonts w:ascii="宋體-繁" w:hAnsi="宋體-繁" w:eastAsia="宋體-繁" w:cs="宋體-繁"/>
          <w:color w:val="000000" w:themeColor="text1"/>
          <w:szCs w:val="21"/>
          <w:lang w:eastAsia="zh-TW"/>
        </w:rPr>
        <w:t xml:space="preserve">人，就讀於該校的學生的監護人委員為</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人，獨立委員為</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人。</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大學校教委會教授委員的選舉，由該校教授委員候選人互選產生；學生委員的選舉，由該校學生委員候選人互選產生；獨立委員的選舉，由該校在校學生選舉產生。中學、小學和初學校教委會教師委員的選舉，由該校教師委員候選人互選產生；學生監護人委員的選舉，由該校學生監護人委員候選人互選產生；獨立委員的選舉，由該校在校學生的監護人選舉產生。</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大學校教委會設主席職位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個，由校教委會現任委員互選產生；校教委會主席、副主席、教授委員和獨立委員每屆任期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屆；校教委會學生委員每屆任期</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大學校教委會委員候選人中，教授委員候選人為該校在崗全職教授，學生委員候選人為該校全日制在校學生，獨立委員候選人為合法公民；該校的在職教授和在校學生，不得成為該校校教委會的獨立委員。</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中學、小學和初學校教委會設主席職位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個，由該校校教委會現任委員互選產生；校教委會主席、副主席、教師委員和獨立委員每屆任期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屆；校教委會學生監護人委員每屆任期</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中學、小學和初學校教委會委員候選人中，教師委員候選人為該校在崗全職教師，學生監護人委員候選人為該校在校學生的監護人，獨立委員候選人為合法公民；該校的在職教師和在校學生的監護人，不得成為該校校教委會的獨立委員。</w:t>
      </w:r>
      <w:r>
        <w:rPr>
          <w:rFonts w:ascii="宋體-繁" w:hAnsi="宋體-繁" w:cs="宋體-繁"/>
        </w:rPr>
      </w:r>
      <w:r>
        <w:rPr>
          <w:rFonts w:ascii="宋體-繁" w:hAnsi="宋體-繁" w:cs="宋體-繁"/>
        </w:rPr>
      </w:r>
    </w:p>
    <w:p>
      <w:pPr>
        <w:pStyle w:val="1203"/>
        <w:numPr>
          <w:ilvl w:val="0"/>
          <w:numId w:val="1"/>
        </w:numPr>
        <w:pBdr/>
        <w:spacing w:after="156" w:before="156" w:line="400" w:lineRule="exact"/>
        <w:ind/>
        <w:jc w:val="center"/>
        <w:outlineLvl w:val="0"/>
        <w:rPr>
          <w:rFonts w:ascii="宋體-繁" w:hAnsi="宋體-繁" w:cs="宋體-繁"/>
        </w:rPr>
      </w:pPr>
      <w:r/>
      <w:bookmarkStart w:id="106" w:name="_Toc32"/>
      <w:r>
        <w:rPr>
          <w:rFonts w:ascii="宋體-繁" w:hAnsi="宋體-繁" w:eastAsia="宋體-繁" w:cs="宋體-繁"/>
        </w:rPr>
      </w:r>
      <w:bookmarkStart w:id="66" w:name="__RefHeading___Toc7051_4090689648"/>
      <w:r>
        <w:rPr>
          <w:rFonts w:ascii="宋體-繁" w:hAnsi="宋體-繁" w:eastAsia="宋體-繁" w:cs="宋體-繁"/>
        </w:rPr>
      </w:r>
      <w:bookmarkEnd w:id="66"/>
      <w:r>
        <w:rPr>
          <w:rFonts w:ascii="宋體-繁" w:hAnsi="宋體-繁" w:eastAsia="宋體-繁" w:cs="宋體-繁"/>
          <w:b/>
          <w:color w:val="000000" w:themeColor="text1"/>
          <w:sz w:val="32"/>
          <w:szCs w:val="32"/>
        </w:rPr>
        <w:t xml:space="preserve">儲委會</w:t>
      </w:r>
      <w:r>
        <w:rPr>
          <w:rFonts w:ascii="宋體-繁" w:hAnsi="宋體-繁" w:eastAsia="宋體-繁" w:cs="宋體-繁"/>
        </w:rPr>
      </w:r>
      <w:bookmarkEnd w:id="106"/>
      <w:r>
        <w:rPr>
          <w:rFonts w:ascii="宋體-繁" w:hAnsi="宋體-繁" w:cs="宋體-繁"/>
        </w:rPr>
      </w:r>
      <w:r>
        <w:rPr>
          <w:rFonts w:ascii="宋體-繁" w:hAnsi="宋體-繁" w:cs="宋體-繁"/>
        </w:rPr>
      </w:r>
    </w:p>
    <w:p>
      <w:pPr>
        <w:pStyle w:val="1203"/>
        <w:numPr>
          <w:ilvl w:val="0"/>
          <w:numId w:val="46"/>
        </w:numPr>
        <w:pBdr/>
        <w:spacing w:after="0" w:before="156" w:line="300" w:lineRule="exact"/>
        <w:ind/>
        <w:outlineLvl w:val="1"/>
        <w:rPr>
          <w:rFonts w:ascii="宋體-繁" w:hAnsi="宋體-繁" w:cs="宋體-繁"/>
        </w:rPr>
      </w:pPr>
      <w:r/>
      <w:bookmarkStart w:id="107" w:name="_Toc33"/>
      <w:r>
        <w:rPr>
          <w:rFonts w:ascii="宋體-繁" w:hAnsi="宋體-繁" w:eastAsia="宋體-繁" w:cs="宋體-繁"/>
        </w:rPr>
      </w:r>
      <w:bookmarkStart w:id="68" w:name="__RefHeading___Toc7053_4090689648"/>
      <w:r>
        <w:rPr>
          <w:rFonts w:ascii="宋體-繁" w:hAnsi="宋體-繁" w:eastAsia="宋體-繁" w:cs="宋體-繁"/>
        </w:rPr>
      </w:r>
      <w:bookmarkEnd w:id="68"/>
      <w:r>
        <w:rPr>
          <w:rFonts w:ascii="宋體-繁" w:hAnsi="宋體-繁" w:eastAsia="宋體-繁" w:cs="宋體-繁"/>
          <w:b/>
          <w:color w:val="000000" w:themeColor="text1"/>
          <w:sz w:val="28"/>
          <w:szCs w:val="28"/>
        </w:rPr>
        <w:t xml:space="preserve">儲委會聯合會議</w:t>
      </w:r>
      <w:r>
        <w:rPr>
          <w:rFonts w:ascii="宋體-繁" w:hAnsi="宋體-繁" w:eastAsia="宋體-繁" w:cs="宋體-繁"/>
        </w:rPr>
      </w:r>
      <w:bookmarkEnd w:id="107"/>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中華民族聯邦共和國公民儲備委員會聯合會議為儲委會的最高決策機構，公民儲備委員會聯合會議由儲委會主席或副主席召集主持，公民儲備委員會委員出席，省儲備委員會副主席和公民儲備銀行行長有權列席。</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出席公民儲備委員會聯合會議的國家儲備委員會主席和副主席、國家儲備委員會委員和省儲備委員會主席擁有相等的表決權，列席公民儲備委員會聯合會議的省儲備委員會副主席和公民儲備銀行行長擁有知情權、監督權和異議權。</w:t>
      </w:r>
      <w:r>
        <w:rPr>
          <w:rFonts w:ascii="宋體-繁" w:hAnsi="宋體-繁" w:cs="宋體-繁"/>
        </w:rPr>
      </w:r>
      <w:r>
        <w:rPr>
          <w:rFonts w:ascii="宋體-繁" w:hAnsi="宋體-繁" w:cs="宋體-繁"/>
        </w:rPr>
      </w:r>
    </w:p>
    <w:p>
      <w:pPr>
        <w:pStyle w:val="1203"/>
        <w:numPr>
          <w:ilvl w:val="0"/>
          <w:numId w:val="46"/>
        </w:numPr>
        <w:pBdr/>
        <w:spacing w:after="0" w:before="156" w:line="300" w:lineRule="exact"/>
        <w:ind/>
        <w:outlineLvl w:val="1"/>
        <w:rPr>
          <w:rFonts w:ascii="宋體-繁" w:hAnsi="宋體-繁" w:cs="宋體-繁"/>
        </w:rPr>
      </w:pPr>
      <w:r/>
      <w:bookmarkStart w:id="108" w:name="_Toc34"/>
      <w:r>
        <w:rPr>
          <w:rFonts w:ascii="宋體-繁" w:hAnsi="宋體-繁" w:eastAsia="宋體-繁" w:cs="宋體-繁"/>
        </w:rPr>
      </w:r>
      <w:bookmarkStart w:id="70" w:name="__RefHeading___Toc7055_4090689648"/>
      <w:r>
        <w:rPr>
          <w:rFonts w:ascii="宋體-繁" w:hAnsi="宋體-繁" w:eastAsia="宋體-繁" w:cs="宋體-繁"/>
        </w:rPr>
      </w:r>
      <w:bookmarkEnd w:id="70"/>
      <w:r>
        <w:rPr>
          <w:rFonts w:ascii="宋體-繁" w:hAnsi="宋體-繁" w:eastAsia="宋體-繁" w:cs="宋體-繁"/>
          <w:b/>
          <w:color w:val="000000" w:themeColor="text1"/>
          <w:sz w:val="28"/>
          <w:szCs w:val="28"/>
        </w:rPr>
        <w:t xml:space="preserve">國家儲備委員會</w:t>
      </w:r>
      <w:r>
        <w:rPr>
          <w:rFonts w:ascii="宋體-繁" w:hAnsi="宋體-繁" w:eastAsia="宋體-繁" w:cs="宋體-繁"/>
        </w:rPr>
      </w:r>
      <w:bookmarkEnd w:id="108"/>
      <w:r>
        <w:rPr>
          <w:rFonts w:ascii="宋體-繁" w:hAnsi="宋體-繁" w:cs="宋體-繁"/>
        </w:rPr>
      </w:r>
      <w:r>
        <w:rPr>
          <w:rFonts w:ascii="宋體-繁" w:hAnsi="宋體-繁" w:cs="宋體-繁"/>
        </w:rPr>
      </w:r>
    </w:p>
    <w:p>
      <w:pPr>
        <w:pStyle w:val="1203"/>
        <w:numPr>
          <w:ilvl w:val="0"/>
          <w:numId w:val="51"/>
        </w:numPr>
        <w:pBdr/>
        <w:spacing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中華民族聯邦共和國設國家儲備委員會，國家儲備委員會設主席職位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個，主席和副主席每屆任期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47"/>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國家儲備委員會主席和副主席由國家儲備委員會現任委員互選產生，主席或副主席任期結束的可繼續任職委員，但委員任期結束的不得再繼續任職主席或副主席，且委員每年更換不得超過</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人。</w:t>
      </w:r>
      <w:r>
        <w:rPr>
          <w:rFonts w:ascii="宋體-繁" w:hAnsi="宋體-繁" w:cs="宋體-繁"/>
        </w:rPr>
      </w:r>
      <w:r>
        <w:rPr>
          <w:rFonts w:ascii="宋體-繁" w:hAnsi="宋體-繁" w:cs="宋體-繁"/>
        </w:rPr>
      </w:r>
    </w:p>
    <w:p>
      <w:pPr>
        <w:pStyle w:val="1203"/>
        <w:numPr>
          <w:ilvl w:val="0"/>
          <w:numId w:val="47"/>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總統提名的國家儲備委員會委員，由國家參議會以常規案表決任免產生，常規案表決未通過的由提名人發起常規案二審表決，常規案二審表決未通過的即駁回，駁回的由提名人另選被提名人。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47"/>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國家儲備委員會主席、副主席和委員必須是年滿</w:t>
      </w:r>
      <w:r>
        <w:rPr>
          <w:rFonts w:ascii="宋體-繁" w:hAnsi="宋體-繁" w:eastAsia="宋體-繁" w:cs="宋體-繁"/>
          <w:color w:val="000000" w:themeColor="text1"/>
          <w:szCs w:val="21"/>
          <w:lang w:eastAsia="zh-TW"/>
        </w:rPr>
        <w:t xml:space="preserve">35</w:t>
      </w:r>
      <w:r>
        <w:rPr>
          <w:rFonts w:ascii="宋體-繁" w:hAnsi="宋體-繁" w:eastAsia="宋體-繁" w:cs="宋體-繁"/>
          <w:color w:val="000000" w:themeColor="text1"/>
          <w:szCs w:val="21"/>
          <w:lang w:eastAsia="zh-TW"/>
        </w:rPr>
        <w:t xml:space="preserve">週歲的中華民族聯邦共和國公民，且必須是出生在中華民族聯邦共和國境內，並在境內生活</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中華民族聯邦共和國國家儲備委員會負責國家金融制度的制訂、經濟政策的制定，且國家儲備委員會有義務配合總統及國家聯邦政府制定國家金融政策法規。</w:t>
      </w:r>
      <w:r>
        <w:rPr>
          <w:rFonts w:ascii="宋體-繁" w:hAnsi="宋體-繁" w:cs="宋體-繁"/>
        </w:rPr>
      </w:r>
      <w:r>
        <w:rPr>
          <w:rFonts w:ascii="宋體-繁" w:hAnsi="宋體-繁" w:cs="宋體-繁"/>
        </w:rPr>
      </w:r>
    </w:p>
    <w:p>
      <w:pPr>
        <w:pStyle w:val="1203"/>
        <w:numPr>
          <w:ilvl w:val="0"/>
          <w:numId w:val="46"/>
        </w:numPr>
        <w:pBdr/>
        <w:spacing w:after="0" w:before="156" w:line="300" w:lineRule="exact"/>
        <w:ind/>
        <w:outlineLvl w:val="1"/>
        <w:rPr>
          <w:rFonts w:ascii="宋體-繁" w:hAnsi="宋體-繁" w:cs="宋體-繁"/>
        </w:rPr>
      </w:pPr>
      <w:r/>
      <w:bookmarkStart w:id="109" w:name="_Toc35"/>
      <w:r>
        <w:rPr>
          <w:rFonts w:ascii="宋體-繁" w:hAnsi="宋體-繁" w:eastAsia="宋體-繁" w:cs="宋體-繁"/>
        </w:rPr>
      </w:r>
      <w:bookmarkStart w:id="72" w:name="__RefHeading___Toc7057_4090689648"/>
      <w:r>
        <w:rPr>
          <w:rFonts w:ascii="宋體-繁" w:hAnsi="宋體-繁" w:eastAsia="宋體-繁" w:cs="宋體-繁"/>
        </w:rPr>
      </w:r>
      <w:bookmarkEnd w:id="72"/>
      <w:r>
        <w:rPr>
          <w:rFonts w:ascii="宋體-繁" w:hAnsi="宋體-繁" w:eastAsia="宋體-繁" w:cs="宋體-繁"/>
          <w:b/>
          <w:color w:val="000000" w:themeColor="text1"/>
          <w:sz w:val="28"/>
          <w:szCs w:val="28"/>
        </w:rPr>
        <w:t xml:space="preserve">省儲備委員會</w:t>
      </w:r>
      <w:r>
        <w:rPr>
          <w:rFonts w:ascii="宋體-繁" w:hAnsi="宋體-繁" w:eastAsia="宋體-繁" w:cs="宋體-繁"/>
        </w:rPr>
      </w:r>
      <w:bookmarkEnd w:id="109"/>
      <w:r>
        <w:rPr>
          <w:rFonts w:ascii="宋體-繁" w:hAnsi="宋體-繁" w:cs="宋體-繁"/>
        </w:rPr>
      </w:r>
      <w:r>
        <w:rPr>
          <w:rFonts w:ascii="宋體-繁" w:hAnsi="宋體-繁" w:cs="宋體-繁"/>
        </w:rPr>
      </w:r>
    </w:p>
    <w:p>
      <w:pPr>
        <w:pStyle w:val="1203"/>
        <w:numPr>
          <w:ilvl w:val="0"/>
          <w:numId w:val="51"/>
        </w:numPr>
        <w:pBdr/>
        <w:spacing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中華民族聯邦共和國省級行政區設省儲備委員會，省儲備委員會設主席職位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個，設副主席職位</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個，主席和副主席每屆任期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48"/>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省儲備委員會主席和副主席由省儲備委員會現任委員互選產生，主席或副主席任期結束的可繼續任職委員，但委員任期結束的不得再繼續任職主席或副主席，且委員每年更換不得超過</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人。</w:t>
      </w:r>
      <w:r>
        <w:rPr>
          <w:rFonts w:ascii="宋體-繁" w:hAnsi="宋體-繁" w:cs="宋體-繁"/>
        </w:rPr>
      </w:r>
      <w:r>
        <w:rPr>
          <w:rFonts w:ascii="宋體-繁" w:hAnsi="宋體-繁" w:cs="宋體-繁"/>
        </w:rPr>
      </w:r>
    </w:p>
    <w:p>
      <w:pPr>
        <w:pStyle w:val="1203"/>
        <w:numPr>
          <w:ilvl w:val="0"/>
          <w:numId w:val="48"/>
        </w:numPr>
        <w:pBdr/>
        <w:spacing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省長提名的省儲備委員會委員，由省參議會以常規案表決任免產生，常規案表決未通過的由提名人發起常規案二審表決，常規案二審表決未通過的即駁回，駁回的由提名人另選被提名人。</w:t>
      </w:r>
      <w:r>
        <w:rPr>
          <w:rFonts w:ascii="宋體-繁" w:hAnsi="宋體-繁" w:cs="宋體-繁"/>
        </w:rPr>
      </w:r>
      <w:r>
        <w:rPr>
          <w:rFonts w:ascii="宋體-繁" w:hAnsi="宋體-繁" w:cs="宋體-繁"/>
        </w:rPr>
      </w:r>
    </w:p>
    <w:p>
      <w:pPr>
        <w:pStyle w:val="1203"/>
        <w:numPr>
          <w:ilvl w:val="0"/>
          <w:numId w:val="48"/>
        </w:numPr>
        <w:pBdr/>
        <w:spacing w:after="156" w:before="0" w:line="300" w:lineRule="exact"/>
        <w:ind w:hanging="735" w:left="735"/>
        <w:outlineLvl w:val="3"/>
        <w:rPr>
          <w:rFonts w:ascii="宋體-繁" w:hAnsi="宋體-繁" w:cs="宋體-繁"/>
        </w:rPr>
      </w:pPr>
      <w:r>
        <w:rPr>
          <w:rFonts w:ascii="宋體-繁" w:hAnsi="宋體-繁" w:eastAsia="宋體-繁" w:cs="宋體-繁"/>
          <w:color w:val="000000" w:themeColor="text1"/>
          <w:szCs w:val="21"/>
          <w:lang w:eastAsia="zh-TW"/>
        </w:rPr>
        <w:t xml:space="preserve">省儲備委員會主席、副主席和委員必須是年滿</w:t>
      </w:r>
      <w:r>
        <w:rPr>
          <w:rFonts w:ascii="宋體-繁" w:hAnsi="宋體-繁" w:eastAsia="宋體-繁" w:cs="宋體-繁"/>
          <w:color w:val="000000" w:themeColor="text1"/>
          <w:szCs w:val="21"/>
          <w:lang w:eastAsia="zh-TW"/>
        </w:rPr>
        <w:t xml:space="preserve">30</w:t>
      </w:r>
      <w:r>
        <w:rPr>
          <w:rFonts w:ascii="宋體-繁" w:hAnsi="宋體-繁" w:eastAsia="宋體-繁" w:cs="宋體-繁"/>
          <w:color w:val="000000" w:themeColor="text1"/>
          <w:szCs w:val="21"/>
          <w:lang w:eastAsia="zh-TW"/>
        </w:rPr>
        <w:t xml:space="preserve">週歲的中華民族聯邦共和國公民，且必須是出生在該省級行政區轄區內，並在該省轄區內生活</w:t>
      </w:r>
      <w:r>
        <w:rPr>
          <w:rFonts w:ascii="宋體-繁" w:hAnsi="宋體-繁" w:eastAsia="宋體-繁" w:cs="宋體-繁"/>
          <w:color w:val="000000" w:themeColor="text1"/>
          <w:szCs w:val="21"/>
          <w:lang w:eastAsia="zh-TW"/>
        </w:rPr>
        <w:t xml:space="preserve">10</w:t>
      </w:r>
      <w:r>
        <w:rPr>
          <w:rFonts w:ascii="宋體-繁" w:hAnsi="宋體-繁" w:eastAsia="宋體-繁" w:cs="宋體-繁"/>
          <w:color w:val="000000" w:themeColor="text1"/>
          <w:szCs w:val="21"/>
          <w:lang w:eastAsia="zh-TW"/>
        </w:rPr>
        <w:t xml:space="preserve">年以上的公民。</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中華民族聯邦共和國省級行政區省儲備委員會負責該省金融制度的制訂、經濟政策的制定，且省儲備委員會有義務配合省長及省政府制定該省的金融政策法規。</w:t>
      </w:r>
      <w:r>
        <w:rPr>
          <w:rFonts w:ascii="宋體-繁" w:hAnsi="宋體-繁" w:cs="宋體-繁"/>
        </w:rPr>
      </w:r>
      <w:r>
        <w:rPr>
          <w:rFonts w:ascii="宋體-繁" w:hAnsi="宋體-繁" w:cs="宋體-繁"/>
        </w:rPr>
      </w:r>
    </w:p>
    <w:p>
      <w:pPr>
        <w:pStyle w:val="1203"/>
        <w:numPr>
          <w:ilvl w:val="0"/>
          <w:numId w:val="46"/>
        </w:numPr>
        <w:pBdr/>
        <w:spacing w:after="0" w:before="156" w:line="300" w:lineRule="exact"/>
        <w:ind/>
        <w:outlineLvl w:val="1"/>
        <w:rPr>
          <w:rFonts w:ascii="宋體-繁" w:hAnsi="宋體-繁" w:cs="宋體-繁"/>
        </w:rPr>
      </w:pPr>
      <w:r/>
      <w:bookmarkStart w:id="110" w:name="_Toc36"/>
      <w:r>
        <w:rPr>
          <w:rFonts w:ascii="宋體-繁" w:hAnsi="宋體-繁" w:eastAsia="宋體-繁" w:cs="宋體-繁"/>
        </w:rPr>
      </w:r>
      <w:bookmarkStart w:id="74" w:name="__RefHeading___Toc7059_4090689648"/>
      <w:r>
        <w:rPr>
          <w:rFonts w:ascii="宋體-繁" w:hAnsi="宋體-繁" w:eastAsia="宋體-繁" w:cs="宋體-繁"/>
        </w:rPr>
      </w:r>
      <w:bookmarkEnd w:id="74"/>
      <w:r>
        <w:rPr>
          <w:rFonts w:ascii="宋體-繁" w:hAnsi="宋體-繁" w:eastAsia="宋體-繁" w:cs="宋體-繁"/>
          <w:b/>
          <w:color w:val="000000" w:themeColor="text1"/>
          <w:sz w:val="28"/>
          <w:szCs w:val="28"/>
        </w:rPr>
        <w:t xml:space="preserve">公民儲備銀行</w:t>
      </w:r>
      <w:r>
        <w:rPr>
          <w:rFonts w:ascii="宋體-繁" w:hAnsi="宋體-繁" w:eastAsia="宋體-繁" w:cs="宋體-繁"/>
        </w:rPr>
      </w:r>
      <w:bookmarkEnd w:id="110"/>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中華民族聯邦共和國省級行政區設公民儲備銀行，公民儲備銀行設行長職位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個，副行長職位</w:t>
      </w:r>
      <w:r>
        <w:rPr>
          <w:rFonts w:ascii="宋體-繁" w:hAnsi="宋體-繁" w:eastAsia="宋體-繁" w:cs="宋體-繁"/>
          <w:color w:val="000000" w:themeColor="text1"/>
          <w:szCs w:val="21"/>
          <w:lang w:eastAsia="zh-TW"/>
        </w:rPr>
        <w:t xml:space="preserve">4</w:t>
      </w:r>
      <w:r>
        <w:rPr>
          <w:rFonts w:ascii="宋體-繁" w:hAnsi="宋體-繁" w:eastAsia="宋體-繁" w:cs="宋體-繁"/>
          <w:color w:val="000000" w:themeColor="text1"/>
          <w:szCs w:val="21"/>
          <w:lang w:eastAsia="zh-TW"/>
        </w:rPr>
        <w:t xml:space="preserve">個，由公民儲備銀行董事會決議任免，行長和副行長每屆任期</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公民儲備銀行設董事會，由</w:t>
      </w:r>
      <w:r>
        <w:rPr>
          <w:rFonts w:ascii="宋體-繁" w:hAnsi="宋體-繁" w:eastAsia="宋體-繁" w:cs="宋體-繁"/>
          <w:color w:val="000000" w:themeColor="text1"/>
          <w:szCs w:val="21"/>
          <w:lang w:eastAsia="zh-TW"/>
        </w:rPr>
        <w:t xml:space="preserve">19</w:t>
      </w:r>
      <w:r>
        <w:rPr>
          <w:rFonts w:ascii="宋體-繁" w:hAnsi="宋體-繁" w:eastAsia="宋體-繁" w:cs="宋體-繁"/>
          <w:color w:val="000000" w:themeColor="text1"/>
          <w:szCs w:val="21"/>
          <w:lang w:eastAsia="zh-TW"/>
        </w:rPr>
        <w:t xml:space="preserve">名董事組成，設董事長職位</w:t>
      </w:r>
      <w:r>
        <w:rPr>
          <w:rFonts w:ascii="宋體-繁" w:hAnsi="宋體-繁" w:eastAsia="宋體-繁" w:cs="宋體-繁"/>
          <w:color w:val="000000" w:themeColor="text1"/>
          <w:szCs w:val="21"/>
          <w:lang w:eastAsia="zh-TW"/>
        </w:rPr>
        <w:t xml:space="preserve">1</w:t>
      </w:r>
      <w:r>
        <w:rPr>
          <w:rFonts w:ascii="宋體-繁" w:hAnsi="宋體-繁" w:eastAsia="宋體-繁" w:cs="宋體-繁"/>
          <w:color w:val="000000" w:themeColor="text1"/>
          <w:szCs w:val="21"/>
          <w:lang w:eastAsia="zh-TW"/>
        </w:rPr>
        <w:t xml:space="preserve">個，副董事長職位</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個，由全體董事互選產生，公民儲備銀行董事會董事長、副董事長和董事每屆任期</w:t>
      </w:r>
      <w:r>
        <w:rPr>
          <w:rFonts w:ascii="宋體-繁" w:hAnsi="宋體-繁" w:eastAsia="宋體-繁" w:cs="宋體-繁"/>
          <w:color w:val="000000" w:themeColor="text1"/>
          <w:szCs w:val="21"/>
          <w:lang w:eastAsia="zh-TW"/>
        </w:rPr>
        <w:t xml:space="preserve">3</w:t>
      </w:r>
      <w:r>
        <w:rPr>
          <w:rFonts w:ascii="宋體-繁" w:hAnsi="宋體-繁" w:eastAsia="宋體-繁" w:cs="宋體-繁"/>
          <w:color w:val="000000" w:themeColor="text1"/>
          <w:szCs w:val="21"/>
          <w:lang w:eastAsia="zh-TW"/>
        </w:rPr>
        <w:t xml:space="preserve">年，任職不得超過</w:t>
      </w:r>
      <w:r>
        <w:rPr>
          <w:rFonts w:ascii="宋體-繁" w:hAnsi="宋體-繁" w:eastAsia="宋體-繁" w:cs="宋體-繁"/>
          <w:color w:val="000000" w:themeColor="text1"/>
          <w:szCs w:val="21"/>
          <w:lang w:eastAsia="zh-TW"/>
        </w:rPr>
        <w:t xml:space="preserve">2</w:t>
      </w:r>
      <w:r>
        <w:rPr>
          <w:rFonts w:ascii="宋體-繁" w:hAnsi="宋體-繁" w:eastAsia="宋體-繁" w:cs="宋體-繁"/>
          <w:color w:val="000000" w:themeColor="text1"/>
          <w:szCs w:val="21"/>
          <w:lang w:eastAsia="zh-TW"/>
        </w:rPr>
        <w:t xml:space="preserve">屆。</w:t>
      </w:r>
      <w:r>
        <w:rPr>
          <w:rFonts w:ascii="宋體-繁" w:hAnsi="宋體-繁" w:cs="宋體-繁"/>
        </w:rPr>
      </w:r>
      <w:r>
        <w:rPr>
          <w:rFonts w:ascii="宋體-繁" w:hAnsi="宋體-繁" w:cs="宋體-繁"/>
        </w:rPr>
      </w:r>
    </w:p>
    <w:p>
      <w:pPr>
        <w:pStyle w:val="1203"/>
        <w:numPr>
          <w:ilvl w:val="0"/>
          <w:numId w:val="51"/>
        </w:numPr>
        <w:pBdr/>
        <w:spacing w:after="156" w:before="0" w:line="300" w:lineRule="exact"/>
        <w:ind w:hanging="1575" w:left="1575"/>
        <w:outlineLvl w:val="2"/>
        <w:rPr>
          <w:rFonts w:ascii="宋體-繁" w:hAnsi="宋體-繁" w:cs="宋體-繁"/>
        </w:rPr>
      </w:pPr>
      <w:r>
        <w:rPr>
          <w:rFonts w:ascii="宋體-繁" w:hAnsi="宋體-繁" w:eastAsia="宋體-繁" w:cs="宋體-繁"/>
          <w:color w:val="000000" w:themeColor="text1"/>
          <w:szCs w:val="21"/>
          <w:lang w:eastAsia="zh-TW"/>
        </w:rPr>
        <w:t xml:space="preserve">公民儲備銀行董事會董事的產生，由本公民儲備銀行股東大會決議產生</w:t>
      </w:r>
      <w:r>
        <w:rPr>
          <w:rFonts w:ascii="宋體-繁" w:hAnsi="宋體-繁" w:eastAsia="宋體-繁" w:cs="宋體-繁"/>
          <w:color w:val="000000" w:themeColor="text1"/>
          <w:szCs w:val="21"/>
          <w:lang w:eastAsia="zh-TW"/>
        </w:rPr>
        <w:t xml:space="preserve">9</w:t>
      </w:r>
      <w:r>
        <w:rPr>
          <w:rFonts w:ascii="宋體-繁" w:hAnsi="宋體-繁" w:eastAsia="宋體-繁" w:cs="宋體-繁"/>
          <w:color w:val="000000" w:themeColor="text1"/>
          <w:szCs w:val="21"/>
          <w:lang w:eastAsia="zh-TW"/>
        </w:rPr>
        <w:t xml:space="preserve">名董事，由本公民儲備銀行所轄成員銀行選派</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名董事，由本省省儲備委員會選派</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名董事，且由省儲備委員會選派的</w:t>
      </w:r>
      <w:r>
        <w:rPr>
          <w:rFonts w:ascii="宋體-繁" w:hAnsi="宋體-繁" w:eastAsia="宋體-繁" w:cs="宋體-繁"/>
          <w:color w:val="000000" w:themeColor="text1"/>
          <w:szCs w:val="21"/>
          <w:lang w:eastAsia="zh-TW"/>
        </w:rPr>
        <w:t xml:space="preserve">5</w:t>
      </w:r>
      <w:r>
        <w:rPr>
          <w:rFonts w:ascii="宋體-繁" w:hAnsi="宋體-繁" w:eastAsia="宋體-繁" w:cs="宋體-繁"/>
          <w:color w:val="000000" w:themeColor="text1"/>
          <w:szCs w:val="21"/>
          <w:lang w:eastAsia="zh-TW"/>
        </w:rPr>
        <w:t xml:space="preserve">名董事，不得是來自銀行保險等金融行業的從業人員，不得是公權機構的公職人員。</w:t>
      </w:r>
      <w:r>
        <w:rPr>
          <w:rFonts w:ascii="宋體-繁" w:hAnsi="宋體-繁" w:cs="宋體-繁"/>
        </w:rPr>
      </w:r>
      <w:r>
        <w:rPr>
          <w:rFonts w:ascii="宋體-繁" w:hAnsi="宋體-繁" w:cs="宋體-繁"/>
        </w:rPr>
      </w:r>
    </w:p>
    <w:p>
      <w:pPr>
        <w:pStyle w:val="1203"/>
        <w:numPr>
          <w:ilvl w:val="0"/>
          <w:numId w:val="51"/>
        </w:numPr>
        <w:pBdr/>
        <w:spacing w:line="300" w:lineRule="exact"/>
        <w:ind w:hanging="1365" w:left="1365"/>
        <w:outlineLvl w:val="2"/>
        <w:rPr>
          <w:rFonts w:ascii="宋體-繁" w:hAnsi="宋體-繁" w:cs="宋體-繁"/>
        </w:rPr>
      </w:pPr>
      <w:r>
        <w:rPr>
          <w:rFonts w:ascii="宋體-繁" w:hAnsi="宋體-繁" w:eastAsia="宋體-繁" w:cs="宋體-繁"/>
          <w:color w:val="000000" w:themeColor="text1"/>
          <w:szCs w:val="21"/>
          <w:lang w:eastAsia="zh-TW"/>
        </w:rPr>
        <w:t xml:space="preserve">中華民族聯邦共和國省級行政區公民儲備銀行代表該省公開市場，參與金融制度的制訂、經濟政策的制定以及貨幣的流通，公民儲備銀行不屬於公權機構，其僱員不屬於公職人員，但必須受相關公職人員法律法規要求的約束。</w:t>
      </w:r>
      <w:r>
        <w:rPr>
          <w:rFonts w:ascii="宋體-繁" w:hAnsi="宋體-繁" w:cs="宋體-繁"/>
        </w:rPr>
      </w:r>
      <w:r>
        <w:rPr>
          <w:rFonts w:ascii="宋體-繁" w:hAnsi="宋體-繁" w:cs="宋體-繁"/>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40" w:right="1083" w:bottom="1440" w:left="1083" w:header="851" w:footer="85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体-繁">
    <w:panose1 w:val="05040102010807070707"/>
  </w:font>
  <w:font w:name="宋體-繁">
    <w:panose1 w:val="02010600040101010101"/>
  </w:font>
  <w:font w:name="等线">
    <w:panose1 w:val="05040102010807070707"/>
  </w:font>
  <w:font w:name="Noto Sans CJK SC">
    <w:panose1 w:val="05040102010807070707"/>
  </w:font>
  <w:font w:name="Arial">
    <w:panose1 w:val="020B0604020202020204"/>
  </w:font>
  <w:font w:name="DejaVu Sans">
    <w:panose1 w:val="020B0604030504040204"/>
  </w:font>
  <w:font w:name="宋体">
    <w:panose1 w:val="02010600040101010101"/>
  </w:font>
  <w:font w:name="Liberation Sans"/>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99"/>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0810" cy="294005"/>
              <wp:effectExtent l="0" t="0" r="0" b="0"/>
              <wp:wrapNone/>
              <wp:docPr id="1" name="文本框 1_0"/>
              <wp:cNvGraphicFramePr/>
              <a:graphic xmlns:a="http://schemas.openxmlformats.org/drawingml/2006/main">
                <a:graphicData uri="http://schemas.microsoft.com/office/word/2010/wordprocessingShape">
                  <wps:wsp>
                    <wps:cNvPr id="0" name=""/>
                    <wps:cNvSpPr/>
                    <wps:spPr bwMode="auto">
                      <a:xfrm>
                        <a:off x="0" y="0"/>
                        <a:ext cx="1400759"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04"/>
                            <w:pBdr/>
                            <w:spacing/>
                            <w:ind/>
                            <w:jc w:val="center"/>
                            <w:rPr>
                              <w:rFonts w:ascii="宋体-繁" w:hAnsi="宋体-繁" w:eastAsia="宋体-繁"/>
                            </w:rPr>
                          </w:pPr>
                          <w:r>
                            <w:rPr>
                              <w:rFonts w:ascii="宋体-繁" w:hAnsi="宋体-繁" w:eastAsia="宋体-繁" w:cs="宋体-简"/>
                              <w:color w:val="000000" w:themeColor="text1"/>
                              <w:szCs w:val="32"/>
                            </w:rPr>
                            <w:t xml:space="preserve">第  </w:t>
                          </w:r>
                          <w:r>
                            <w:rPr>
                              <w:rFonts w:ascii="宋体-繁" w:hAnsi="宋体-繁" w:eastAsia="宋体-繁" w:cs="宋体-简"/>
                              <w:color w:val="000000" w:themeColor="text1"/>
                              <w:szCs w:val="32"/>
                            </w:rPr>
                            <w:fldChar w:fldCharType="begin"/>
                          </w:r>
                          <w:r>
                            <w:rPr>
                              <w:rFonts w:ascii="宋体-繁" w:hAnsi="宋体-繁" w:eastAsia="宋体-繁" w:cs="宋体-简"/>
                              <w:color w:val="000000" w:themeColor="text1"/>
                              <w:szCs w:val="32"/>
                            </w:rPr>
                            <w:instrText xml:space="preserve"> PAGE </w:instrText>
                          </w:r>
                          <w:r>
                            <w:rPr>
                              <w:rFonts w:ascii="宋体-繁" w:hAnsi="宋体-繁" w:eastAsia="宋体-繁" w:cs="宋体-简"/>
                              <w:color w:val="000000" w:themeColor="text1"/>
                              <w:szCs w:val="32"/>
                            </w:rPr>
                            <w:fldChar w:fldCharType="separate"/>
                          </w:r>
                          <w:r>
                            <w:rPr>
                              <w:rFonts w:ascii="宋体-繁" w:hAnsi="宋体-繁" w:eastAsia="宋体-繁" w:cs="宋体-简"/>
                              <w:color w:val="000000" w:themeColor="text1"/>
                              <w:szCs w:val="32"/>
                            </w:rPr>
                            <w:t xml:space="preserve">21</w:t>
                          </w:r>
                          <w:r>
                            <w:rPr>
                              <w:rFonts w:ascii="宋体-繁" w:hAnsi="宋体-繁" w:eastAsia="宋体-繁" w:cs="宋体-简"/>
                              <w:color w:val="000000" w:themeColor="text1"/>
                              <w:szCs w:val="32"/>
                            </w:rPr>
                            <w:fldChar w:fldCharType="end"/>
                          </w:r>
                          <w:r>
                            <w:rPr>
                              <w:rFonts w:ascii="宋体-繁" w:hAnsi="宋体-繁" w:eastAsia="宋体-繁" w:cs="宋体-简"/>
                              <w:color w:val="000000" w:themeColor="text1"/>
                              <w:szCs w:val="32"/>
                            </w:rPr>
                            <w:t xml:space="preserve">页 共 </w:t>
                          </w:r>
                          <w:r>
                            <w:rPr>
                              <w:rFonts w:ascii="宋体-繁" w:hAnsi="宋体-繁" w:eastAsia="宋体-繁" w:cs="宋体-简"/>
                              <w:color w:val="000000" w:themeColor="text1"/>
                              <w:szCs w:val="32"/>
                            </w:rPr>
                            <w:fldChar w:fldCharType="begin"/>
                          </w:r>
                          <w:r>
                            <w:rPr>
                              <w:rFonts w:ascii="宋体-繁" w:hAnsi="宋体-繁" w:eastAsia="宋体-繁" w:cs="宋体-简"/>
                              <w:color w:val="000000" w:themeColor="text1"/>
                              <w:szCs w:val="32"/>
                            </w:rPr>
                            <w:instrText xml:space="preserve"> NUMPAGES </w:instrText>
                          </w:r>
                          <w:r>
                            <w:rPr>
                              <w:rFonts w:ascii="宋体-繁" w:hAnsi="宋体-繁" w:eastAsia="宋体-繁" w:cs="宋体-简"/>
                              <w:color w:val="000000" w:themeColor="text1"/>
                              <w:szCs w:val="32"/>
                            </w:rPr>
                            <w:fldChar w:fldCharType="separate"/>
                          </w:r>
                          <w:r>
                            <w:rPr>
                              <w:rFonts w:ascii="宋体-繁" w:hAnsi="宋体-繁" w:eastAsia="宋体-繁" w:cs="宋体-简"/>
                              <w:color w:val="000000" w:themeColor="text1"/>
                              <w:szCs w:val="32"/>
                            </w:rPr>
                            <w:t xml:space="preserve">21</w:t>
                          </w:r>
                          <w:r>
                            <w:rPr>
                              <w:rFonts w:ascii="宋体-繁" w:hAnsi="宋体-繁" w:eastAsia="宋体-繁" w:cs="宋体-简"/>
                              <w:color w:val="000000" w:themeColor="text1"/>
                              <w:szCs w:val="32"/>
                            </w:rPr>
                            <w:fldChar w:fldCharType="end"/>
                          </w:r>
                          <w:r>
                            <w:rPr>
                              <w:rFonts w:ascii="宋体-繁" w:hAnsi="宋体-繁" w:eastAsia="宋体-繁" w:cs="宋体-简"/>
                              <w:color w:val="000000" w:themeColor="text1"/>
                              <w:szCs w:val="32"/>
                            </w:rPr>
                            <w:t xml:space="preserve"> 页</w:t>
                          </w:r>
                          <w:r>
                            <w:rPr>
                              <w:rFonts w:ascii="宋体-繁" w:hAnsi="宋体-繁" w:eastAsia="宋体-繁"/>
                            </w:rPr>
                          </w:r>
                          <w:r>
                            <w:rPr>
                              <w:rFonts w:ascii="宋体-繁" w:hAnsi="宋体-繁" w:eastAsia="宋体-繁"/>
                            </w:rPr>
                          </w:r>
                        </w:p>
                      </w:txbxContent>
                    </wps:txbx>
                    <wps:bodyPr lIns="0" tIns="0" rIns="0" bIns="0" anchor="t">
                      <a:noAutofit/>
                    </wps:bodyPr>
                  </wps:wsp>
                </a:graphicData>
              </a:graphic>
            </wp:anchor>
          </w:drawing>
        </mc:Choice>
        <mc:Fallback>
          <w:pict>
            <v:shape id="shape 0" o:spid="_x0000_s0" o:spt="1" type="#_x0000_t1" style="position:absolute;z-index:-42;o:allowoverlap:true;o:allowincell:false;mso-position-horizontal-relative:margin;margin-left:180.45pt;mso-position-horizontal:absolute;mso-position-vertical-relative:text;margin-top:-1.25pt;mso-position-vertical:absolute;width:110.30pt;height:23.15pt;mso-wrap-distance-left:0.00pt;mso-wrap-distance-top:0.00pt;mso-wrap-distance-right:0.00pt;mso-wrap-distance-bottom:0.00pt;v-text-anchor:top;visibility:visible;" filled="f" stroked="f" strokeweight="0.50pt">
              <v:textbox inset="0,0,0,0">
                <w:txbxContent>
                  <w:p>
                    <w:pPr>
                      <w:pStyle w:val="1204"/>
                      <w:pBdr/>
                      <w:spacing/>
                      <w:ind/>
                      <w:jc w:val="center"/>
                      <w:rPr>
                        <w:rFonts w:ascii="宋体-繁" w:hAnsi="宋体-繁" w:eastAsia="宋体-繁"/>
                      </w:rPr>
                    </w:pPr>
                    <w:r>
                      <w:rPr>
                        <w:rFonts w:ascii="宋体-繁" w:hAnsi="宋体-繁" w:eastAsia="宋体-繁" w:cs="宋体-简"/>
                        <w:color w:val="000000" w:themeColor="text1"/>
                        <w:szCs w:val="32"/>
                      </w:rPr>
                      <w:t xml:space="preserve">第  </w:t>
                    </w:r>
                    <w:r>
                      <w:rPr>
                        <w:rFonts w:ascii="宋体-繁" w:hAnsi="宋体-繁" w:eastAsia="宋体-繁" w:cs="宋体-简"/>
                        <w:color w:val="000000" w:themeColor="text1"/>
                        <w:szCs w:val="32"/>
                      </w:rPr>
                      <w:fldChar w:fldCharType="begin"/>
                    </w:r>
                    <w:r>
                      <w:rPr>
                        <w:rFonts w:ascii="宋体-繁" w:hAnsi="宋体-繁" w:eastAsia="宋体-繁" w:cs="宋体-简"/>
                        <w:color w:val="000000" w:themeColor="text1"/>
                        <w:szCs w:val="32"/>
                      </w:rPr>
                      <w:instrText xml:space="preserve"> PAGE </w:instrText>
                    </w:r>
                    <w:r>
                      <w:rPr>
                        <w:rFonts w:ascii="宋体-繁" w:hAnsi="宋体-繁" w:eastAsia="宋体-繁" w:cs="宋体-简"/>
                        <w:color w:val="000000" w:themeColor="text1"/>
                        <w:szCs w:val="32"/>
                      </w:rPr>
                      <w:fldChar w:fldCharType="separate"/>
                    </w:r>
                    <w:r>
                      <w:rPr>
                        <w:rFonts w:ascii="宋体-繁" w:hAnsi="宋体-繁" w:eastAsia="宋体-繁" w:cs="宋体-简"/>
                        <w:color w:val="000000" w:themeColor="text1"/>
                        <w:szCs w:val="32"/>
                      </w:rPr>
                      <w:t xml:space="preserve">21</w:t>
                    </w:r>
                    <w:r>
                      <w:rPr>
                        <w:rFonts w:ascii="宋体-繁" w:hAnsi="宋体-繁" w:eastAsia="宋体-繁" w:cs="宋体-简"/>
                        <w:color w:val="000000" w:themeColor="text1"/>
                        <w:szCs w:val="32"/>
                      </w:rPr>
                      <w:fldChar w:fldCharType="end"/>
                    </w:r>
                    <w:r>
                      <w:rPr>
                        <w:rFonts w:ascii="宋体-繁" w:hAnsi="宋体-繁" w:eastAsia="宋体-繁" w:cs="宋体-简"/>
                        <w:color w:val="000000" w:themeColor="text1"/>
                        <w:szCs w:val="32"/>
                      </w:rPr>
                      <w:t xml:space="preserve">页 共 </w:t>
                    </w:r>
                    <w:r>
                      <w:rPr>
                        <w:rFonts w:ascii="宋体-繁" w:hAnsi="宋体-繁" w:eastAsia="宋体-繁" w:cs="宋体-简"/>
                        <w:color w:val="000000" w:themeColor="text1"/>
                        <w:szCs w:val="32"/>
                      </w:rPr>
                      <w:fldChar w:fldCharType="begin"/>
                    </w:r>
                    <w:r>
                      <w:rPr>
                        <w:rFonts w:ascii="宋体-繁" w:hAnsi="宋体-繁" w:eastAsia="宋体-繁" w:cs="宋体-简"/>
                        <w:color w:val="000000" w:themeColor="text1"/>
                        <w:szCs w:val="32"/>
                      </w:rPr>
                      <w:instrText xml:space="preserve"> NUMPAGES </w:instrText>
                    </w:r>
                    <w:r>
                      <w:rPr>
                        <w:rFonts w:ascii="宋体-繁" w:hAnsi="宋体-繁" w:eastAsia="宋体-繁" w:cs="宋体-简"/>
                        <w:color w:val="000000" w:themeColor="text1"/>
                        <w:szCs w:val="32"/>
                      </w:rPr>
                      <w:fldChar w:fldCharType="separate"/>
                    </w:r>
                    <w:r>
                      <w:rPr>
                        <w:rFonts w:ascii="宋体-繁" w:hAnsi="宋体-繁" w:eastAsia="宋体-繁" w:cs="宋体-简"/>
                        <w:color w:val="000000" w:themeColor="text1"/>
                        <w:szCs w:val="32"/>
                      </w:rPr>
                      <w:t xml:space="preserve">21</w:t>
                    </w:r>
                    <w:r>
                      <w:rPr>
                        <w:rFonts w:ascii="宋体-繁" w:hAnsi="宋体-繁" w:eastAsia="宋体-繁" w:cs="宋体-简"/>
                        <w:color w:val="000000" w:themeColor="text1"/>
                        <w:szCs w:val="32"/>
                      </w:rPr>
                      <w:fldChar w:fldCharType="end"/>
                    </w:r>
                    <w:r>
                      <w:rPr>
                        <w:rFonts w:ascii="宋体-繁" w:hAnsi="宋体-繁" w:eastAsia="宋体-繁" w:cs="宋体-简"/>
                        <w:color w:val="000000" w:themeColor="text1"/>
                        <w:szCs w:val="32"/>
                      </w:rPr>
                      <w:t xml:space="preserve"> 页</w:t>
                    </w:r>
                    <w:r>
                      <w:rPr>
                        <w:rFonts w:ascii="宋体-繁" w:hAnsi="宋体-繁" w:eastAsia="宋体-繁"/>
                      </w:rPr>
                    </w:r>
                    <w:r>
                      <w:rPr>
                        <w:rFonts w:ascii="宋体-繁" w:hAnsi="宋体-繁" w:eastAsia="宋体-繁"/>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99"/>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46" behindDoc="1" locked="0" layoutInCell="0" allowOverlap="1">
              <wp:simplePos x="0" y="0"/>
              <wp:positionH relativeFrom="margin">
                <wp:posOffset>0</wp:posOffset>
              </wp:positionH>
              <wp:positionV relativeFrom="paragraph">
                <wp:posOffset>635</wp:posOffset>
              </wp:positionV>
              <wp:extent cx="1400810" cy="294005"/>
              <wp:effectExtent l="0" t="0" r="0" b="0"/>
              <wp:wrapNone/>
              <wp:docPr id="2" name="文本框 1_ 2"/>
              <wp:cNvGraphicFramePr/>
              <a:graphic xmlns:a="http://schemas.openxmlformats.org/drawingml/2006/main">
                <a:graphicData uri="http://schemas.microsoft.com/office/word/2010/wordprocessingShape">
                  <wps:wsp>
                    <wps:cNvPr id="0" name=""/>
                    <wps:cNvSpPr/>
                    <wps:spPr bwMode="auto">
                      <a:xfrm>
                        <a:off x="0" y="0"/>
                        <a:ext cx="1400759"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04"/>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rPr>
                            <w:t xml:space="preserve">第  </w:t>
                          </w:r>
                          <w:r>
                            <w:rPr>
                              <w:rFonts w:ascii="宋体-简" w:hAnsi="宋体-简" w:eastAsia="宋体-简" w:cs="宋体-简"/>
                              <w:color w:val="000000" w:themeColor="text1"/>
                              <w:szCs w:val="32"/>
                            </w:rPr>
                            <w:fldChar w:fldCharType="begin"/>
                          </w:r>
                          <w:r>
                            <w:rPr>
                              <w:rFonts w:ascii="宋体-简" w:hAnsi="宋体-简" w:eastAsia="宋体-简" w:cs="宋体-简"/>
                              <w:color w:val="000000" w:themeColor="text1"/>
                              <w:szCs w:val="32"/>
                            </w:rPr>
                            <w:instrText xml:space="preserve"> PAGE </w:instrText>
                          </w:r>
                          <w:r>
                            <w:rPr>
                              <w:rFonts w:ascii="宋体-简" w:hAnsi="宋体-简" w:eastAsia="宋体-简" w:cs="宋体-简"/>
                              <w:color w:val="000000" w:themeColor="text1"/>
                              <w:szCs w:val="32"/>
                            </w:rPr>
                            <w:fldChar w:fldCharType="separate"/>
                          </w:r>
                          <w:r>
                            <w:rPr>
                              <w:rFonts w:ascii="宋体-简" w:hAnsi="宋体-简" w:eastAsia="宋体-简" w:cs="宋体-简"/>
                              <w:color w:val="000000" w:themeColor="text1"/>
                              <w:szCs w:val="32"/>
                            </w:rPr>
                            <w:t xml:space="preserve">0</w:t>
                          </w:r>
                          <w:r>
                            <w:rPr>
                              <w:rFonts w:ascii="宋体-简" w:hAnsi="宋体-简" w:eastAsia="宋体-简" w:cs="宋体-简"/>
                              <w:color w:val="000000" w:themeColor="text1"/>
                              <w:szCs w:val="32"/>
                            </w:rPr>
                            <w:fldChar w:fldCharType="end"/>
                          </w:r>
                          <w:r>
                            <w:rPr>
                              <w:rFonts w:ascii="宋体-简" w:hAnsi="宋体-简" w:eastAsia="宋体-简" w:cs="宋体-简"/>
                              <w:color w:val="000000" w:themeColor="text1"/>
                              <w:szCs w:val="32"/>
                            </w:rPr>
                            <w:t xml:space="preserve">页 共 </w:t>
                          </w:r>
                          <w:r>
                            <w:rPr>
                              <w:rFonts w:ascii="宋体-简" w:hAnsi="宋体-简" w:eastAsia="宋体-简" w:cs="宋体-简"/>
                              <w:color w:val="000000" w:themeColor="text1"/>
                              <w:szCs w:val="32"/>
                            </w:rPr>
                            <w:fldChar w:fldCharType="begin"/>
                          </w:r>
                          <w:r>
                            <w:rPr>
                              <w:rFonts w:ascii="宋体-简" w:hAnsi="宋体-简" w:eastAsia="宋体-简" w:cs="宋体-简"/>
                              <w:color w:val="000000" w:themeColor="text1"/>
                              <w:szCs w:val="32"/>
                            </w:rPr>
                            <w:instrText xml:space="preserve"> NUMPAGES </w:instrText>
                          </w:r>
                          <w:r>
                            <w:rPr>
                              <w:rFonts w:ascii="宋体-简" w:hAnsi="宋体-简" w:eastAsia="宋体-简" w:cs="宋体-简"/>
                              <w:color w:val="000000" w:themeColor="text1"/>
                              <w:szCs w:val="32"/>
                            </w:rPr>
                            <w:fldChar w:fldCharType="separate"/>
                          </w:r>
                          <w:r>
                            <w:rPr>
                              <w:rFonts w:ascii="宋体-简" w:hAnsi="宋体-简" w:eastAsia="宋体-简" w:cs="宋体-简"/>
                              <w:color w:val="000000" w:themeColor="text1"/>
                              <w:szCs w:val="32"/>
                            </w:rPr>
                            <w:t xml:space="preserve">21</w:t>
                          </w:r>
                          <w:r>
                            <w:rPr>
                              <w:rFonts w:ascii="宋体-简" w:hAnsi="宋体-简" w:eastAsia="宋体-简" w:cs="宋体-简"/>
                              <w:color w:val="000000" w:themeColor="text1"/>
                              <w:szCs w:val="32"/>
                            </w:rPr>
                            <w:fldChar w:fldCharType="end"/>
                          </w:r>
                          <w:r>
                            <w:rPr>
                              <w:rFonts w:ascii="宋体-简" w:hAnsi="宋体-简" w:eastAsia="宋体-简" w:cs="宋体-简"/>
                              <w:color w:val="000000" w:themeColor="text1"/>
                              <w:szCs w:val="32"/>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1" o:spid="_x0000_s1" o:spt="1" type="#_x0000_t1" style="position:absolute;z-index:-46;o:allowoverlap:true;o:allowincell:false;mso-position-horizontal-relative:margin;margin-left:0.00pt;mso-position-horizontal:absolute;mso-position-vertical-relative:text;margin-top:0.05pt;mso-position-vertical:absolute;width:110.30pt;height:23.15pt;mso-wrap-distance-left:0.00pt;mso-wrap-distance-top:0.00pt;mso-wrap-distance-right:0.00pt;mso-wrap-distance-bottom:0.00pt;v-text-anchor:top;visibility:visible;" filled="f" stroked="f" strokeweight="0.50pt">
              <v:textbox inset="0,0,0,0">
                <w:txbxContent>
                  <w:p>
                    <w:pPr>
                      <w:pStyle w:val="1204"/>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rPr>
                      <w:t xml:space="preserve">第  </w:t>
                    </w:r>
                    <w:r>
                      <w:rPr>
                        <w:rFonts w:ascii="宋体-简" w:hAnsi="宋体-简" w:eastAsia="宋体-简" w:cs="宋体-简"/>
                        <w:color w:val="000000" w:themeColor="text1"/>
                        <w:szCs w:val="32"/>
                      </w:rPr>
                      <w:fldChar w:fldCharType="begin"/>
                    </w:r>
                    <w:r>
                      <w:rPr>
                        <w:rFonts w:ascii="宋体-简" w:hAnsi="宋体-简" w:eastAsia="宋体-简" w:cs="宋体-简"/>
                        <w:color w:val="000000" w:themeColor="text1"/>
                        <w:szCs w:val="32"/>
                      </w:rPr>
                      <w:instrText xml:space="preserve"> PAGE </w:instrText>
                    </w:r>
                    <w:r>
                      <w:rPr>
                        <w:rFonts w:ascii="宋体-简" w:hAnsi="宋体-简" w:eastAsia="宋体-简" w:cs="宋体-简"/>
                        <w:color w:val="000000" w:themeColor="text1"/>
                        <w:szCs w:val="32"/>
                      </w:rPr>
                      <w:fldChar w:fldCharType="separate"/>
                    </w:r>
                    <w:r>
                      <w:rPr>
                        <w:rFonts w:ascii="宋体-简" w:hAnsi="宋体-简" w:eastAsia="宋体-简" w:cs="宋体-简"/>
                        <w:color w:val="000000" w:themeColor="text1"/>
                        <w:szCs w:val="32"/>
                      </w:rPr>
                      <w:t xml:space="preserve">0</w:t>
                    </w:r>
                    <w:r>
                      <w:rPr>
                        <w:rFonts w:ascii="宋体-简" w:hAnsi="宋体-简" w:eastAsia="宋体-简" w:cs="宋体-简"/>
                        <w:color w:val="000000" w:themeColor="text1"/>
                        <w:szCs w:val="32"/>
                      </w:rPr>
                      <w:fldChar w:fldCharType="end"/>
                    </w:r>
                    <w:r>
                      <w:rPr>
                        <w:rFonts w:ascii="宋体-简" w:hAnsi="宋体-简" w:eastAsia="宋体-简" w:cs="宋体-简"/>
                        <w:color w:val="000000" w:themeColor="text1"/>
                        <w:szCs w:val="32"/>
                      </w:rPr>
                      <w:t xml:space="preserve">页 共 </w:t>
                    </w:r>
                    <w:r>
                      <w:rPr>
                        <w:rFonts w:ascii="宋体-简" w:hAnsi="宋体-简" w:eastAsia="宋体-简" w:cs="宋体-简"/>
                        <w:color w:val="000000" w:themeColor="text1"/>
                        <w:szCs w:val="32"/>
                      </w:rPr>
                      <w:fldChar w:fldCharType="begin"/>
                    </w:r>
                    <w:r>
                      <w:rPr>
                        <w:rFonts w:ascii="宋体-简" w:hAnsi="宋体-简" w:eastAsia="宋体-简" w:cs="宋体-简"/>
                        <w:color w:val="000000" w:themeColor="text1"/>
                        <w:szCs w:val="32"/>
                      </w:rPr>
                      <w:instrText xml:space="preserve"> NUMPAGES </w:instrText>
                    </w:r>
                    <w:r>
                      <w:rPr>
                        <w:rFonts w:ascii="宋体-简" w:hAnsi="宋体-简" w:eastAsia="宋体-简" w:cs="宋体-简"/>
                        <w:color w:val="000000" w:themeColor="text1"/>
                        <w:szCs w:val="32"/>
                      </w:rPr>
                      <w:fldChar w:fldCharType="separate"/>
                    </w:r>
                    <w:r>
                      <w:rPr>
                        <w:rFonts w:ascii="宋体-简" w:hAnsi="宋体-简" w:eastAsia="宋体-简" w:cs="宋体-简"/>
                        <w:color w:val="000000" w:themeColor="text1"/>
                        <w:szCs w:val="32"/>
                      </w:rPr>
                      <w:t xml:space="preserve">21</w:t>
                    </w:r>
                    <w:r>
                      <w:rPr>
                        <w:rFonts w:ascii="宋体-简" w:hAnsi="宋体-简" w:eastAsia="宋体-简" w:cs="宋体-简"/>
                        <w:color w:val="000000" w:themeColor="text1"/>
                        <w:szCs w:val="32"/>
                      </w:rPr>
                      <w:fldChar w:fldCharType="end"/>
                    </w:r>
                    <w:r>
                      <w:rPr>
                        <w:rFonts w:ascii="宋体-简" w:hAnsi="宋体-简" w:eastAsia="宋体-简" w:cs="宋体-简"/>
                        <w:color w:val="000000" w:themeColor="text1"/>
                        <w:szCs w:val="32"/>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99"/>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0810" cy="294005"/>
              <wp:effectExtent l="0" t="0" r="0" b="0"/>
              <wp:wrapNone/>
              <wp:docPr id="3" name="文本框 1_0"/>
              <wp:cNvGraphicFramePr/>
              <a:graphic xmlns:a="http://schemas.openxmlformats.org/drawingml/2006/main">
                <a:graphicData uri="http://schemas.microsoft.com/office/word/2010/wordprocessingShape">
                  <wps:wsp>
                    <wps:cNvPr id="0" name=""/>
                    <wps:cNvSpPr/>
                    <wps:spPr bwMode="auto">
                      <a:xfrm>
                        <a:off x="0" y="0"/>
                        <a:ext cx="1400759"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04"/>
                            <w:pBdr/>
                            <w:spacing/>
                            <w:ind/>
                            <w:jc w:val="center"/>
                            <w:rPr>
                              <w:rFonts w:ascii="宋体-繁" w:hAnsi="宋体-繁" w:eastAsia="宋体-繁"/>
                            </w:rPr>
                          </w:pPr>
                          <w:r>
                            <w:rPr>
                              <w:rFonts w:ascii="宋体-繁" w:hAnsi="宋体-繁" w:eastAsia="宋体-繁" w:cs="宋体-简"/>
                              <w:color w:val="000000" w:themeColor="text1"/>
                              <w:szCs w:val="32"/>
                            </w:rPr>
                            <w:t xml:space="preserve">第  </w:t>
                          </w:r>
                          <w:r>
                            <w:rPr>
                              <w:rFonts w:ascii="宋体-繁" w:hAnsi="宋体-繁" w:eastAsia="宋体-繁" w:cs="宋体-简"/>
                              <w:color w:val="000000" w:themeColor="text1"/>
                              <w:szCs w:val="32"/>
                            </w:rPr>
                            <w:fldChar w:fldCharType="begin"/>
                          </w:r>
                          <w:r>
                            <w:rPr>
                              <w:rFonts w:ascii="宋体-繁" w:hAnsi="宋体-繁" w:eastAsia="宋体-繁" w:cs="宋体-简"/>
                              <w:color w:val="000000" w:themeColor="text1"/>
                              <w:szCs w:val="32"/>
                            </w:rPr>
                            <w:instrText xml:space="preserve"> PAGE </w:instrText>
                          </w:r>
                          <w:r>
                            <w:rPr>
                              <w:rFonts w:ascii="宋体-繁" w:hAnsi="宋体-繁" w:eastAsia="宋体-繁" w:cs="宋体-简"/>
                              <w:color w:val="000000" w:themeColor="text1"/>
                              <w:szCs w:val="32"/>
                            </w:rPr>
                            <w:fldChar w:fldCharType="separate"/>
                          </w:r>
                          <w:r>
                            <w:rPr>
                              <w:rFonts w:ascii="宋体-繁" w:hAnsi="宋体-繁" w:eastAsia="宋体-繁" w:cs="宋体-简"/>
                              <w:color w:val="000000" w:themeColor="text1"/>
                              <w:szCs w:val="32"/>
                            </w:rPr>
                            <w:t xml:space="preserve">21</w:t>
                          </w:r>
                          <w:r>
                            <w:rPr>
                              <w:rFonts w:ascii="宋体-繁" w:hAnsi="宋体-繁" w:eastAsia="宋体-繁" w:cs="宋体-简"/>
                              <w:color w:val="000000" w:themeColor="text1"/>
                              <w:szCs w:val="32"/>
                            </w:rPr>
                            <w:fldChar w:fldCharType="end"/>
                          </w:r>
                          <w:r>
                            <w:rPr>
                              <w:rFonts w:ascii="宋体-繁" w:hAnsi="宋体-繁" w:eastAsia="宋体-繁" w:cs="宋体-简"/>
                              <w:color w:val="000000" w:themeColor="text1"/>
                              <w:szCs w:val="32"/>
                            </w:rPr>
                            <w:t xml:space="preserve">页 共 </w:t>
                          </w:r>
                          <w:r>
                            <w:rPr>
                              <w:rFonts w:ascii="宋体-繁" w:hAnsi="宋体-繁" w:eastAsia="宋体-繁" w:cs="宋体-简"/>
                              <w:color w:val="000000" w:themeColor="text1"/>
                              <w:szCs w:val="32"/>
                            </w:rPr>
                            <w:fldChar w:fldCharType="begin"/>
                          </w:r>
                          <w:r>
                            <w:rPr>
                              <w:rFonts w:ascii="宋体-繁" w:hAnsi="宋体-繁" w:eastAsia="宋体-繁" w:cs="宋体-简"/>
                              <w:color w:val="000000" w:themeColor="text1"/>
                              <w:szCs w:val="32"/>
                            </w:rPr>
                            <w:instrText xml:space="preserve"> NUMPAGES </w:instrText>
                          </w:r>
                          <w:r>
                            <w:rPr>
                              <w:rFonts w:ascii="宋体-繁" w:hAnsi="宋体-繁" w:eastAsia="宋体-繁" w:cs="宋体-简"/>
                              <w:color w:val="000000" w:themeColor="text1"/>
                              <w:szCs w:val="32"/>
                            </w:rPr>
                            <w:fldChar w:fldCharType="separate"/>
                          </w:r>
                          <w:r>
                            <w:rPr>
                              <w:rFonts w:ascii="宋体-繁" w:hAnsi="宋体-繁" w:eastAsia="宋体-繁" w:cs="宋体-简"/>
                              <w:color w:val="000000" w:themeColor="text1"/>
                              <w:szCs w:val="32"/>
                            </w:rPr>
                            <w:t xml:space="preserve">21</w:t>
                          </w:r>
                          <w:r>
                            <w:rPr>
                              <w:rFonts w:ascii="宋体-繁" w:hAnsi="宋体-繁" w:eastAsia="宋体-繁" w:cs="宋体-简"/>
                              <w:color w:val="000000" w:themeColor="text1"/>
                              <w:szCs w:val="32"/>
                            </w:rPr>
                            <w:fldChar w:fldCharType="end"/>
                          </w:r>
                          <w:r>
                            <w:rPr>
                              <w:rFonts w:ascii="宋体-繁" w:hAnsi="宋体-繁" w:eastAsia="宋体-繁" w:cs="宋体-简"/>
                              <w:color w:val="000000" w:themeColor="text1"/>
                              <w:szCs w:val="32"/>
                            </w:rPr>
                            <w:t xml:space="preserve"> 页</w:t>
                          </w:r>
                          <w:r>
                            <w:rPr>
                              <w:rFonts w:ascii="宋体-繁" w:hAnsi="宋体-繁" w:eastAsia="宋体-繁"/>
                            </w:rPr>
                          </w:r>
                          <w:r>
                            <w:rPr>
                              <w:rFonts w:ascii="宋体-繁" w:hAnsi="宋体-繁" w:eastAsia="宋体-繁"/>
                            </w:rPr>
                          </w:r>
                        </w:p>
                      </w:txbxContent>
                    </wps:txbx>
                    <wps:bodyPr lIns="0" tIns="0" rIns="0" bIns="0" anchor="t">
                      <a:noAutofit/>
                    </wps:bodyPr>
                  </wps:wsp>
                </a:graphicData>
              </a:graphic>
            </wp:anchor>
          </w:drawing>
        </mc:Choice>
        <mc:Fallback>
          <w:pict>
            <v:shape id="shape 2" o:spid="_x0000_s2" o:spt="1" type="#_x0000_t1" style="position:absolute;z-index:-42;o:allowoverlap:true;o:allowincell:false;mso-position-horizontal-relative:margin;margin-left:180.45pt;mso-position-horizontal:absolute;mso-position-vertical-relative:text;margin-top:-1.25pt;mso-position-vertical:absolute;width:110.30pt;height:23.15pt;mso-wrap-distance-left:0.00pt;mso-wrap-distance-top:0.00pt;mso-wrap-distance-right:0.00pt;mso-wrap-distance-bottom:0.00pt;v-text-anchor:top;visibility:visible;" filled="f" stroked="f" strokeweight="0.50pt">
              <v:textbox inset="0,0,0,0">
                <w:txbxContent>
                  <w:p>
                    <w:pPr>
                      <w:pStyle w:val="1204"/>
                      <w:pBdr/>
                      <w:spacing/>
                      <w:ind/>
                      <w:jc w:val="center"/>
                      <w:rPr>
                        <w:rFonts w:ascii="宋体-繁" w:hAnsi="宋体-繁" w:eastAsia="宋体-繁"/>
                      </w:rPr>
                    </w:pPr>
                    <w:r>
                      <w:rPr>
                        <w:rFonts w:ascii="宋体-繁" w:hAnsi="宋体-繁" w:eastAsia="宋体-繁" w:cs="宋体-简"/>
                        <w:color w:val="000000" w:themeColor="text1"/>
                        <w:szCs w:val="32"/>
                      </w:rPr>
                      <w:t xml:space="preserve">第  </w:t>
                    </w:r>
                    <w:r>
                      <w:rPr>
                        <w:rFonts w:ascii="宋体-繁" w:hAnsi="宋体-繁" w:eastAsia="宋体-繁" w:cs="宋体-简"/>
                        <w:color w:val="000000" w:themeColor="text1"/>
                        <w:szCs w:val="32"/>
                      </w:rPr>
                      <w:fldChar w:fldCharType="begin"/>
                    </w:r>
                    <w:r>
                      <w:rPr>
                        <w:rFonts w:ascii="宋体-繁" w:hAnsi="宋体-繁" w:eastAsia="宋体-繁" w:cs="宋体-简"/>
                        <w:color w:val="000000" w:themeColor="text1"/>
                        <w:szCs w:val="32"/>
                      </w:rPr>
                      <w:instrText xml:space="preserve"> PAGE </w:instrText>
                    </w:r>
                    <w:r>
                      <w:rPr>
                        <w:rFonts w:ascii="宋体-繁" w:hAnsi="宋体-繁" w:eastAsia="宋体-繁" w:cs="宋体-简"/>
                        <w:color w:val="000000" w:themeColor="text1"/>
                        <w:szCs w:val="32"/>
                      </w:rPr>
                      <w:fldChar w:fldCharType="separate"/>
                    </w:r>
                    <w:r>
                      <w:rPr>
                        <w:rFonts w:ascii="宋体-繁" w:hAnsi="宋体-繁" w:eastAsia="宋体-繁" w:cs="宋体-简"/>
                        <w:color w:val="000000" w:themeColor="text1"/>
                        <w:szCs w:val="32"/>
                      </w:rPr>
                      <w:t xml:space="preserve">21</w:t>
                    </w:r>
                    <w:r>
                      <w:rPr>
                        <w:rFonts w:ascii="宋体-繁" w:hAnsi="宋体-繁" w:eastAsia="宋体-繁" w:cs="宋体-简"/>
                        <w:color w:val="000000" w:themeColor="text1"/>
                        <w:szCs w:val="32"/>
                      </w:rPr>
                      <w:fldChar w:fldCharType="end"/>
                    </w:r>
                    <w:r>
                      <w:rPr>
                        <w:rFonts w:ascii="宋体-繁" w:hAnsi="宋体-繁" w:eastAsia="宋体-繁" w:cs="宋体-简"/>
                        <w:color w:val="000000" w:themeColor="text1"/>
                        <w:szCs w:val="32"/>
                      </w:rPr>
                      <w:t xml:space="preserve">页 共 </w:t>
                    </w:r>
                    <w:r>
                      <w:rPr>
                        <w:rFonts w:ascii="宋体-繁" w:hAnsi="宋体-繁" w:eastAsia="宋体-繁" w:cs="宋体-简"/>
                        <w:color w:val="000000" w:themeColor="text1"/>
                        <w:szCs w:val="32"/>
                      </w:rPr>
                      <w:fldChar w:fldCharType="begin"/>
                    </w:r>
                    <w:r>
                      <w:rPr>
                        <w:rFonts w:ascii="宋体-繁" w:hAnsi="宋体-繁" w:eastAsia="宋体-繁" w:cs="宋体-简"/>
                        <w:color w:val="000000" w:themeColor="text1"/>
                        <w:szCs w:val="32"/>
                      </w:rPr>
                      <w:instrText xml:space="preserve"> NUMPAGES </w:instrText>
                    </w:r>
                    <w:r>
                      <w:rPr>
                        <w:rFonts w:ascii="宋体-繁" w:hAnsi="宋体-繁" w:eastAsia="宋体-繁" w:cs="宋体-简"/>
                        <w:color w:val="000000" w:themeColor="text1"/>
                        <w:szCs w:val="32"/>
                      </w:rPr>
                      <w:fldChar w:fldCharType="separate"/>
                    </w:r>
                    <w:r>
                      <w:rPr>
                        <w:rFonts w:ascii="宋体-繁" w:hAnsi="宋体-繁" w:eastAsia="宋体-繁" w:cs="宋体-简"/>
                        <w:color w:val="000000" w:themeColor="text1"/>
                        <w:szCs w:val="32"/>
                      </w:rPr>
                      <w:t xml:space="preserve">21</w:t>
                    </w:r>
                    <w:r>
                      <w:rPr>
                        <w:rFonts w:ascii="宋体-繁" w:hAnsi="宋体-繁" w:eastAsia="宋体-繁" w:cs="宋体-简"/>
                        <w:color w:val="000000" w:themeColor="text1"/>
                        <w:szCs w:val="32"/>
                      </w:rPr>
                      <w:fldChar w:fldCharType="end"/>
                    </w:r>
                    <w:r>
                      <w:rPr>
                        <w:rFonts w:ascii="宋体-繁" w:hAnsi="宋体-繁" w:eastAsia="宋体-繁" w:cs="宋体-简"/>
                        <w:color w:val="000000" w:themeColor="text1"/>
                        <w:szCs w:val="32"/>
                      </w:rPr>
                      <w:t xml:space="preserve"> 页</w:t>
                    </w:r>
                    <w:r>
                      <w:rPr>
                        <w:rFonts w:ascii="宋体-繁" w:hAnsi="宋体-繁" w:eastAsia="宋体-繁"/>
                      </w:rPr>
                    </w:r>
                    <w:r>
                      <w:rPr>
                        <w:rFonts w:ascii="宋体-繁" w:hAnsi="宋体-繁" w:eastAsia="宋体-繁"/>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0"/>
      <w:pBdr/>
      <w:spacing/>
      <w:ind/>
      <w:rPr>
        <w:rFonts w:ascii="宋體-繁" w:hAnsi="宋體-繁" w:cs="宋體-繁"/>
      </w:rPr>
    </w:pPr>
    <w:r>
      <w:rPr>
        <w:rFonts w:ascii="宋體-繁" w:hAnsi="宋體-繁" w:eastAsia="宋體-繁" w:cs="宋體-繁"/>
        <w:color w:val="000000" w:themeColor="text1"/>
        <w:sz w:val="21"/>
        <w:szCs w:val="21"/>
        <w:lang w:eastAsia="zh-TW"/>
      </w:rPr>
      <w:t xml:space="preserve">中華民族聯邦共和國憲法</w:t>
    </w:r>
    <w:r>
      <w:rPr>
        <w:rFonts w:ascii="宋體-繁" w:hAnsi="宋體-繁" w:cs="宋體-繁"/>
      </w:rPr>
    </w:r>
    <w:r>
      <w:rPr>
        <w:rFonts w:ascii="宋體-繁" w:hAnsi="宋體-繁" w:cs="宋體-繁"/>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0"/>
      <w:pBdr/>
      <w:spacing/>
      <w:ind/>
      <w:rPr>
        <w:rFonts w:eastAsia="宋体-繁"/>
      </w:rPr>
    </w:pPr>
    <w:r>
      <w:rPr>
        <w:rFonts w:ascii="宋体-简" w:hAnsi="宋体-简" w:eastAsia="宋体-繁" w:cs="宋体-简"/>
        <w:color w:val="000000" w:themeColor="text1"/>
        <w:sz w:val="21"/>
        <w:szCs w:val="21"/>
        <w:lang w:eastAsia="zh-TW"/>
      </w:rPr>
      <w:t xml:space="preserve">中華民族聯邦共和國憲法</w:t>
    </w:r>
    <w:r>
      <w:rPr>
        <w:rFonts w:eastAsia="宋体-繁"/>
      </w:rPr>
    </w:r>
    <w:r>
      <w:rPr>
        <w:rFonts w:eastAsia="宋体-繁"/>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繁" w:hAnsi="宋體-繁" w:eastAsia="宋體-繁" w:cs="宋體-繁"/>
        <w:b/>
        <w:bCs/>
        <w:sz w:val="32"/>
        <w:szCs w:val="37"/>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節"/>
      <w:numFmt w:val="chineseCountingThousand"/>
      <w:pPr>
        <w:pBdr/>
        <w:tabs>
          <w:tab w:val="num" w:leader="none" w:pos="0"/>
        </w:tabs>
        <w:spacing/>
        <w:ind w:firstLine="0" w:left="0"/>
      </w:pPr>
      <w:rPr>
        <w:rFonts w:ascii="宋體-繁" w:hAnsi="宋體-繁" w:eastAsia="宋體-繁" w:cs="宋體-繁"/>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條"/>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繁" w:hAnsi="宋體-繁" w:eastAsia="宋體-繁" w:cs="宋體-繁"/>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繁" w:hAnsi="宋體-繁" w:eastAsia="宋體-繁" w:cs="宋體-繁"/>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9">
    <w:lvl w:ilvl="0">
      <w:isLgl w:val="false"/>
      <w:lvlJc w:val="left"/>
      <w:lvlText w:val="第%1節"/>
      <w:numFmt w:val="chineseCountingThousand"/>
      <w:pPr>
        <w:pBdr/>
        <w:tabs>
          <w:tab w:val="num" w:leader="none" w:pos="0"/>
        </w:tabs>
        <w:spacing/>
        <w:ind w:firstLine="0" w:left="0"/>
      </w:pPr>
      <w:rPr>
        <w:rFonts w:ascii="宋體-繁" w:hAnsi="宋體-繁" w:eastAsia="宋體-繁" w:cs="宋體-繁"/>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23">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24">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25">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26">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27">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28">
    <w:lvl w:ilvl="0">
      <w:isLgl w:val="false"/>
      <w:lvlJc w:val="left"/>
      <w:lvlText w:val="第%1節"/>
      <w:numFmt w:val="chineseCountingThousand"/>
      <w:pPr>
        <w:pBdr/>
        <w:tabs>
          <w:tab w:val="num" w:leader="none" w:pos="0"/>
        </w:tabs>
        <w:spacing/>
        <w:ind w:firstLine="0" w:left="0"/>
      </w:pPr>
      <w:rPr>
        <w:rFonts w:ascii="宋體-繁" w:hAnsi="宋體-繁" w:eastAsia="宋體-繁" w:cs="宋體-繁"/>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9">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30">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31">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32">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33">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34">
    <w:lvl w:ilvl="0">
      <w:isLgl w:val="false"/>
      <w:lvlJc w:val="left"/>
      <w:lvlText w:val="第%1節"/>
      <w:numFmt w:val="chineseCountingThousand"/>
      <w:pPr>
        <w:pBdr/>
        <w:tabs>
          <w:tab w:val="num" w:leader="none" w:pos="0"/>
        </w:tabs>
        <w:spacing/>
        <w:ind w:firstLine="0" w:left="0"/>
      </w:pPr>
      <w:rPr>
        <w:rFonts w:ascii="宋體-繁" w:hAnsi="宋體-繁" w:eastAsia="宋體-繁" w:cs="宋體-繁"/>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5">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36">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37">
    <w:lvl w:ilvl="0">
      <w:isLgl w:val="false"/>
      <w:lvlJc w:val="left"/>
      <w:lvlText w:val="第%1節"/>
      <w:numFmt w:val="chineseCountingThousand"/>
      <w:pPr>
        <w:pBdr/>
        <w:tabs>
          <w:tab w:val="num" w:leader="none" w:pos="0"/>
        </w:tabs>
        <w:spacing/>
        <w:ind w:firstLine="0" w:left="0"/>
      </w:pPr>
      <w:rPr>
        <w:rFonts w:ascii="宋體-繁" w:hAnsi="宋體-繁" w:eastAsia="宋體-繁" w:cs="宋體-繁"/>
        <w:b/>
        <w:bCs/>
        <w:sz w:val="28"/>
        <w:szCs w:val="32"/>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8">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39">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0">
    <w:lvl w:ilvl="0">
      <w:isLgl w:val="false"/>
      <w:lvlJc w:val="left"/>
      <w:lvlText w:val="第%1款"/>
      <w:numFmt w:val="chineseCountingThousand"/>
      <w:pPr>
        <w:pBdr/>
        <w:tabs>
          <w:tab w:val="num" w:leader="none" w:pos="0"/>
        </w:tabs>
        <w:spacing/>
        <w:ind w:firstLine="0" w:left="0"/>
      </w:pPr>
      <w:rPr>
        <w:rFonts w:ascii="宋體-繁" w:hAnsi="宋體-繁" w:eastAsia="宋體-繁" w:cs="宋體-繁"/>
        <w:b w:val="0"/>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1">
    <w:lvl w:ilvl="0">
      <w:isLgl w:val="false"/>
      <w:lvlJc w:val="left"/>
      <w:lvlText w:val="第%1款"/>
      <w:numFmt w:val="chineseCountingThousand"/>
      <w:pPr>
        <w:pBdr/>
        <w:tabs>
          <w:tab w:val="num" w:leader="none" w:pos="0"/>
        </w:tabs>
        <w:spacing/>
        <w:ind w:firstLine="0" w:left="0"/>
      </w:pPr>
      <w:rPr>
        <w:rFonts w:ascii="宋體-繁" w:hAnsi="宋體-繁" w:eastAsia="宋體-繁" w:cs="宋體-繁"/>
        <w:b w:val="0"/>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2">
    <w:lvl w:ilvl="0">
      <w:isLgl w:val="false"/>
      <w:lvlJc w:val="left"/>
      <w:lvlText w:val="第%1款"/>
      <w:numFmt w:val="chineseCountingThousand"/>
      <w:pPr>
        <w:pBdr/>
        <w:tabs>
          <w:tab w:val="num" w:leader="none" w:pos="0"/>
        </w:tabs>
        <w:spacing/>
        <w:ind w:firstLine="0" w:left="0"/>
      </w:pPr>
      <w:rPr>
        <w:rFonts w:ascii="宋體-繁" w:hAnsi="宋體-繁" w:eastAsia="宋體-繁" w:cs="宋體-繁"/>
        <w:b w:val="0"/>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3">
    <w:lvl w:ilvl="0">
      <w:isLgl w:val="false"/>
      <w:lvlJc w:val="left"/>
      <w:lvlText w:val="第%1節"/>
      <w:numFmt w:val="chineseCountingThousand"/>
      <w:pPr>
        <w:pBdr/>
        <w:tabs>
          <w:tab w:val="num" w:leader="none" w:pos="0"/>
        </w:tabs>
        <w:spacing/>
        <w:ind w:firstLine="0" w:left="0"/>
      </w:pPr>
      <w:rPr>
        <w:rFonts w:ascii="宋體-繁" w:hAnsi="宋體-繁" w:eastAsia="宋體-繁" w:cs="宋體-繁"/>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4">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5">
    <w:lvl w:ilvl="0">
      <w:isLgl w:val="false"/>
      <w:lvlJc w:val="left"/>
      <w:lvlText w:val="第%1節"/>
      <w:numFmt w:val="chineseCountingThousand"/>
      <w:pPr>
        <w:pBdr/>
        <w:tabs>
          <w:tab w:val="num" w:leader="none" w:pos="0"/>
        </w:tabs>
        <w:spacing/>
        <w:ind w:firstLine="0" w:left="0"/>
      </w:pPr>
      <w:rPr>
        <w:rFonts w:ascii="宋體-繁" w:hAnsi="宋體-繁" w:eastAsia="宋體-繁" w:cs="宋體-繁"/>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6">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7">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9">
    <w:lvl w:ilvl="0">
      <w:isLgl w:val="false"/>
      <w:lvlJc w:val="left"/>
      <w:lvlText w:val="第%1節"/>
      <w:numFmt w:val="chineseCountingThousand"/>
      <w:pPr>
        <w:pBdr/>
        <w:tabs>
          <w:tab w:val="num" w:leader="none" w:pos="0"/>
        </w:tabs>
        <w:spacing/>
        <w:ind w:firstLine="0" w:left="0"/>
      </w:pPr>
      <w:rPr>
        <w:rFonts w:ascii="宋體-繁" w:hAnsi="宋體-繁" w:eastAsia="宋體-繁" w:cs="宋體-繁"/>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0">
    <w:lvl w:ilvl="0">
      <w:isLgl w:val="false"/>
      <w:lvlJc w:val="left"/>
      <w:lvlText w:val="第%1條"/>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1">
    <w:lvl w:ilvl="0">
      <w:isLgl w:val="false"/>
      <w:lvlJc w:val="left"/>
      <w:lvlText w:val="第%1款"/>
      <w:numFmt w:val="chineseCountingThousand"/>
      <w:pPr>
        <w:pBdr/>
        <w:tabs>
          <w:tab w:val="num" w:leader="none" w:pos="0"/>
        </w:tabs>
        <w:spacing/>
        <w:ind w:firstLine="0" w:left="0"/>
      </w:pPr>
      <w:rPr>
        <w:rFonts w:ascii="宋體-繁" w:hAnsi="宋體-繁" w:eastAsia="宋體-繁" w:cs="宋體-繁"/>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2">
    <w:lvl w:ilvl="0">
      <w:isLgl w:val="false"/>
      <w:lvlJc w:val="left"/>
      <w:lvlText w:val="第%1款"/>
      <w:numFmt w:val="chineseCountingThousand"/>
      <w:pPr>
        <w:pBdr/>
        <w:tabs>
          <w:tab w:val="num" w:leader="none" w:pos="0"/>
        </w:tabs>
        <w:spacing/>
        <w:ind w:firstLine="0" w:left="0"/>
      </w:pPr>
      <w:rPr>
        <w:rFonts w:ascii="宋體-繁" w:hAnsi="宋體-繁" w:eastAsia="宋體-繁" w:cs="宋體-繁"/>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3">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4">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5">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6">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7">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8">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9">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0">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1">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2">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3">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4">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5">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6">
    <w:lvl w:ilvl="0">
      <w:isLgl w:val="false"/>
      <w:lvlJc w:val="left"/>
      <w:lvlText w:val="第%1款"/>
      <w:numFmt w:val="chineseCountingThousand"/>
      <w:pPr>
        <w:pBdr/>
        <w:tabs>
          <w:tab w:val="num" w:leader="none" w:pos="0"/>
        </w:tabs>
        <w:spacing/>
        <w:ind w:firstLine="0" w:left="0"/>
      </w:pPr>
      <w:rPr>
        <w:rFonts w:ascii="宋體-繁" w:hAnsi="宋體-繁" w:eastAsia="宋體-繁" w:cs="宋體-繁"/>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1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00">
    <w:name w:val="Table Grid"/>
    <w:basedOn w:val="13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Table Grid Light"/>
    <w:basedOn w:val="13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Plain Table 1"/>
    <w:basedOn w:val="13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Plain Table 2"/>
    <w:basedOn w:val="13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Plain Table 3"/>
    <w:basedOn w:val="13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Plain Table 4"/>
    <w:basedOn w:val="13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Plain Table 5"/>
    <w:basedOn w:val="13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Grid Table 1 Light"/>
    <w:basedOn w:val="13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Grid Table 1 Light - Accent 1"/>
    <w:basedOn w:val="13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Grid Table 1 Light - Accent 2"/>
    <w:basedOn w:val="13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1 Light - Accent 3"/>
    <w:basedOn w:val="13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Grid Table 1 Light - Accent 4"/>
    <w:basedOn w:val="13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Grid Table 1 Light - Accent 5"/>
    <w:basedOn w:val="13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1 Light - Accent 6"/>
    <w:basedOn w:val="13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2"/>
    <w:basedOn w:val="13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2 - Accent 1"/>
    <w:basedOn w:val="13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2 - Accent 2"/>
    <w:basedOn w:val="13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2 - Accent 3"/>
    <w:basedOn w:val="13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2 - Accent 4"/>
    <w:basedOn w:val="13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2 - Accent 5"/>
    <w:basedOn w:val="13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2 - Accent 6"/>
    <w:basedOn w:val="13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3"/>
    <w:basedOn w:val="13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3 - Accent 1"/>
    <w:basedOn w:val="13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3 - Accent 2"/>
    <w:basedOn w:val="13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3 - Accent 3"/>
    <w:basedOn w:val="13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3 - Accent 4"/>
    <w:basedOn w:val="13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3 - Accent 5"/>
    <w:basedOn w:val="13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3 - Accent 6"/>
    <w:basedOn w:val="13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4"/>
    <w:basedOn w:val="13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4 - Accent 1"/>
    <w:basedOn w:val="13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4 - Accent 2"/>
    <w:basedOn w:val="13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4 - Accent 3"/>
    <w:basedOn w:val="13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4 - Accent 4"/>
    <w:basedOn w:val="13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4 - Accent 5"/>
    <w:basedOn w:val="13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4 - Accent 6"/>
    <w:basedOn w:val="13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5 Dark"/>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5 Dark- Accent 1"/>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5 Dark - Accent 2"/>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5 Dark - Accent 3"/>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5 Dark- Accent 4"/>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5 Dark - Accent 5"/>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5 Dark - Accent 6"/>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6 Colorful"/>
    <w:basedOn w:val="13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43">
    <w:name w:val="Grid Table 6 Colorful - Accent 1"/>
    <w:basedOn w:val="13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44">
    <w:name w:val="Grid Table 6 Colorful - Accent 2"/>
    <w:basedOn w:val="13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45">
    <w:name w:val="Grid Table 6 Colorful - Accent 3"/>
    <w:basedOn w:val="13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46">
    <w:name w:val="Grid Table 6 Colorful - Accent 4"/>
    <w:basedOn w:val="13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47">
    <w:name w:val="Grid Table 6 Colorful - Accent 5"/>
    <w:basedOn w:val="13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48">
    <w:name w:val="Grid Table 6 Colorful - Accent 6"/>
    <w:basedOn w:val="13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49">
    <w:name w:val="Grid Table 7 Colorful"/>
    <w:basedOn w:val="13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7 Colorful - Accent 1"/>
    <w:basedOn w:val="13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7 Colorful - Accent 2"/>
    <w:basedOn w:val="13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7 Colorful - Accent 3"/>
    <w:basedOn w:val="13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7 Colorful - Accent 4"/>
    <w:basedOn w:val="13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7 Colorful - Accent 5"/>
    <w:basedOn w:val="13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7 Colorful - Accent 6"/>
    <w:basedOn w:val="13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st Table 1 Light"/>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st Table 1 Light - Accent 1"/>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List Table 1 Light - Accent 2"/>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List Table 1 Light - Accent 3"/>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List Table 1 Light - Accent 4"/>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List Table 1 Light - Accent 5"/>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1 Light - Accent 6"/>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2"/>
    <w:basedOn w:val="13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2 - Accent 1"/>
    <w:basedOn w:val="13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2 - Accent 2"/>
    <w:basedOn w:val="13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2 - Accent 3"/>
    <w:basedOn w:val="13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2 - Accent 4"/>
    <w:basedOn w:val="13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2 - Accent 5"/>
    <w:basedOn w:val="13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2 - Accent 6"/>
    <w:basedOn w:val="13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3"/>
    <w:basedOn w:val="13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3 - Accent 1"/>
    <w:basedOn w:val="13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3 - Accent 2"/>
    <w:basedOn w:val="13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3 - Accent 3"/>
    <w:basedOn w:val="13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3 - Accent 4"/>
    <w:basedOn w:val="13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3 - Accent 5"/>
    <w:basedOn w:val="13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3 - Accent 6"/>
    <w:basedOn w:val="13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4"/>
    <w:basedOn w:val="13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4 - Accent 1"/>
    <w:basedOn w:val="13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4 - Accent 2"/>
    <w:basedOn w:val="13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4 - Accent 3"/>
    <w:basedOn w:val="13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4 - Accent 4"/>
    <w:basedOn w:val="13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4 - Accent 5"/>
    <w:basedOn w:val="13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4 - Accent 6"/>
    <w:basedOn w:val="13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5 Dark"/>
    <w:basedOn w:val="13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5">
    <w:name w:val="List Table 5 Dark - Accent 1"/>
    <w:basedOn w:val="13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6">
    <w:name w:val="List Table 5 Dark - Accent 2"/>
    <w:basedOn w:val="13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7">
    <w:name w:val="List Table 5 Dark - Accent 3"/>
    <w:basedOn w:val="13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8">
    <w:name w:val="List Table 5 Dark - Accent 4"/>
    <w:basedOn w:val="13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9">
    <w:name w:val="List Table 5 Dark - Accent 5"/>
    <w:basedOn w:val="13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90">
    <w:name w:val="List Table 5 Dark - Accent 6"/>
    <w:basedOn w:val="13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91">
    <w:name w:val="List Table 6 Colorful"/>
    <w:basedOn w:val="13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6 Colorful - Accent 1"/>
    <w:basedOn w:val="13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6 Colorful - Accent 2"/>
    <w:basedOn w:val="13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6 Colorful - Accent 3"/>
    <w:basedOn w:val="13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6 Colorful - Accent 4"/>
    <w:basedOn w:val="13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6 Colorful - Accent 5"/>
    <w:basedOn w:val="13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6 Colorful - Accent 6"/>
    <w:basedOn w:val="13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7 Colorful"/>
    <w:basedOn w:val="13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99">
    <w:name w:val="List Table 7 Colorful - Accent 1"/>
    <w:basedOn w:val="13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00">
    <w:name w:val="List Table 7 Colorful - Accent 2"/>
    <w:basedOn w:val="13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01">
    <w:name w:val="List Table 7 Colorful - Accent 3"/>
    <w:basedOn w:val="13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02">
    <w:name w:val="List Table 7 Colorful - Accent 4"/>
    <w:basedOn w:val="13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03">
    <w:name w:val="List Table 7 Colorful - Accent 5"/>
    <w:basedOn w:val="13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04">
    <w:name w:val="List Table 7 Colorful - Accent 6"/>
    <w:basedOn w:val="13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05">
    <w:name w:val="Lined - Accent"/>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ned - Accent 1"/>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ned - Accent 2"/>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ned - Accent 3"/>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ned - Accent 4"/>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ned - Accent 5"/>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ned - Accent 6"/>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Bordered &amp; Lined - Accent"/>
    <w:basedOn w:val="13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Bordered &amp; Lined - Accent 1"/>
    <w:basedOn w:val="13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Bordered &amp; Lined - Accent 2"/>
    <w:basedOn w:val="13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Bordered &amp; Lined - Accent 3"/>
    <w:basedOn w:val="13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Bordered &amp; Lined - Accent 4"/>
    <w:basedOn w:val="13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Bordered &amp; Lined - Accent 5"/>
    <w:basedOn w:val="13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Bordered &amp; Lined - Accent 6"/>
    <w:basedOn w:val="13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Bordered"/>
    <w:basedOn w:val="13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Bordered - Accent 1"/>
    <w:basedOn w:val="13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Bordered - Accent 2"/>
    <w:basedOn w:val="13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Bordered - Accent 3"/>
    <w:basedOn w:val="13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 Accent 4"/>
    <w:basedOn w:val="13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Bordered - Accent 5"/>
    <w:basedOn w:val="13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 Accent 6"/>
    <w:basedOn w:val="13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6">
    <w:name w:val="Heading 2"/>
    <w:basedOn w:val="1179"/>
    <w:next w:val="1179"/>
    <w:link w:val="11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27">
    <w:name w:val="Heading 3"/>
    <w:basedOn w:val="1179"/>
    <w:next w:val="1179"/>
    <w:link w:val="11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28">
    <w:name w:val="Heading 4"/>
    <w:basedOn w:val="1179"/>
    <w:next w:val="1179"/>
    <w:link w:val="11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29">
    <w:name w:val="Heading 5"/>
    <w:basedOn w:val="1179"/>
    <w:next w:val="1179"/>
    <w:link w:val="11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30">
    <w:name w:val="Heading 6"/>
    <w:basedOn w:val="1179"/>
    <w:next w:val="1179"/>
    <w:link w:val="11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31">
    <w:name w:val="Heading 7"/>
    <w:basedOn w:val="1179"/>
    <w:next w:val="1179"/>
    <w:link w:val="11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32">
    <w:name w:val="Heading 8"/>
    <w:basedOn w:val="1179"/>
    <w:next w:val="1179"/>
    <w:link w:val="11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33">
    <w:name w:val="Heading 9"/>
    <w:basedOn w:val="1179"/>
    <w:next w:val="1179"/>
    <w:link w:val="11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34" w:default="1">
    <w:name w:val="No List"/>
    <w:uiPriority w:val="99"/>
    <w:semiHidden/>
    <w:unhideWhenUsed/>
    <w:pPr>
      <w:pBdr/>
      <w:spacing/>
      <w:ind/>
    </w:pPr>
  </w:style>
  <w:style w:type="character" w:styleId="1135">
    <w:name w:val="Heading 1 Char"/>
    <w:basedOn w:val="1181"/>
    <w:link w:val="1180"/>
    <w:uiPriority w:val="9"/>
    <w:pPr>
      <w:pBdr/>
      <w:spacing/>
      <w:ind/>
    </w:pPr>
    <w:rPr>
      <w:rFonts w:ascii="Arial" w:hAnsi="Arial" w:eastAsia="Arial" w:cs="Arial"/>
      <w:color w:val="0f4761" w:themeColor="accent1" w:themeShade="BF"/>
      <w:sz w:val="40"/>
      <w:szCs w:val="40"/>
    </w:rPr>
  </w:style>
  <w:style w:type="character" w:styleId="1136">
    <w:name w:val="Heading 2 Char"/>
    <w:basedOn w:val="1181"/>
    <w:link w:val="1126"/>
    <w:uiPriority w:val="9"/>
    <w:pPr>
      <w:pBdr/>
      <w:spacing/>
      <w:ind/>
    </w:pPr>
    <w:rPr>
      <w:rFonts w:ascii="Arial" w:hAnsi="Arial" w:eastAsia="Arial" w:cs="Arial"/>
      <w:color w:val="0f4761" w:themeColor="accent1" w:themeShade="BF"/>
      <w:sz w:val="32"/>
      <w:szCs w:val="32"/>
    </w:rPr>
  </w:style>
  <w:style w:type="character" w:styleId="1137">
    <w:name w:val="Heading 3 Char"/>
    <w:basedOn w:val="1181"/>
    <w:link w:val="1127"/>
    <w:uiPriority w:val="9"/>
    <w:pPr>
      <w:pBdr/>
      <w:spacing/>
      <w:ind/>
    </w:pPr>
    <w:rPr>
      <w:rFonts w:ascii="Arial" w:hAnsi="Arial" w:eastAsia="Arial" w:cs="Arial"/>
      <w:color w:val="0f4761" w:themeColor="accent1" w:themeShade="BF"/>
      <w:sz w:val="28"/>
      <w:szCs w:val="28"/>
    </w:rPr>
  </w:style>
  <w:style w:type="character" w:styleId="1138">
    <w:name w:val="Heading 4 Char"/>
    <w:basedOn w:val="1181"/>
    <w:link w:val="1128"/>
    <w:uiPriority w:val="9"/>
    <w:pPr>
      <w:pBdr/>
      <w:spacing/>
      <w:ind/>
    </w:pPr>
    <w:rPr>
      <w:rFonts w:ascii="Arial" w:hAnsi="Arial" w:eastAsia="Arial" w:cs="Arial"/>
      <w:i/>
      <w:iCs/>
      <w:color w:val="0f4761" w:themeColor="accent1" w:themeShade="BF"/>
    </w:rPr>
  </w:style>
  <w:style w:type="character" w:styleId="1139">
    <w:name w:val="Heading 5 Char"/>
    <w:basedOn w:val="1181"/>
    <w:link w:val="1129"/>
    <w:uiPriority w:val="9"/>
    <w:pPr>
      <w:pBdr/>
      <w:spacing/>
      <w:ind/>
    </w:pPr>
    <w:rPr>
      <w:rFonts w:ascii="Arial" w:hAnsi="Arial" w:eastAsia="Arial" w:cs="Arial"/>
      <w:color w:val="0f4761" w:themeColor="accent1" w:themeShade="BF"/>
    </w:rPr>
  </w:style>
  <w:style w:type="character" w:styleId="1140">
    <w:name w:val="Heading 6 Char"/>
    <w:basedOn w:val="1181"/>
    <w:link w:val="1130"/>
    <w:uiPriority w:val="9"/>
    <w:pPr>
      <w:pBdr/>
      <w:spacing/>
      <w:ind/>
    </w:pPr>
    <w:rPr>
      <w:rFonts w:ascii="Arial" w:hAnsi="Arial" w:eastAsia="Arial" w:cs="Arial"/>
      <w:i/>
      <w:iCs/>
      <w:color w:val="595959" w:themeColor="text1" w:themeTint="A6"/>
    </w:rPr>
  </w:style>
  <w:style w:type="character" w:styleId="1141">
    <w:name w:val="Heading 7 Char"/>
    <w:basedOn w:val="1181"/>
    <w:link w:val="1131"/>
    <w:uiPriority w:val="9"/>
    <w:pPr>
      <w:pBdr/>
      <w:spacing/>
      <w:ind/>
    </w:pPr>
    <w:rPr>
      <w:rFonts w:ascii="Arial" w:hAnsi="Arial" w:eastAsia="Arial" w:cs="Arial"/>
      <w:color w:val="595959" w:themeColor="text1" w:themeTint="A6"/>
    </w:rPr>
  </w:style>
  <w:style w:type="character" w:styleId="1142">
    <w:name w:val="Heading 8 Char"/>
    <w:basedOn w:val="1181"/>
    <w:link w:val="1132"/>
    <w:uiPriority w:val="9"/>
    <w:pPr>
      <w:pBdr/>
      <w:spacing/>
      <w:ind/>
    </w:pPr>
    <w:rPr>
      <w:rFonts w:ascii="Arial" w:hAnsi="Arial" w:eastAsia="Arial" w:cs="Arial"/>
      <w:i/>
      <w:iCs/>
      <w:color w:val="272727" w:themeColor="text1" w:themeTint="D8"/>
    </w:rPr>
  </w:style>
  <w:style w:type="character" w:styleId="1143">
    <w:name w:val="Heading 9 Char"/>
    <w:basedOn w:val="1181"/>
    <w:link w:val="1133"/>
    <w:uiPriority w:val="9"/>
    <w:pPr>
      <w:pBdr/>
      <w:spacing/>
      <w:ind/>
    </w:pPr>
    <w:rPr>
      <w:rFonts w:ascii="Arial" w:hAnsi="Arial" w:eastAsia="Arial" w:cs="Arial"/>
      <w:i/>
      <w:iCs/>
      <w:color w:val="272727" w:themeColor="text1" w:themeTint="D8"/>
    </w:rPr>
  </w:style>
  <w:style w:type="paragraph" w:styleId="1144">
    <w:name w:val="Title"/>
    <w:basedOn w:val="1179"/>
    <w:next w:val="1179"/>
    <w:link w:val="1145"/>
    <w:uiPriority w:val="10"/>
    <w:qFormat/>
    <w:pPr>
      <w:pBdr/>
      <w:spacing w:after="80" w:line="240" w:lineRule="auto"/>
      <w:ind/>
      <w:contextualSpacing w:val="true"/>
    </w:pPr>
    <w:rPr>
      <w:rFonts w:ascii="Arial" w:hAnsi="Arial" w:eastAsia="Arial" w:cs="Arial"/>
      <w:spacing w:val="-10"/>
      <w:sz w:val="56"/>
      <w:szCs w:val="56"/>
    </w:rPr>
  </w:style>
  <w:style w:type="character" w:styleId="1145">
    <w:name w:val="Title Char"/>
    <w:basedOn w:val="1181"/>
    <w:link w:val="1144"/>
    <w:uiPriority w:val="10"/>
    <w:pPr>
      <w:pBdr/>
      <w:spacing/>
      <w:ind/>
    </w:pPr>
    <w:rPr>
      <w:rFonts w:ascii="Arial" w:hAnsi="Arial" w:eastAsia="Arial" w:cs="Arial"/>
      <w:spacing w:val="-10"/>
      <w:sz w:val="56"/>
      <w:szCs w:val="56"/>
    </w:rPr>
  </w:style>
  <w:style w:type="paragraph" w:styleId="1146">
    <w:name w:val="Subtitle"/>
    <w:basedOn w:val="1179"/>
    <w:next w:val="1179"/>
    <w:link w:val="1147"/>
    <w:uiPriority w:val="11"/>
    <w:qFormat/>
    <w:pPr>
      <w:numPr>
        <w:ilvl w:val="1"/>
      </w:numPr>
      <w:pBdr/>
      <w:spacing/>
      <w:ind/>
    </w:pPr>
    <w:rPr>
      <w:color w:val="595959" w:themeColor="text1" w:themeTint="A6"/>
      <w:spacing w:val="15"/>
      <w:sz w:val="28"/>
      <w:szCs w:val="28"/>
    </w:rPr>
  </w:style>
  <w:style w:type="character" w:styleId="1147">
    <w:name w:val="Subtitle Char"/>
    <w:basedOn w:val="1181"/>
    <w:link w:val="1146"/>
    <w:uiPriority w:val="11"/>
    <w:pPr>
      <w:pBdr/>
      <w:spacing/>
      <w:ind/>
    </w:pPr>
    <w:rPr>
      <w:color w:val="595959" w:themeColor="text1" w:themeTint="A6"/>
      <w:spacing w:val="15"/>
      <w:sz w:val="28"/>
      <w:szCs w:val="28"/>
    </w:rPr>
  </w:style>
  <w:style w:type="paragraph" w:styleId="1148">
    <w:name w:val="Quote"/>
    <w:basedOn w:val="1179"/>
    <w:next w:val="1179"/>
    <w:link w:val="1149"/>
    <w:uiPriority w:val="29"/>
    <w:qFormat/>
    <w:pPr>
      <w:pBdr/>
      <w:spacing w:before="160"/>
      <w:ind/>
      <w:jc w:val="center"/>
    </w:pPr>
    <w:rPr>
      <w:i/>
      <w:iCs/>
      <w:color w:val="404040" w:themeColor="text1" w:themeTint="BF"/>
    </w:rPr>
  </w:style>
  <w:style w:type="character" w:styleId="1149">
    <w:name w:val="Quote Char"/>
    <w:basedOn w:val="1181"/>
    <w:link w:val="1148"/>
    <w:uiPriority w:val="29"/>
    <w:pPr>
      <w:pBdr/>
      <w:spacing/>
      <w:ind/>
    </w:pPr>
    <w:rPr>
      <w:i/>
      <w:iCs/>
      <w:color w:val="404040" w:themeColor="text1" w:themeTint="BF"/>
    </w:rPr>
  </w:style>
  <w:style w:type="paragraph" w:styleId="1150">
    <w:name w:val="List Paragraph"/>
    <w:basedOn w:val="1179"/>
    <w:uiPriority w:val="34"/>
    <w:qFormat/>
    <w:pPr>
      <w:pBdr/>
      <w:spacing/>
      <w:ind w:left="720"/>
      <w:contextualSpacing w:val="true"/>
    </w:pPr>
  </w:style>
  <w:style w:type="character" w:styleId="1151">
    <w:name w:val="Intense Emphasis"/>
    <w:basedOn w:val="1181"/>
    <w:uiPriority w:val="21"/>
    <w:qFormat/>
    <w:pPr>
      <w:pBdr/>
      <w:spacing/>
      <w:ind/>
    </w:pPr>
    <w:rPr>
      <w:i/>
      <w:iCs/>
      <w:color w:val="0f4761" w:themeColor="accent1" w:themeShade="BF"/>
    </w:rPr>
  </w:style>
  <w:style w:type="paragraph" w:styleId="1152">
    <w:name w:val="Intense Quote"/>
    <w:basedOn w:val="1179"/>
    <w:next w:val="1179"/>
    <w:link w:val="115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153">
    <w:name w:val="Intense Quote Char"/>
    <w:basedOn w:val="1181"/>
    <w:link w:val="1152"/>
    <w:uiPriority w:val="30"/>
    <w:pPr>
      <w:pBdr/>
      <w:spacing/>
      <w:ind/>
    </w:pPr>
    <w:rPr>
      <w:i/>
      <w:iCs/>
      <w:color w:val="0f4761" w:themeColor="accent1" w:themeShade="BF"/>
    </w:rPr>
  </w:style>
  <w:style w:type="character" w:styleId="1154">
    <w:name w:val="Intense Reference"/>
    <w:basedOn w:val="1181"/>
    <w:uiPriority w:val="32"/>
    <w:qFormat/>
    <w:pPr>
      <w:pBdr/>
      <w:spacing/>
      <w:ind/>
    </w:pPr>
    <w:rPr>
      <w:b/>
      <w:bCs/>
      <w:smallCaps/>
      <w:color w:val="0f4761" w:themeColor="accent1" w:themeShade="BF"/>
      <w:spacing w:val="5"/>
    </w:rPr>
  </w:style>
  <w:style w:type="paragraph" w:styleId="1155">
    <w:name w:val="No Spacing"/>
    <w:basedOn w:val="1179"/>
    <w:uiPriority w:val="1"/>
    <w:qFormat/>
    <w:pPr>
      <w:pBdr/>
      <w:spacing w:after="0" w:line="240" w:lineRule="auto"/>
      <w:ind/>
    </w:pPr>
  </w:style>
  <w:style w:type="character" w:styleId="1156">
    <w:name w:val="Subtle Emphasis"/>
    <w:basedOn w:val="1181"/>
    <w:uiPriority w:val="19"/>
    <w:qFormat/>
    <w:pPr>
      <w:pBdr/>
      <w:spacing/>
      <w:ind/>
    </w:pPr>
    <w:rPr>
      <w:i/>
      <w:iCs/>
      <w:color w:val="404040" w:themeColor="text1" w:themeTint="BF"/>
    </w:rPr>
  </w:style>
  <w:style w:type="character" w:styleId="1157">
    <w:name w:val="Emphasis"/>
    <w:basedOn w:val="1181"/>
    <w:uiPriority w:val="20"/>
    <w:qFormat/>
    <w:pPr>
      <w:pBdr/>
      <w:spacing/>
      <w:ind/>
    </w:pPr>
    <w:rPr>
      <w:i/>
      <w:iCs/>
    </w:rPr>
  </w:style>
  <w:style w:type="character" w:styleId="1158">
    <w:name w:val="Strong"/>
    <w:basedOn w:val="1181"/>
    <w:uiPriority w:val="22"/>
    <w:qFormat/>
    <w:pPr>
      <w:pBdr/>
      <w:spacing/>
      <w:ind/>
    </w:pPr>
    <w:rPr>
      <w:b/>
      <w:bCs/>
    </w:rPr>
  </w:style>
  <w:style w:type="character" w:styleId="1159">
    <w:name w:val="Subtle Reference"/>
    <w:basedOn w:val="1181"/>
    <w:uiPriority w:val="31"/>
    <w:qFormat/>
    <w:pPr>
      <w:pBdr/>
      <w:spacing/>
      <w:ind/>
    </w:pPr>
    <w:rPr>
      <w:smallCaps/>
      <w:color w:val="5a5a5a" w:themeColor="text1" w:themeTint="A5"/>
    </w:rPr>
  </w:style>
  <w:style w:type="character" w:styleId="1160">
    <w:name w:val="Book Title"/>
    <w:basedOn w:val="1181"/>
    <w:uiPriority w:val="33"/>
    <w:qFormat/>
    <w:pPr>
      <w:pBdr/>
      <w:spacing/>
      <w:ind/>
    </w:pPr>
    <w:rPr>
      <w:b/>
      <w:bCs/>
      <w:i/>
      <w:iCs/>
      <w:spacing w:val="5"/>
    </w:rPr>
  </w:style>
  <w:style w:type="character" w:styleId="1161">
    <w:name w:val="Header Char"/>
    <w:basedOn w:val="1181"/>
    <w:link w:val="1200"/>
    <w:uiPriority w:val="99"/>
    <w:pPr>
      <w:pBdr/>
      <w:spacing/>
      <w:ind/>
    </w:pPr>
  </w:style>
  <w:style w:type="character" w:styleId="1162">
    <w:name w:val="Footer Char"/>
    <w:basedOn w:val="1181"/>
    <w:link w:val="1199"/>
    <w:uiPriority w:val="99"/>
    <w:pPr>
      <w:pBdr/>
      <w:spacing/>
      <w:ind/>
    </w:pPr>
  </w:style>
  <w:style w:type="paragraph" w:styleId="1163">
    <w:name w:val="footnote text"/>
    <w:basedOn w:val="1179"/>
    <w:link w:val="1164"/>
    <w:uiPriority w:val="99"/>
    <w:semiHidden/>
    <w:unhideWhenUsed/>
    <w:pPr>
      <w:pBdr/>
      <w:spacing w:after="0" w:line="240" w:lineRule="auto"/>
      <w:ind/>
    </w:pPr>
    <w:rPr>
      <w:sz w:val="20"/>
      <w:szCs w:val="20"/>
    </w:rPr>
  </w:style>
  <w:style w:type="character" w:styleId="1164">
    <w:name w:val="Footnote Text Char"/>
    <w:basedOn w:val="1181"/>
    <w:link w:val="1163"/>
    <w:uiPriority w:val="99"/>
    <w:semiHidden/>
    <w:pPr>
      <w:pBdr/>
      <w:spacing/>
      <w:ind/>
    </w:pPr>
    <w:rPr>
      <w:sz w:val="20"/>
      <w:szCs w:val="20"/>
    </w:rPr>
  </w:style>
  <w:style w:type="character" w:styleId="1165">
    <w:name w:val="footnote reference"/>
    <w:basedOn w:val="1181"/>
    <w:uiPriority w:val="99"/>
    <w:semiHidden/>
    <w:unhideWhenUsed/>
    <w:pPr>
      <w:pBdr/>
      <w:spacing/>
      <w:ind/>
    </w:pPr>
    <w:rPr>
      <w:vertAlign w:val="superscript"/>
    </w:rPr>
  </w:style>
  <w:style w:type="paragraph" w:styleId="1166">
    <w:name w:val="endnote text"/>
    <w:basedOn w:val="1179"/>
    <w:link w:val="1167"/>
    <w:uiPriority w:val="99"/>
    <w:semiHidden/>
    <w:unhideWhenUsed/>
    <w:pPr>
      <w:pBdr/>
      <w:spacing w:after="0" w:line="240" w:lineRule="auto"/>
      <w:ind/>
    </w:pPr>
    <w:rPr>
      <w:sz w:val="20"/>
      <w:szCs w:val="20"/>
    </w:rPr>
  </w:style>
  <w:style w:type="character" w:styleId="1167">
    <w:name w:val="Endnote Text Char"/>
    <w:basedOn w:val="1181"/>
    <w:link w:val="1166"/>
    <w:uiPriority w:val="99"/>
    <w:semiHidden/>
    <w:pPr>
      <w:pBdr/>
      <w:spacing/>
      <w:ind/>
    </w:pPr>
    <w:rPr>
      <w:sz w:val="20"/>
      <w:szCs w:val="20"/>
    </w:rPr>
  </w:style>
  <w:style w:type="character" w:styleId="1168">
    <w:name w:val="endnote reference"/>
    <w:basedOn w:val="1181"/>
    <w:uiPriority w:val="99"/>
    <w:semiHidden/>
    <w:unhideWhenUsed/>
    <w:pPr>
      <w:pBdr/>
      <w:spacing/>
      <w:ind/>
    </w:pPr>
    <w:rPr>
      <w:vertAlign w:val="superscript"/>
    </w:rPr>
  </w:style>
  <w:style w:type="character" w:styleId="1169">
    <w:name w:val="FollowedHyperlink"/>
    <w:basedOn w:val="1181"/>
    <w:uiPriority w:val="99"/>
    <w:semiHidden/>
    <w:unhideWhenUsed/>
    <w:pPr>
      <w:pBdr/>
      <w:spacing/>
      <w:ind/>
    </w:pPr>
    <w:rPr>
      <w:color w:val="954f72" w:themeColor="followedHyperlink"/>
      <w:u w:val="single"/>
    </w:rPr>
  </w:style>
  <w:style w:type="paragraph" w:styleId="1170">
    <w:name w:val="toc 3"/>
    <w:basedOn w:val="1179"/>
    <w:next w:val="1179"/>
    <w:uiPriority w:val="39"/>
    <w:unhideWhenUsed/>
    <w:pPr>
      <w:pBdr/>
      <w:spacing w:after="100"/>
      <w:ind w:left="440"/>
    </w:pPr>
  </w:style>
  <w:style w:type="paragraph" w:styleId="1171">
    <w:name w:val="toc 4"/>
    <w:basedOn w:val="1179"/>
    <w:next w:val="1179"/>
    <w:uiPriority w:val="39"/>
    <w:unhideWhenUsed/>
    <w:pPr>
      <w:pBdr/>
      <w:spacing w:after="100"/>
      <w:ind w:left="660"/>
    </w:pPr>
  </w:style>
  <w:style w:type="paragraph" w:styleId="1172">
    <w:name w:val="toc 5"/>
    <w:basedOn w:val="1179"/>
    <w:next w:val="1179"/>
    <w:uiPriority w:val="39"/>
    <w:unhideWhenUsed/>
    <w:pPr>
      <w:pBdr/>
      <w:spacing w:after="100"/>
      <w:ind w:left="880"/>
    </w:pPr>
  </w:style>
  <w:style w:type="paragraph" w:styleId="1173">
    <w:name w:val="toc 6"/>
    <w:basedOn w:val="1179"/>
    <w:next w:val="1179"/>
    <w:uiPriority w:val="39"/>
    <w:unhideWhenUsed/>
    <w:pPr>
      <w:pBdr/>
      <w:spacing w:after="100"/>
      <w:ind w:left="1100"/>
    </w:pPr>
  </w:style>
  <w:style w:type="paragraph" w:styleId="1174">
    <w:name w:val="toc 7"/>
    <w:basedOn w:val="1179"/>
    <w:next w:val="1179"/>
    <w:uiPriority w:val="39"/>
    <w:unhideWhenUsed/>
    <w:pPr>
      <w:pBdr/>
      <w:spacing w:after="100"/>
      <w:ind w:left="1320"/>
    </w:pPr>
  </w:style>
  <w:style w:type="paragraph" w:styleId="1175">
    <w:name w:val="toc 8"/>
    <w:basedOn w:val="1179"/>
    <w:next w:val="1179"/>
    <w:uiPriority w:val="39"/>
    <w:unhideWhenUsed/>
    <w:pPr>
      <w:pBdr/>
      <w:spacing w:after="100"/>
      <w:ind w:left="1540"/>
    </w:pPr>
  </w:style>
  <w:style w:type="paragraph" w:styleId="1176">
    <w:name w:val="toc 9"/>
    <w:basedOn w:val="1179"/>
    <w:next w:val="1179"/>
    <w:uiPriority w:val="39"/>
    <w:unhideWhenUsed/>
    <w:pPr>
      <w:pBdr/>
      <w:spacing w:after="100"/>
      <w:ind w:left="1760"/>
    </w:pPr>
  </w:style>
  <w:style w:type="paragraph" w:styleId="1177">
    <w:name w:val="TOC Heading"/>
    <w:uiPriority w:val="39"/>
    <w:unhideWhenUsed/>
    <w:pPr>
      <w:pBdr/>
      <w:spacing/>
      <w:ind/>
    </w:pPr>
  </w:style>
  <w:style w:type="paragraph" w:styleId="1178">
    <w:name w:val="table of figures"/>
    <w:basedOn w:val="1179"/>
    <w:next w:val="1179"/>
    <w:uiPriority w:val="99"/>
    <w:unhideWhenUsed/>
    <w:pPr>
      <w:pBdr/>
      <w:spacing w:after="0" w:afterAutospacing="0"/>
      <w:ind/>
    </w:pPr>
  </w:style>
  <w:style w:type="paragraph" w:styleId="1179"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180">
    <w:name w:val="Heading 1"/>
    <w:basedOn w:val="1179"/>
    <w:next w:val="1179"/>
    <w:uiPriority w:val="9"/>
    <w:qFormat/>
    <w:pPr>
      <w:keepNext w:val="true"/>
      <w:keepLines w:val="true"/>
      <w:pBdr/>
      <w:spacing w:after="330" w:before="340" w:line="578" w:lineRule="auto"/>
      <w:ind/>
      <w:outlineLvl w:val="0"/>
    </w:pPr>
    <w:rPr>
      <w:b/>
      <w:bCs/>
      <w:sz w:val="48"/>
      <w:szCs w:val="44"/>
    </w:rPr>
  </w:style>
  <w:style w:type="character" w:styleId="1181" w:default="1">
    <w:name w:val="Default Paragraph Font"/>
    <w:uiPriority w:val="1"/>
    <w:semiHidden/>
    <w:unhideWhenUsed/>
    <w:qFormat/>
    <w:pPr>
      <w:pBdr/>
      <w:spacing/>
      <w:ind/>
    </w:pPr>
  </w:style>
  <w:style w:type="character" w:styleId="1182" w:customStyle="1">
    <w:name w:val="标题 1 字符"/>
    <w:basedOn w:val="1181"/>
    <w:uiPriority w:val="9"/>
    <w:qFormat/>
    <w:pPr>
      <w:pBdr/>
      <w:spacing/>
      <w:ind/>
    </w:pPr>
    <w:rPr>
      <w:b/>
      <w:bCs/>
      <w:sz w:val="48"/>
      <w:szCs w:val="44"/>
    </w:rPr>
  </w:style>
  <w:style w:type="character" w:styleId="1183">
    <w:name w:val="Internet Link"/>
    <w:basedOn w:val="1181"/>
    <w:uiPriority w:val="99"/>
    <w:unhideWhenUsed/>
    <w:qFormat/>
    <w:pPr>
      <w:pBdr/>
      <w:spacing/>
      <w:ind/>
    </w:pPr>
    <w:rPr>
      <w:color w:val="0563c1" w:themeColor="hyperlink"/>
      <w:u w:val="single"/>
    </w:rPr>
  </w:style>
  <w:style w:type="character" w:styleId="1184">
    <w:name w:val="索引链接"/>
    <w:qFormat/>
    <w:pPr>
      <w:pBdr/>
      <w:spacing/>
      <w:ind/>
    </w:pPr>
  </w:style>
  <w:style w:type="character" w:styleId="1185">
    <w:name w:val="Internet Link1"/>
    <w:qFormat/>
    <w:pPr>
      <w:pBdr/>
      <w:spacing/>
      <w:ind/>
    </w:pPr>
    <w:rPr>
      <w:color w:val="000080"/>
      <w:u w:val="single"/>
    </w:rPr>
  </w:style>
  <w:style w:type="character" w:styleId="1186">
    <w:name w:val="Internet Link2"/>
    <w:qFormat/>
    <w:pPr>
      <w:pBdr/>
      <w:spacing/>
      <w:ind/>
    </w:pPr>
    <w:rPr>
      <w:color w:val="000080"/>
      <w:u w:val="single"/>
    </w:rPr>
  </w:style>
  <w:style w:type="character" w:styleId="1187">
    <w:name w:val="Internet Link3"/>
    <w:qFormat/>
    <w:pPr>
      <w:pBdr/>
      <w:spacing/>
      <w:ind/>
    </w:pPr>
    <w:rPr>
      <w:color w:val="000080"/>
      <w:u w:val="single"/>
    </w:rPr>
  </w:style>
  <w:style w:type="character" w:styleId="1188">
    <w:name w:val="Internet Link4"/>
    <w:qFormat/>
    <w:pPr>
      <w:pBdr/>
      <w:spacing/>
      <w:ind/>
    </w:pPr>
    <w:rPr>
      <w:color w:val="000080"/>
      <w:u w:val="single"/>
    </w:rPr>
  </w:style>
  <w:style w:type="character" w:styleId="1189">
    <w:name w:val="Internet Link5"/>
    <w:qFormat/>
    <w:pPr>
      <w:pBdr/>
      <w:spacing/>
      <w:ind/>
    </w:pPr>
    <w:rPr>
      <w:color w:val="000080"/>
      <w:u w:val="single"/>
    </w:rPr>
  </w:style>
  <w:style w:type="character" w:styleId="1190">
    <w:name w:val="Internet Link6"/>
    <w:qFormat/>
    <w:pPr>
      <w:pBdr/>
      <w:spacing/>
      <w:ind/>
    </w:pPr>
    <w:rPr>
      <w:color w:val="000080"/>
      <w:u w:val="single"/>
    </w:rPr>
  </w:style>
  <w:style w:type="character" w:styleId="1191">
    <w:name w:val="Hyperlink"/>
    <w:pPr>
      <w:pBdr/>
      <w:spacing/>
      <w:ind/>
    </w:pPr>
    <w:rPr>
      <w:color w:val="000080"/>
      <w:u w:val="single"/>
    </w:rPr>
  </w:style>
  <w:style w:type="paragraph" w:styleId="1192">
    <w:name w:val="标题样式"/>
    <w:basedOn w:val="1179"/>
    <w:next w:val="1193"/>
    <w:qFormat/>
    <w:pPr>
      <w:keepNext w:val="true"/>
      <w:pBdr/>
      <w:spacing w:after="120" w:before="240"/>
      <w:ind/>
    </w:pPr>
    <w:rPr>
      <w:rFonts w:ascii="Liberation Sans" w:hAnsi="Liberation Sans" w:eastAsia="Noto Sans CJK SC" w:cs="Noto Sans CJK SC"/>
      <w:sz w:val="28"/>
      <w:szCs w:val="28"/>
    </w:rPr>
  </w:style>
  <w:style w:type="paragraph" w:styleId="1193">
    <w:name w:val="Body Text"/>
    <w:basedOn w:val="1179"/>
    <w:pPr>
      <w:pBdr/>
      <w:spacing w:after="140" w:before="0" w:line="276" w:lineRule="auto"/>
      <w:ind/>
    </w:pPr>
  </w:style>
  <w:style w:type="paragraph" w:styleId="1194">
    <w:name w:val="List"/>
    <w:basedOn w:val="1193"/>
    <w:pPr>
      <w:pBdr/>
      <w:spacing/>
      <w:ind/>
    </w:pPr>
    <w:rPr>
      <w:rFonts w:cs="Noto Sans CJK SC"/>
    </w:rPr>
  </w:style>
  <w:style w:type="paragraph" w:styleId="1195">
    <w:name w:val="Caption"/>
    <w:basedOn w:val="1179"/>
    <w:qFormat/>
    <w:pPr>
      <w:suppressLineNumbers w:val="true"/>
      <w:pBdr/>
      <w:spacing w:after="120" w:before="120"/>
      <w:ind/>
    </w:pPr>
    <w:rPr>
      <w:rFonts w:cs="Noto Sans CJK SC"/>
      <w:i/>
      <w:iCs/>
      <w:sz w:val="24"/>
      <w:szCs w:val="24"/>
    </w:rPr>
  </w:style>
  <w:style w:type="paragraph" w:styleId="1196">
    <w:name w:val="索引"/>
    <w:basedOn w:val="1179"/>
    <w:qFormat/>
    <w:pPr>
      <w:suppressLineNumbers w:val="true"/>
      <w:pBdr/>
      <w:spacing/>
      <w:ind/>
    </w:pPr>
    <w:rPr>
      <w:rFonts w:cs="Noto Sans CJK SC"/>
    </w:rPr>
  </w:style>
  <w:style w:type="paragraph" w:styleId="1197">
    <w:name w:val="annotation text"/>
    <w:basedOn w:val="1179"/>
    <w:uiPriority w:val="99"/>
    <w:unhideWhenUsed/>
    <w:qFormat/>
    <w:pPr>
      <w:pBdr/>
      <w:spacing/>
      <w:ind/>
      <w:jc w:val="left"/>
    </w:pPr>
  </w:style>
  <w:style w:type="paragraph" w:styleId="1198">
    <w:name w:val="页眉与页脚"/>
    <w:basedOn w:val="1179"/>
    <w:qFormat/>
    <w:pPr>
      <w:pBdr/>
      <w:spacing/>
      <w:ind/>
    </w:pPr>
  </w:style>
  <w:style w:type="paragraph" w:styleId="1199">
    <w:name w:val="Footer"/>
    <w:basedOn w:val="1179"/>
    <w:uiPriority w:val="99"/>
    <w:unhideWhenUsed/>
    <w:qFormat/>
    <w:pPr>
      <w:pBdr/>
      <w:tabs>
        <w:tab w:val="clear" w:leader="none" w:pos="210"/>
        <w:tab w:val="center" w:leader="none" w:pos="4153"/>
        <w:tab w:val="right" w:leader="none" w:pos="8306"/>
      </w:tabs>
      <w:spacing/>
      <w:ind/>
      <w:jc w:val="left"/>
    </w:pPr>
    <w:rPr>
      <w:sz w:val="18"/>
    </w:rPr>
  </w:style>
  <w:style w:type="paragraph" w:styleId="1200">
    <w:name w:val="Header"/>
    <w:basedOn w:val="1179"/>
    <w:uiPriority w:val="99"/>
    <w:unhideWhenUsed/>
    <w:qFormat/>
    <w:pPr>
      <w:pBdr/>
      <w:tabs>
        <w:tab w:val="clear" w:leader="none" w:pos="210"/>
        <w:tab w:val="center" w:leader="none" w:pos="4153"/>
        <w:tab w:val="right" w:leader="none" w:pos="8306"/>
      </w:tabs>
      <w:spacing/>
      <w:ind/>
    </w:pPr>
    <w:rPr>
      <w:rFonts w:ascii="DejaVu Sans" w:hAnsi="DejaVu Sans"/>
      <w:sz w:val="18"/>
    </w:rPr>
  </w:style>
  <w:style w:type="paragraph" w:styleId="1201">
    <w:name w:val="toc 1"/>
    <w:basedOn w:val="1179"/>
    <w:next w:val="1179"/>
    <w:uiPriority w:val="39"/>
    <w:unhideWhenUsed/>
    <w:qFormat/>
    <w:pPr>
      <w:pBdr/>
      <w:spacing w:after="0" w:before="85"/>
      <w:ind/>
    </w:pPr>
  </w:style>
  <w:style w:type="paragraph" w:styleId="1202">
    <w:name w:val="toc 2"/>
    <w:basedOn w:val="1179"/>
    <w:next w:val="1179"/>
    <w:uiPriority w:val="39"/>
    <w:unhideWhenUsed/>
    <w:qFormat/>
    <w:pPr>
      <w:pBdr/>
      <w:spacing w:after="0" w:before="0"/>
      <w:ind w:firstLine="0" w:left="0"/>
    </w:pPr>
  </w:style>
  <w:style w:type="paragraph" w:styleId="1203" w:customStyle="1">
    <w:name w:val="列表段落1"/>
    <w:basedOn w:val="1179"/>
    <w:uiPriority w:val="34"/>
    <w:qFormat/>
    <w:pPr>
      <w:pBdr/>
      <w:spacing/>
      <w:ind w:firstLine="420"/>
    </w:pPr>
  </w:style>
  <w:style w:type="paragraph" w:styleId="1204">
    <w:name w:val="框架内容"/>
    <w:basedOn w:val="1179"/>
    <w:qFormat/>
    <w:pPr>
      <w:pBdr/>
      <w:spacing/>
      <w:ind/>
    </w:pPr>
  </w:style>
  <w:style w:type="paragraph" w:styleId="1205">
    <w:name w:val="Frame Contents"/>
    <w:basedOn w:val="1179"/>
    <w:qFormat/>
    <w:pPr>
      <w:pBdr/>
      <w:spacing/>
      <w:ind/>
    </w:pPr>
  </w:style>
  <w:style w:type="numbering" w:styleId="1206">
    <w:name w:val="无列表"/>
    <w:uiPriority w:val="99"/>
    <w:semiHidden/>
    <w:unhideWhenUsed/>
    <w:qFormat/>
    <w:pPr>
      <w:pBdr/>
      <w:spacing/>
      <w:ind/>
    </w:pPr>
  </w:style>
  <w:style w:type="numbering" w:styleId="1207" w:customStyle="1">
    <w:name w:val="当前列表1"/>
    <w:uiPriority w:val="99"/>
    <w:qFormat/>
    <w:pPr>
      <w:pBdr/>
      <w:spacing/>
      <w:ind/>
    </w:pPr>
  </w:style>
  <w:style w:type="numbering" w:styleId="1208" w:customStyle="1">
    <w:name w:val="当前列表2"/>
    <w:uiPriority w:val="99"/>
    <w:qFormat/>
    <w:pPr>
      <w:pBdr/>
      <w:spacing/>
      <w:ind/>
    </w:pPr>
  </w:style>
  <w:style w:type="numbering" w:styleId="1209" w:customStyle="1">
    <w:name w:val="当前列表3"/>
    <w:uiPriority w:val="99"/>
    <w:qFormat/>
    <w:pPr>
      <w:pBdr/>
      <w:spacing/>
      <w:ind/>
    </w:pPr>
  </w:style>
  <w:style w:type="numbering" w:styleId="1210" w:customStyle="1">
    <w:name w:val="当前列表4"/>
    <w:uiPriority w:val="99"/>
    <w:qFormat/>
    <w:pPr>
      <w:pBdr/>
      <w:spacing/>
      <w:ind/>
    </w:pPr>
  </w:style>
  <w:style w:type="numbering" w:styleId="1211" w:customStyle="1">
    <w:name w:val="当前列表5"/>
    <w:uiPriority w:val="99"/>
    <w:qFormat/>
    <w:pPr>
      <w:pBdr/>
      <w:spacing/>
      <w:ind/>
    </w:pPr>
  </w:style>
  <w:style w:type="numbering" w:styleId="1212" w:customStyle="1">
    <w:name w:val="当前列表6"/>
    <w:uiPriority w:val="99"/>
    <w:qFormat/>
    <w:pPr>
      <w:pBdr/>
      <w:spacing/>
      <w:ind/>
    </w:pPr>
  </w:style>
  <w:style w:type="numbering" w:styleId="1213" w:customStyle="1">
    <w:name w:val="当前列表7"/>
    <w:uiPriority w:val="99"/>
    <w:qFormat/>
    <w:pPr>
      <w:pBdr/>
      <w:spacing/>
      <w:ind/>
    </w:pPr>
  </w:style>
  <w:style w:type="numbering" w:styleId="1214" w:customStyle="1">
    <w:name w:val="当前列表8"/>
    <w:uiPriority w:val="99"/>
    <w:qFormat/>
    <w:pPr>
      <w:pBdr/>
      <w:spacing/>
      <w:ind/>
    </w:pPr>
  </w:style>
  <w:style w:type="numbering" w:styleId="1215" w:customStyle="1">
    <w:name w:val="当前列表9"/>
    <w:uiPriority w:val="99"/>
    <w:qFormat/>
    <w:pPr>
      <w:pBdr/>
      <w:spacing/>
      <w:ind/>
    </w:pPr>
  </w:style>
  <w:style w:type="numbering" w:styleId="1216" w:customStyle="1">
    <w:name w:val="当前列表10"/>
    <w:uiPriority w:val="99"/>
    <w:qFormat/>
    <w:pPr>
      <w:pBdr/>
      <w:spacing/>
      <w:ind/>
    </w:pPr>
  </w:style>
  <w:style w:type="numbering" w:styleId="1217" w:customStyle="1">
    <w:name w:val="当前列表11"/>
    <w:uiPriority w:val="99"/>
    <w:qFormat/>
    <w:pPr>
      <w:pBdr/>
      <w:spacing/>
      <w:ind/>
    </w:pPr>
  </w:style>
  <w:style w:type="numbering" w:styleId="1218" w:customStyle="1">
    <w:name w:val="当前列表12"/>
    <w:uiPriority w:val="99"/>
    <w:qFormat/>
    <w:pPr>
      <w:pBdr/>
      <w:spacing/>
      <w:ind/>
    </w:pPr>
  </w:style>
  <w:style w:type="numbering" w:styleId="1219" w:customStyle="1">
    <w:name w:val="当前列表13"/>
    <w:uiPriority w:val="99"/>
    <w:qFormat/>
    <w:pPr>
      <w:pBdr/>
      <w:spacing/>
      <w:ind/>
    </w:pPr>
  </w:style>
  <w:style w:type="numbering" w:styleId="1220" w:customStyle="1">
    <w:name w:val="当前列表14"/>
    <w:uiPriority w:val="99"/>
    <w:qFormat/>
    <w:pPr>
      <w:pBdr/>
      <w:spacing/>
      <w:ind/>
    </w:pPr>
  </w:style>
  <w:style w:type="numbering" w:styleId="1221" w:customStyle="1">
    <w:name w:val="当前列表15"/>
    <w:uiPriority w:val="99"/>
    <w:qFormat/>
    <w:pPr>
      <w:pBdr/>
      <w:spacing/>
      <w:ind/>
    </w:pPr>
  </w:style>
  <w:style w:type="numbering" w:styleId="1222" w:customStyle="1">
    <w:name w:val="当前列表16"/>
    <w:uiPriority w:val="99"/>
    <w:qFormat/>
    <w:pPr>
      <w:pBdr/>
      <w:spacing/>
      <w:ind/>
    </w:pPr>
  </w:style>
  <w:style w:type="numbering" w:styleId="1223" w:customStyle="1">
    <w:name w:val="当前列表17"/>
    <w:uiPriority w:val="99"/>
    <w:qFormat/>
    <w:pPr>
      <w:pBdr/>
      <w:spacing/>
      <w:ind/>
    </w:pPr>
  </w:style>
  <w:style w:type="numbering" w:styleId="1224" w:customStyle="1">
    <w:name w:val="当前列表18"/>
    <w:uiPriority w:val="99"/>
    <w:qFormat/>
    <w:pPr>
      <w:pBdr/>
      <w:spacing/>
      <w:ind/>
    </w:pPr>
  </w:style>
  <w:style w:type="numbering" w:styleId="1225" w:customStyle="1">
    <w:name w:val="当前列表19"/>
    <w:uiPriority w:val="99"/>
    <w:qFormat/>
    <w:pPr>
      <w:pBdr/>
      <w:spacing/>
      <w:ind/>
    </w:pPr>
  </w:style>
  <w:style w:type="numbering" w:styleId="1226" w:customStyle="1">
    <w:name w:val="当前列表20"/>
    <w:uiPriority w:val="99"/>
    <w:qFormat/>
    <w:pPr>
      <w:pBdr/>
      <w:spacing/>
      <w:ind/>
    </w:pPr>
  </w:style>
  <w:style w:type="numbering" w:styleId="1227" w:customStyle="1">
    <w:name w:val="当前列表21"/>
    <w:uiPriority w:val="99"/>
    <w:qFormat/>
    <w:pPr>
      <w:pBdr/>
      <w:spacing/>
      <w:ind/>
    </w:pPr>
  </w:style>
  <w:style w:type="numbering" w:styleId="1228" w:customStyle="1">
    <w:name w:val="当前列表22"/>
    <w:uiPriority w:val="99"/>
    <w:qFormat/>
    <w:pPr>
      <w:pBdr/>
      <w:spacing/>
      <w:ind/>
    </w:pPr>
  </w:style>
  <w:style w:type="numbering" w:styleId="1229" w:customStyle="1">
    <w:name w:val="当前列表23"/>
    <w:uiPriority w:val="99"/>
    <w:qFormat/>
    <w:pPr>
      <w:pBdr/>
      <w:spacing/>
      <w:ind/>
    </w:pPr>
  </w:style>
  <w:style w:type="numbering" w:styleId="1230" w:customStyle="1">
    <w:name w:val="当前列表24"/>
    <w:uiPriority w:val="99"/>
    <w:qFormat/>
    <w:pPr>
      <w:pBdr/>
      <w:spacing/>
      <w:ind/>
    </w:pPr>
  </w:style>
  <w:style w:type="numbering" w:styleId="1231" w:customStyle="1">
    <w:name w:val="当前列表25"/>
    <w:uiPriority w:val="99"/>
    <w:qFormat/>
    <w:pPr>
      <w:pBdr/>
      <w:spacing/>
      <w:ind/>
    </w:pPr>
  </w:style>
  <w:style w:type="numbering" w:styleId="1232" w:customStyle="1">
    <w:name w:val="当前列表26"/>
    <w:uiPriority w:val="99"/>
    <w:qFormat/>
    <w:pPr>
      <w:pBdr/>
      <w:spacing/>
      <w:ind/>
    </w:pPr>
  </w:style>
  <w:style w:type="numbering" w:styleId="1233" w:customStyle="1">
    <w:name w:val="当前列表27"/>
    <w:uiPriority w:val="99"/>
    <w:qFormat/>
    <w:pPr>
      <w:pBdr/>
      <w:spacing/>
      <w:ind/>
    </w:pPr>
  </w:style>
  <w:style w:type="numbering" w:styleId="1234" w:customStyle="1">
    <w:name w:val="当前列表28"/>
    <w:uiPriority w:val="99"/>
    <w:qFormat/>
    <w:pPr>
      <w:pBdr/>
      <w:spacing/>
      <w:ind/>
    </w:pPr>
  </w:style>
  <w:style w:type="numbering" w:styleId="1235" w:customStyle="1">
    <w:name w:val="当前列表29"/>
    <w:uiPriority w:val="99"/>
    <w:qFormat/>
    <w:pPr>
      <w:pBdr/>
      <w:spacing/>
      <w:ind/>
    </w:pPr>
  </w:style>
  <w:style w:type="numbering" w:styleId="1236" w:customStyle="1">
    <w:name w:val="当前列表30"/>
    <w:uiPriority w:val="99"/>
    <w:qFormat/>
    <w:pPr>
      <w:pBdr/>
      <w:spacing/>
      <w:ind/>
    </w:pPr>
  </w:style>
  <w:style w:type="numbering" w:styleId="1237" w:customStyle="1">
    <w:name w:val="当前列表31"/>
    <w:uiPriority w:val="99"/>
    <w:qFormat/>
    <w:pPr>
      <w:pBdr/>
      <w:spacing/>
      <w:ind/>
    </w:pPr>
  </w:style>
  <w:style w:type="numbering" w:styleId="1238" w:customStyle="1">
    <w:name w:val="当前列表32"/>
    <w:uiPriority w:val="99"/>
    <w:qFormat/>
    <w:pPr>
      <w:pBdr/>
      <w:spacing/>
      <w:ind/>
    </w:pPr>
  </w:style>
  <w:style w:type="numbering" w:styleId="1239" w:customStyle="1">
    <w:name w:val="当前列表33"/>
    <w:uiPriority w:val="99"/>
    <w:qFormat/>
    <w:pPr>
      <w:pBdr/>
      <w:spacing/>
      <w:ind/>
    </w:pPr>
  </w:style>
  <w:style w:type="numbering" w:styleId="1240" w:customStyle="1">
    <w:name w:val="当前列表34"/>
    <w:uiPriority w:val="99"/>
    <w:qFormat/>
    <w:pPr>
      <w:pBdr/>
      <w:spacing/>
      <w:ind/>
    </w:pPr>
  </w:style>
  <w:style w:type="numbering" w:styleId="1241" w:customStyle="1">
    <w:name w:val="当前列表35"/>
    <w:uiPriority w:val="99"/>
    <w:qFormat/>
    <w:pPr>
      <w:pBdr/>
      <w:spacing/>
      <w:ind/>
    </w:pPr>
  </w:style>
  <w:style w:type="numbering" w:styleId="1242" w:customStyle="1">
    <w:name w:val="当前列表36"/>
    <w:uiPriority w:val="99"/>
    <w:qFormat/>
    <w:pPr>
      <w:pBdr/>
      <w:spacing/>
      <w:ind/>
    </w:pPr>
  </w:style>
  <w:style w:type="numbering" w:styleId="1243" w:customStyle="1">
    <w:name w:val="当前列表37"/>
    <w:uiPriority w:val="99"/>
    <w:qFormat/>
    <w:pPr>
      <w:pBdr/>
      <w:spacing/>
      <w:ind/>
    </w:pPr>
  </w:style>
  <w:style w:type="numbering" w:styleId="1244" w:customStyle="1">
    <w:name w:val="当前列表38"/>
    <w:uiPriority w:val="99"/>
    <w:qFormat/>
    <w:pPr>
      <w:pBdr/>
      <w:spacing/>
      <w:ind/>
    </w:pPr>
  </w:style>
  <w:style w:type="numbering" w:styleId="1245" w:customStyle="1">
    <w:name w:val="当前列表39"/>
    <w:uiPriority w:val="99"/>
    <w:qFormat/>
    <w:pPr>
      <w:pBdr/>
      <w:spacing/>
      <w:ind/>
    </w:pPr>
  </w:style>
  <w:style w:type="numbering" w:styleId="1246" w:customStyle="1">
    <w:name w:val="当前列表40"/>
    <w:uiPriority w:val="99"/>
    <w:qFormat/>
    <w:pPr>
      <w:pBdr/>
      <w:spacing/>
      <w:ind/>
    </w:pPr>
  </w:style>
  <w:style w:type="numbering" w:styleId="1247" w:customStyle="1">
    <w:name w:val="当前列表41"/>
    <w:uiPriority w:val="99"/>
    <w:qFormat/>
    <w:pPr>
      <w:pBdr/>
      <w:spacing/>
      <w:ind/>
    </w:pPr>
  </w:style>
  <w:style w:type="numbering" w:styleId="1248" w:customStyle="1">
    <w:name w:val="当前列表42"/>
    <w:uiPriority w:val="99"/>
    <w:qFormat/>
    <w:pPr>
      <w:pBdr/>
      <w:spacing/>
      <w:ind/>
    </w:pPr>
  </w:style>
  <w:style w:type="numbering" w:styleId="1249" w:customStyle="1">
    <w:name w:val="当前列表43"/>
    <w:uiPriority w:val="99"/>
    <w:qFormat/>
    <w:pPr>
      <w:pBdr/>
      <w:spacing/>
      <w:ind/>
    </w:pPr>
  </w:style>
  <w:style w:type="numbering" w:styleId="1250" w:customStyle="1">
    <w:name w:val="当前列表44"/>
    <w:uiPriority w:val="99"/>
    <w:qFormat/>
    <w:pPr>
      <w:pBdr/>
      <w:spacing/>
      <w:ind/>
    </w:pPr>
  </w:style>
  <w:style w:type="numbering" w:styleId="1251" w:customStyle="1">
    <w:name w:val="当前列表45"/>
    <w:uiPriority w:val="99"/>
    <w:qFormat/>
    <w:pPr>
      <w:pBdr/>
      <w:spacing/>
      <w:ind/>
    </w:pPr>
  </w:style>
  <w:style w:type="numbering" w:styleId="1252" w:customStyle="1">
    <w:name w:val="当前列表46"/>
    <w:uiPriority w:val="99"/>
    <w:qFormat/>
    <w:pPr>
      <w:pBdr/>
      <w:spacing/>
      <w:ind/>
    </w:pPr>
  </w:style>
  <w:style w:type="numbering" w:styleId="1253" w:customStyle="1">
    <w:name w:val="当前列表47"/>
    <w:uiPriority w:val="99"/>
    <w:qFormat/>
    <w:pPr>
      <w:pBdr/>
      <w:spacing/>
      <w:ind/>
    </w:pPr>
  </w:style>
  <w:style w:type="numbering" w:styleId="1254" w:customStyle="1">
    <w:name w:val="当前列表48"/>
    <w:uiPriority w:val="99"/>
    <w:qFormat/>
    <w:pPr>
      <w:pBdr/>
      <w:spacing/>
      <w:ind/>
    </w:pPr>
  </w:style>
  <w:style w:type="numbering" w:styleId="1255" w:customStyle="1">
    <w:name w:val="当前列表49"/>
    <w:uiPriority w:val="99"/>
    <w:qFormat/>
    <w:pPr>
      <w:pBdr/>
      <w:spacing/>
      <w:ind/>
    </w:pPr>
  </w:style>
  <w:style w:type="numbering" w:styleId="1256" w:customStyle="1">
    <w:name w:val="当前列表50"/>
    <w:uiPriority w:val="99"/>
    <w:qFormat/>
    <w:pPr>
      <w:pBdr/>
      <w:spacing/>
      <w:ind/>
    </w:pPr>
  </w:style>
  <w:style w:type="numbering" w:styleId="1257" w:customStyle="1">
    <w:name w:val="当前列表51"/>
    <w:uiPriority w:val="99"/>
    <w:qFormat/>
    <w:pPr>
      <w:pBdr/>
      <w:spacing/>
      <w:ind/>
    </w:pPr>
  </w:style>
  <w:style w:type="numbering" w:styleId="1258" w:customStyle="1">
    <w:name w:val="当前列表52"/>
    <w:uiPriority w:val="99"/>
    <w:qFormat/>
    <w:pPr>
      <w:pBdr/>
      <w:spacing/>
      <w:ind/>
    </w:pPr>
  </w:style>
  <w:style w:type="numbering" w:styleId="1259" w:customStyle="1">
    <w:name w:val="当前列表53"/>
    <w:uiPriority w:val="99"/>
    <w:qFormat/>
    <w:pPr>
      <w:pBdr/>
      <w:spacing/>
      <w:ind/>
    </w:pPr>
  </w:style>
  <w:style w:type="numbering" w:styleId="1260" w:customStyle="1">
    <w:name w:val="当前列表54"/>
    <w:uiPriority w:val="99"/>
    <w:qFormat/>
    <w:pPr>
      <w:pBdr/>
      <w:spacing/>
      <w:ind/>
    </w:pPr>
  </w:style>
  <w:style w:type="numbering" w:styleId="1261" w:customStyle="1">
    <w:name w:val="当前列表55"/>
    <w:uiPriority w:val="99"/>
    <w:qFormat/>
    <w:pPr>
      <w:pBdr/>
      <w:spacing/>
      <w:ind/>
    </w:pPr>
  </w:style>
  <w:style w:type="numbering" w:styleId="1262" w:customStyle="1">
    <w:name w:val="当前列表56"/>
    <w:uiPriority w:val="99"/>
    <w:qFormat/>
    <w:pPr>
      <w:pBdr/>
      <w:spacing/>
      <w:ind/>
    </w:pPr>
  </w:style>
  <w:style w:type="numbering" w:styleId="1263" w:customStyle="1">
    <w:name w:val="当前列表57"/>
    <w:uiPriority w:val="99"/>
    <w:qFormat/>
    <w:pPr>
      <w:pBdr/>
      <w:spacing/>
      <w:ind/>
    </w:pPr>
  </w:style>
  <w:style w:type="numbering" w:styleId="1264" w:customStyle="1">
    <w:name w:val="当前列表58"/>
    <w:uiPriority w:val="99"/>
    <w:qFormat/>
    <w:pPr>
      <w:pBdr/>
      <w:spacing/>
      <w:ind/>
    </w:pPr>
  </w:style>
  <w:style w:type="numbering" w:styleId="1265" w:customStyle="1">
    <w:name w:val="当前列表59"/>
    <w:uiPriority w:val="99"/>
    <w:qFormat/>
    <w:pPr>
      <w:pBdr/>
      <w:spacing/>
      <w:ind/>
    </w:pPr>
  </w:style>
  <w:style w:type="numbering" w:styleId="1266" w:customStyle="1">
    <w:name w:val="当前列表60"/>
    <w:uiPriority w:val="99"/>
    <w:qFormat/>
    <w:pPr>
      <w:pBdr/>
      <w:spacing/>
      <w:ind/>
    </w:pPr>
  </w:style>
  <w:style w:type="numbering" w:styleId="1267" w:customStyle="1">
    <w:name w:val="当前列表61"/>
    <w:uiPriority w:val="99"/>
    <w:qFormat/>
    <w:pPr>
      <w:pBdr/>
      <w:spacing/>
      <w:ind/>
    </w:pPr>
  </w:style>
  <w:style w:type="numbering" w:styleId="1268" w:customStyle="1">
    <w:name w:val="当前列表62"/>
    <w:uiPriority w:val="99"/>
    <w:qFormat/>
    <w:pPr>
      <w:pBdr/>
      <w:spacing/>
      <w:ind/>
    </w:pPr>
  </w:style>
  <w:style w:type="numbering" w:styleId="1269" w:customStyle="1">
    <w:name w:val="当前列表63"/>
    <w:uiPriority w:val="99"/>
    <w:qFormat/>
    <w:pPr>
      <w:pBdr/>
      <w:spacing/>
      <w:ind/>
    </w:pPr>
  </w:style>
  <w:style w:type="numbering" w:styleId="1270" w:customStyle="1">
    <w:name w:val="当前列表64"/>
    <w:uiPriority w:val="99"/>
    <w:qFormat/>
    <w:pPr>
      <w:pBdr/>
      <w:spacing/>
      <w:ind/>
    </w:pPr>
  </w:style>
  <w:style w:type="numbering" w:styleId="1271" w:customStyle="1">
    <w:name w:val="当前列表65"/>
    <w:uiPriority w:val="99"/>
    <w:qFormat/>
    <w:pPr>
      <w:pBdr/>
      <w:spacing/>
      <w:ind/>
    </w:pPr>
  </w:style>
  <w:style w:type="numbering" w:styleId="1272" w:customStyle="1">
    <w:name w:val="当前列表66"/>
    <w:uiPriority w:val="99"/>
    <w:qFormat/>
    <w:pPr>
      <w:pBdr/>
      <w:spacing/>
      <w:ind/>
    </w:pPr>
  </w:style>
  <w:style w:type="numbering" w:styleId="1273" w:customStyle="1">
    <w:name w:val="当前列表67"/>
    <w:uiPriority w:val="99"/>
    <w:qFormat/>
    <w:pPr>
      <w:pBdr/>
      <w:spacing/>
      <w:ind/>
    </w:pPr>
  </w:style>
  <w:style w:type="numbering" w:styleId="1274" w:customStyle="1">
    <w:name w:val="当前列表68"/>
    <w:uiPriority w:val="99"/>
    <w:qFormat/>
    <w:pPr>
      <w:pBdr/>
      <w:spacing/>
      <w:ind/>
    </w:pPr>
  </w:style>
  <w:style w:type="numbering" w:styleId="1275" w:customStyle="1">
    <w:name w:val="当前列表69"/>
    <w:uiPriority w:val="99"/>
    <w:qFormat/>
    <w:pPr>
      <w:pBdr/>
      <w:spacing/>
      <w:ind/>
    </w:pPr>
  </w:style>
  <w:style w:type="numbering" w:styleId="1276" w:customStyle="1">
    <w:name w:val="当前列表70"/>
    <w:uiPriority w:val="99"/>
    <w:qFormat/>
    <w:pPr>
      <w:pBdr/>
      <w:spacing/>
      <w:ind/>
    </w:pPr>
  </w:style>
  <w:style w:type="numbering" w:styleId="1277" w:customStyle="1">
    <w:name w:val="当前列表71"/>
    <w:uiPriority w:val="99"/>
    <w:qFormat/>
    <w:pPr>
      <w:pBdr/>
      <w:spacing/>
      <w:ind/>
    </w:pPr>
  </w:style>
  <w:style w:type="numbering" w:styleId="1278" w:customStyle="1">
    <w:name w:val="当前列表72"/>
    <w:uiPriority w:val="99"/>
    <w:qFormat/>
    <w:pPr>
      <w:pBdr/>
      <w:spacing/>
      <w:ind/>
    </w:pPr>
  </w:style>
  <w:style w:type="numbering" w:styleId="1279" w:customStyle="1">
    <w:name w:val="当前列表73"/>
    <w:uiPriority w:val="99"/>
    <w:qFormat/>
    <w:pPr>
      <w:pBdr/>
      <w:spacing/>
      <w:ind/>
    </w:pPr>
  </w:style>
  <w:style w:type="numbering" w:styleId="1280" w:customStyle="1">
    <w:name w:val="当前列表74"/>
    <w:uiPriority w:val="99"/>
    <w:qFormat/>
    <w:pPr>
      <w:pBdr/>
      <w:spacing/>
      <w:ind/>
    </w:pPr>
  </w:style>
  <w:style w:type="numbering" w:styleId="1281" w:customStyle="1">
    <w:name w:val="当前列表75"/>
    <w:uiPriority w:val="99"/>
    <w:qFormat/>
    <w:pPr>
      <w:pBdr/>
      <w:spacing/>
      <w:ind/>
    </w:pPr>
  </w:style>
  <w:style w:type="numbering" w:styleId="1282" w:customStyle="1">
    <w:name w:val="当前列表76"/>
    <w:uiPriority w:val="99"/>
    <w:qFormat/>
    <w:pPr>
      <w:pBdr/>
      <w:spacing/>
      <w:ind/>
    </w:pPr>
  </w:style>
  <w:style w:type="numbering" w:styleId="1283" w:customStyle="1">
    <w:name w:val="当前列表77"/>
    <w:uiPriority w:val="99"/>
    <w:qFormat/>
    <w:pPr>
      <w:pBdr/>
      <w:spacing/>
      <w:ind/>
    </w:pPr>
  </w:style>
  <w:style w:type="numbering" w:styleId="1284" w:customStyle="1">
    <w:name w:val="当前列表78"/>
    <w:uiPriority w:val="99"/>
    <w:qFormat/>
    <w:pPr>
      <w:pBdr/>
      <w:spacing/>
      <w:ind/>
    </w:pPr>
  </w:style>
  <w:style w:type="numbering" w:styleId="1285" w:customStyle="1">
    <w:name w:val="当前列表79"/>
    <w:uiPriority w:val="99"/>
    <w:qFormat/>
    <w:pPr>
      <w:pBdr/>
      <w:spacing/>
      <w:ind/>
    </w:pPr>
  </w:style>
  <w:style w:type="numbering" w:styleId="1286" w:customStyle="1">
    <w:name w:val="当前列表80"/>
    <w:uiPriority w:val="99"/>
    <w:qFormat/>
    <w:pPr>
      <w:pBdr/>
      <w:spacing/>
      <w:ind/>
    </w:pPr>
  </w:style>
  <w:style w:type="numbering" w:styleId="1287" w:customStyle="1">
    <w:name w:val="当前列表81"/>
    <w:uiPriority w:val="99"/>
    <w:qFormat/>
    <w:pPr>
      <w:pBdr/>
      <w:spacing/>
      <w:ind/>
    </w:pPr>
  </w:style>
  <w:style w:type="numbering" w:styleId="1288" w:customStyle="1">
    <w:name w:val="当前列表82"/>
    <w:uiPriority w:val="99"/>
    <w:qFormat/>
    <w:pPr>
      <w:pBdr/>
      <w:spacing/>
      <w:ind/>
    </w:pPr>
  </w:style>
  <w:style w:type="numbering" w:styleId="1289" w:customStyle="1">
    <w:name w:val="当前列表83"/>
    <w:uiPriority w:val="99"/>
    <w:qFormat/>
    <w:pPr>
      <w:pBdr/>
      <w:spacing/>
      <w:ind/>
    </w:pPr>
  </w:style>
  <w:style w:type="numbering" w:styleId="1290" w:customStyle="1">
    <w:name w:val="当前列表84"/>
    <w:uiPriority w:val="99"/>
    <w:qFormat/>
    <w:pPr>
      <w:pBdr/>
      <w:spacing/>
      <w:ind/>
    </w:pPr>
  </w:style>
  <w:style w:type="numbering" w:styleId="1291" w:customStyle="1">
    <w:name w:val="当前列表85"/>
    <w:uiPriority w:val="99"/>
    <w:qFormat/>
    <w:pPr>
      <w:pBdr/>
      <w:spacing/>
      <w:ind/>
    </w:pPr>
  </w:style>
  <w:style w:type="numbering" w:styleId="1292" w:customStyle="1">
    <w:name w:val="当前列表86"/>
    <w:uiPriority w:val="99"/>
    <w:qFormat/>
    <w:pPr>
      <w:pBdr/>
      <w:spacing/>
      <w:ind/>
    </w:pPr>
  </w:style>
  <w:style w:type="numbering" w:styleId="1293" w:customStyle="1">
    <w:name w:val="当前列表87"/>
    <w:uiPriority w:val="99"/>
    <w:qFormat/>
    <w:pPr>
      <w:pBdr/>
      <w:spacing/>
      <w:ind/>
    </w:pPr>
  </w:style>
  <w:style w:type="numbering" w:styleId="1294" w:customStyle="1">
    <w:name w:val="当前列表88"/>
    <w:uiPriority w:val="99"/>
    <w:qFormat/>
    <w:pPr>
      <w:pBdr/>
      <w:spacing/>
      <w:ind/>
    </w:pPr>
  </w:style>
  <w:style w:type="numbering" w:styleId="1295" w:customStyle="1">
    <w:name w:val="当前列表89"/>
    <w:uiPriority w:val="99"/>
    <w:qFormat/>
    <w:pPr>
      <w:pBdr/>
      <w:spacing/>
      <w:ind/>
    </w:pPr>
  </w:style>
  <w:style w:type="numbering" w:styleId="1296" w:customStyle="1">
    <w:name w:val="当前列表90"/>
    <w:uiPriority w:val="99"/>
    <w:qFormat/>
    <w:pPr>
      <w:pBdr/>
      <w:spacing/>
      <w:ind/>
    </w:pPr>
  </w:style>
  <w:style w:type="numbering" w:styleId="1297" w:customStyle="1">
    <w:name w:val="当前列表91"/>
    <w:uiPriority w:val="99"/>
    <w:qFormat/>
    <w:pPr>
      <w:pBdr/>
      <w:spacing/>
      <w:ind/>
    </w:pPr>
  </w:style>
  <w:style w:type="numbering" w:styleId="1298" w:customStyle="1">
    <w:name w:val="当前列表92"/>
    <w:uiPriority w:val="99"/>
    <w:qFormat/>
    <w:pPr>
      <w:pBdr/>
      <w:spacing/>
      <w:ind/>
    </w:pPr>
  </w:style>
  <w:style w:type="numbering" w:styleId="1299" w:customStyle="1">
    <w:name w:val="当前列表93"/>
    <w:uiPriority w:val="99"/>
    <w:qFormat/>
    <w:pPr>
      <w:pBdr/>
      <w:spacing/>
      <w:ind/>
    </w:pPr>
  </w:style>
  <w:style w:type="numbering" w:styleId="1300" w:customStyle="1">
    <w:name w:val="当前列表94"/>
    <w:uiPriority w:val="99"/>
    <w:qFormat/>
    <w:pPr>
      <w:pBdr/>
      <w:spacing/>
      <w:ind/>
    </w:pPr>
  </w:style>
  <w:style w:type="numbering" w:styleId="1301" w:customStyle="1">
    <w:name w:val="当前列表95"/>
    <w:uiPriority w:val="99"/>
    <w:qFormat/>
    <w:pPr>
      <w:pBdr/>
      <w:spacing/>
      <w:ind/>
    </w:pPr>
  </w:style>
  <w:style w:type="numbering" w:styleId="1302" w:customStyle="1">
    <w:name w:val="当前列表96"/>
    <w:uiPriority w:val="99"/>
    <w:qFormat/>
    <w:pPr>
      <w:pBdr/>
      <w:spacing/>
      <w:ind/>
    </w:pPr>
  </w:style>
  <w:style w:type="numbering" w:styleId="1303" w:customStyle="1">
    <w:name w:val="当前列表97"/>
    <w:uiPriority w:val="99"/>
    <w:qFormat/>
    <w:pPr>
      <w:pBdr/>
      <w:spacing/>
      <w:ind/>
    </w:pPr>
  </w:style>
  <w:style w:type="numbering" w:styleId="1304" w:customStyle="1">
    <w:name w:val="当前列表98"/>
    <w:uiPriority w:val="99"/>
    <w:qFormat/>
    <w:pPr>
      <w:pBdr/>
      <w:spacing/>
      <w:ind/>
    </w:pPr>
  </w:style>
  <w:style w:type="numbering" w:styleId="1305" w:customStyle="1">
    <w:name w:val="当前列表99"/>
    <w:uiPriority w:val="99"/>
    <w:qFormat/>
    <w:pPr>
      <w:pBdr/>
      <w:spacing/>
      <w:ind/>
    </w:pPr>
  </w:style>
  <w:style w:type="numbering" w:styleId="1306" w:customStyle="1">
    <w:name w:val="当前列表100"/>
    <w:uiPriority w:val="99"/>
    <w:qFormat/>
    <w:pPr>
      <w:pBdr/>
      <w:spacing/>
      <w:ind/>
    </w:pPr>
  </w:style>
  <w:style w:type="numbering" w:styleId="1307" w:customStyle="1">
    <w:name w:val="当前列表101"/>
    <w:uiPriority w:val="99"/>
    <w:qFormat/>
    <w:pPr>
      <w:pBdr/>
      <w:spacing/>
      <w:ind/>
    </w:pPr>
  </w:style>
  <w:style w:type="numbering" w:styleId="1308" w:customStyle="1">
    <w:name w:val="当前列表102"/>
    <w:uiPriority w:val="99"/>
    <w:qFormat/>
    <w:pPr>
      <w:pBdr/>
      <w:spacing/>
      <w:ind/>
    </w:pPr>
  </w:style>
  <w:style w:type="numbering" w:styleId="1309" w:customStyle="1">
    <w:name w:val="当前列表103"/>
    <w:uiPriority w:val="99"/>
    <w:qFormat/>
    <w:pPr>
      <w:pBdr/>
      <w:spacing/>
      <w:ind/>
    </w:pPr>
  </w:style>
  <w:style w:type="table" w:styleId="131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191</cp:revision>
  <dcterms:created xsi:type="dcterms:W3CDTF">2019-05-08T17:22:00Z</dcterms:created>
  <dcterms:modified xsi:type="dcterms:W3CDTF">2024-12-13T05:43:44Z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