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84"/>
        <w:suppressLineNumbers w:val="false"/>
        <w:pBdr/>
        <w:spacing w:after="567" w:before="0" w:line="240" w:lineRule="auto"/>
        <w:ind/>
        <w:contextualSpacing w:val="false"/>
        <w:jc w:val="center"/>
        <w:rPr>
          <w:rFonts w:ascii="Songti SC" w:hAnsi="Songti SC" w:cs="Songti SC"/>
          <w:b/>
          <w:bCs/>
          <w:sz w:val="32"/>
          <w:szCs w:val="32"/>
        </w:rPr>
      </w:pPr>
      <w:r>
        <w:rPr>
          <w:rFonts w:ascii="Songti SC" w:hAnsi="Songti SC" w:eastAsia="Songti SC" w:cs="Songti SC"/>
          <w:b/>
          <w:bCs/>
          <w:sz w:val="32"/>
          <w:szCs w:val="32"/>
        </w:rPr>
        <w:t xml:space="preserve">《</w:t>
      </w:r>
      <w:r>
        <w:rPr>
          <w:rFonts w:ascii="Songti SC" w:hAnsi="Songti SC" w:eastAsia="Songti SC" w:cs="Songti SC"/>
          <w:b/>
          <w:bCs/>
          <w:sz w:val="32"/>
          <w:szCs w:val="32"/>
        </w:rPr>
        <w:t xml:space="preserve">五民党党章简述</w:t>
      </w:r>
      <w:r>
        <w:rPr>
          <w:rFonts w:ascii="Songti SC" w:hAnsi="Songti SC" w:eastAsia="Songti SC" w:cs="Songti SC"/>
          <w:b/>
          <w:bCs/>
          <w:sz w:val="32"/>
          <w:szCs w:val="32"/>
        </w:rPr>
        <w:t xml:space="preserve">》</w:t>
      </w:r>
      <w:r>
        <w:rPr>
          <w:rFonts w:ascii="Songti SC" w:hAnsi="Songti SC" w:eastAsia="Songti SC" w:cs="Songti SC"/>
          <w:b/>
          <w:bCs/>
          <w:sz w:val="32"/>
          <w:szCs w:val="32"/>
        </w:rPr>
      </w:r>
      <w:r>
        <w:rPr>
          <w:rFonts w:ascii="Songti SC" w:hAnsi="Songti SC" w:cs="Songti SC"/>
          <w:b/>
          <w:bCs/>
          <w:sz w:val="32"/>
          <w:szCs w:val="32"/>
        </w:rPr>
      </w:r>
    </w:p>
    <w:p>
      <w:pPr>
        <w:pStyle w:val="984"/>
        <w:numPr>
          <w:ilvl w:val="0"/>
          <w:numId w:val="1"/>
        </w:numPr>
        <w:pBdr/>
        <w:spacing w:after="0" w:before="31"/>
        <w:ind/>
        <w:rPr>
          <w:rFonts w:ascii="Songti SC" w:hAnsi="Songti SC" w:cs="Songti SC"/>
          <w:b/>
          <w:bCs/>
        </w:rPr>
      </w:pPr>
      <w:r>
        <w:rPr>
          <w:rFonts w:ascii="Songti SC" w:hAnsi="Songti SC" w:eastAsia="Songti SC" w:cs="Songti SC"/>
          <w:b/>
          <w:bCs/>
        </w:rPr>
        <w:t xml:space="preserve">立党之理念：</w:t>
      </w:r>
      <w:r>
        <w:rPr>
          <w:rFonts w:ascii="Songti SC" w:hAnsi="Songti SC" w:eastAsia="Songti SC" w:cs="Songti SC"/>
          <w:b/>
          <w:bCs/>
        </w:rPr>
      </w:r>
      <w:r>
        <w:rPr>
          <w:rFonts w:ascii="Songti SC" w:hAnsi="Songti SC" w:cs="Songti SC"/>
          <w:b/>
          <w:bCs/>
        </w:rPr>
      </w:r>
    </w:p>
    <w:p>
      <w:pPr>
        <w:pStyle w:val="984"/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拥有自由之思想的公民团结起来，采用民主之制度，基于正义之精神和平等之人权，践行求实之言行，共同推动五民主义目标的尽早实现；立党之理念是一个人的理念、是一群人的理念，是懂得自由之思想、支持民主之制度、饱含正义之精神、坚信平等之人权和拥有求实之言行的人的理念。望海内外同胞积极加入五民党，广泛传播五民党立党之理念，共同推进五民党立党之目标，早日使祖国民主化。</w:t>
      </w: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</w:p>
    <w:p>
      <w:pPr>
        <w:pStyle w:val="984"/>
        <w:numPr>
          <w:ilvl w:val="0"/>
          <w:numId w:val="1"/>
        </w:numPr>
        <w:pBdr/>
        <w:spacing w:after="0" w:before="31"/>
        <w:ind/>
        <w:rPr>
          <w:rFonts w:ascii="Songti SC" w:hAnsi="Songti SC" w:cs="Songti SC"/>
          <w:b/>
          <w:bCs/>
        </w:rPr>
      </w:pPr>
      <w:r>
        <w:rPr>
          <w:rFonts w:ascii="Songti SC" w:hAnsi="Songti SC" w:eastAsia="Songti SC" w:cs="Songti SC"/>
          <w:b/>
          <w:bCs/>
        </w:rPr>
        <w:t xml:space="preserve">立党之目标：</w:t>
      </w:r>
      <w:r>
        <w:rPr>
          <w:rFonts w:ascii="Songti SC" w:hAnsi="Songti SC" w:eastAsia="Songti SC" w:cs="Songti SC"/>
          <w:b/>
          <w:bCs/>
        </w:rPr>
      </w:r>
      <w:r>
        <w:rPr>
          <w:rFonts w:ascii="Songti SC" w:hAnsi="Songti SC" w:cs="Songti SC"/>
          <w:b/>
          <w:bCs/>
        </w:rPr>
      </w:r>
    </w:p>
    <w:p>
      <w:pPr>
        <w:pStyle w:val="984"/>
        <w:numPr>
          <w:ilvl w:val="0"/>
          <w:numId w:val="2"/>
        </w:numPr>
        <w:pBdr/>
        <w:spacing w:after="31" w:before="0"/>
        <w:ind w:hanging="315" w:left="315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公民治理国家（民治）：民治为一，万事为零，没有民治这一基础理念，一切皆为空谈。民治的核心含义是基于先有人类后有国家，是公民建立国家，国家是公民的国家，是公民治理国家，而非国家统治公民。民治为公民自治，公民自治即公民自我管理和公民治理国家，公民自我管理和公民治理国家是每个人与生俱来，且不可被剥夺的权利。凡成年拥有自主行为能力之人皆有此权利，未成年或其他不具有自主行为能力之人，其权利不能被剥夺，应由其监护人替为行使，此为民治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numPr>
          <w:ilvl w:val="0"/>
          <w:numId w:val="2"/>
        </w:numPr>
        <w:pBdr/>
        <w:spacing w:after="31" w:before="0"/>
        <w:ind w:hanging="315" w:left="315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实现民主共和（民主）：有了民治这一基础理念，才有民主，民主是公民做主的政治制度，有人人自治、人人治国的民治基础，才有公民做主的民主制度。民主是一种程序、一种制度，一种由人人平等参与的政治运行机制，民主应有成文的法律或规则的约束，此为民主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numPr>
          <w:ilvl w:val="0"/>
          <w:numId w:val="2"/>
        </w:numPr>
        <w:pBdr/>
        <w:spacing w:after="31" w:before="0"/>
        <w:ind w:hanging="315" w:left="315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保障公民权利（民权）：因有了公民自治的理念和民主治国的制度，才会有公民的民权，民权乃公民的权利，公民的切身利益。公民若被他人统治，无论统治者是国家或是个人，公民皆无民权。只有公民在基于民治的基础上，由公民自我管理和公民治理国家，公民才拥有真正意义上的民权，此为民权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numPr>
          <w:ilvl w:val="0"/>
          <w:numId w:val="2"/>
        </w:numPr>
        <w:pBdr/>
        <w:spacing w:after="31" w:before="0"/>
        <w:ind w:hanging="315" w:left="315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建设民生社会（民生）：民生即公民的生存，公民的生存由基本的生存和优质的生存组成，基本的生存是人类与生俱来的权利，是不可被剥夺的人权，它包括了住房、医疗、教育等，基本的生存应由国家保障，且人人平等。优质的生存则是个人自我的追求，个人有权追求更好的生存状态，法律应对此进行保护，但不保障一定能获得优质的生存，此为民生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numPr>
          <w:ilvl w:val="0"/>
          <w:numId w:val="2"/>
        </w:numPr>
        <w:pBdr/>
        <w:spacing w:after="31" w:before="0"/>
        <w:ind w:hanging="315" w:left="315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复兴民族文化（民族）：民族非民族主义也！五民主义的民族基于三大核心理念，一是复兴民族文化，二是复兴所有民族的民族文化，三是根据人类社会的发展进程，摈弃民族文化中的糟粕，发扬革新民族文化；复兴民族文化，必先驱逐马列，恢复中华；解散共党，建立联邦；抵制独裁，执行宪政！形成一个悠久、开放、包容、璀璨的中华民族文化，此为民族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numPr>
          <w:ilvl w:val="0"/>
          <w:numId w:val="1"/>
        </w:numPr>
        <w:pBdr/>
        <w:spacing w:after="0" w:before="31"/>
        <w:ind/>
        <w:rPr>
          <w:rFonts w:ascii="Songti SC" w:hAnsi="Songti SC" w:cs="Songti SC"/>
          <w:b/>
          <w:bCs/>
        </w:rPr>
      </w:pPr>
      <w:r>
        <w:rPr>
          <w:rFonts w:ascii="Songti SC" w:hAnsi="Songti SC" w:eastAsia="Songti SC" w:cs="Songti SC"/>
          <w:b/>
          <w:bCs/>
        </w:rPr>
        <w:t xml:space="preserve">党员标准之基础：</w:t>
      </w:r>
      <w:r>
        <w:rPr>
          <w:rFonts w:ascii="Songti SC" w:hAnsi="Songti SC" w:eastAsia="Songti SC" w:cs="Songti SC"/>
          <w:b/>
          <w:bCs/>
        </w:rPr>
      </w:r>
      <w:r>
        <w:rPr>
          <w:rFonts w:ascii="Songti SC" w:hAnsi="Songti SC" w:cs="Songti SC"/>
          <w:b/>
          <w:bCs/>
        </w:rPr>
      </w:r>
    </w:p>
    <w:p>
      <w:pPr>
        <w:pStyle w:val="984"/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党员标准之基础即始终执行本党立党之理念，执行本党立党之目标，是否执行本党立党之理念和立党之目标，是考验党员是否合格的最重要标准。</w:t>
      </w: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</w:p>
    <w:p>
      <w:pPr>
        <w:pStyle w:val="984"/>
        <w:numPr>
          <w:ilvl w:val="0"/>
          <w:numId w:val="1"/>
        </w:numPr>
        <w:pBdr/>
        <w:spacing w:after="0" w:before="31"/>
        <w:ind/>
        <w:rPr>
          <w:rFonts w:ascii="Songti SC" w:hAnsi="Songti SC" w:cs="Songti SC"/>
          <w:b/>
          <w:bCs/>
        </w:rPr>
      </w:pPr>
      <w:r>
        <w:rPr>
          <w:rFonts w:ascii="Songti SC" w:hAnsi="Songti SC" w:eastAsia="Songti SC" w:cs="Songti SC"/>
          <w:b/>
          <w:bCs/>
        </w:rPr>
        <w:t xml:space="preserve">党员言行之原则：</w:t>
      </w:r>
      <w:r>
        <w:rPr>
          <w:rFonts w:ascii="Songti SC" w:hAnsi="Songti SC" w:eastAsia="Songti SC" w:cs="Songti SC"/>
          <w:b/>
          <w:bCs/>
        </w:rPr>
      </w:r>
      <w:r>
        <w:rPr>
          <w:rFonts w:ascii="Songti SC" w:hAnsi="Songti SC" w:cs="Songti SC"/>
          <w:b/>
          <w:bCs/>
        </w:rPr>
      </w:r>
    </w:p>
    <w:p>
      <w:pPr>
        <w:pStyle w:val="984"/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以自由之思想建立共识，即只要是认同思想是自由的，即为共识，而非具体意见的共识；</w:t>
      </w:r>
      <w:r>
        <w:rPr>
          <w:rFonts w:ascii="Songti SC" w:hAnsi="Songti SC" w:eastAsia="Songti SC" w:cs="Songti SC"/>
          <w:szCs w:val="21"/>
        </w:rPr>
        <w:t xml:space="preserve">以民主之制度制定政策，即党内要采用民主之制度，制定党的政策纲领；以正义之精神凝聚力量，即党员要有一身正气的正义精神，方能凝聚社会力量；以平等之人权团结同胞，即党员要以平等之人权的态度团结一切可以团结的同胞；以求实之言行表率施政，即党员在施政过程中要始终做到实事求是、言行一致。</w:t>
      </w: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</w:p>
    <w:p>
      <w:pPr>
        <w:pStyle w:val="984"/>
        <w:numPr>
          <w:ilvl w:val="0"/>
          <w:numId w:val="1"/>
        </w:numPr>
        <w:pBdr/>
        <w:spacing w:after="0" w:before="31"/>
        <w:ind/>
        <w:rPr>
          <w:rFonts w:ascii="Songti SC" w:hAnsi="Songti SC" w:cs="Songti SC"/>
          <w:b/>
          <w:bCs/>
        </w:rPr>
      </w:pPr>
      <w:r>
        <w:rPr>
          <w:rFonts w:ascii="Songti SC" w:hAnsi="Songti SC" w:eastAsia="Songti SC" w:cs="Songti SC"/>
          <w:b/>
          <w:bCs/>
        </w:rPr>
        <w:t xml:space="preserve">本党议事之原则：</w:t>
      </w:r>
      <w:r>
        <w:rPr>
          <w:rFonts w:ascii="Songti SC" w:hAnsi="Songti SC" w:eastAsia="Songti SC" w:cs="Songti SC"/>
          <w:b/>
          <w:bCs/>
        </w:rPr>
      </w:r>
      <w:r>
        <w:rPr>
          <w:rFonts w:ascii="Songti SC" w:hAnsi="Songti SC" w:cs="Songti SC"/>
          <w:b/>
          <w:bCs/>
        </w:rPr>
      </w:r>
    </w:p>
    <w:p>
      <w:pPr>
        <w:pStyle w:val="984"/>
        <w:pBdr/>
        <w:spacing/>
        <w:ind w:firstLine="420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以自由之思想参与提案，即党员在参与提案的时候，其提案应基于自由之思想的基本原则；以民主之制度审议讨论，即党内议事制度应建立在民主的原则之上；以正义之精神审查监督，即党员在审查监督的过程中，应秉持正义的精神；以平等之人权开展表决，即参与党内表决的党员之间，是相互平等的；以求实之言行执行决议，即党员在执行决议的过程中，应实事求是、言行一致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numPr>
          <w:ilvl w:val="0"/>
          <w:numId w:val="1"/>
        </w:numPr>
        <w:pBdr/>
        <w:spacing w:after="0" w:before="31"/>
        <w:ind/>
        <w:rPr>
          <w:rFonts w:ascii="Songti SC" w:hAnsi="Songti SC" w:cs="Songti SC"/>
          <w:b/>
          <w:bCs/>
        </w:rPr>
      </w:pPr>
      <w:r>
        <w:rPr>
          <w:rFonts w:ascii="Songti SC" w:hAnsi="Songti SC" w:eastAsia="Songti SC" w:cs="Songti SC"/>
          <w:b/>
          <w:bCs/>
        </w:rPr>
        <w:t xml:space="preserve">党员的发展：</w:t>
      </w:r>
      <w:r>
        <w:rPr>
          <w:rFonts w:ascii="Songti SC" w:hAnsi="Songti SC" w:eastAsia="Songti SC" w:cs="Songti SC"/>
          <w:b/>
          <w:bCs/>
        </w:rPr>
      </w:r>
      <w:r>
        <w:rPr>
          <w:rFonts w:ascii="Songti SC" w:hAnsi="Songti SC" w:cs="Songti SC"/>
          <w:b/>
          <w:bCs/>
        </w:rPr>
      </w:r>
    </w:p>
    <w:p>
      <w:pPr>
        <w:pStyle w:val="984"/>
        <w:pBdr/>
        <w:spacing/>
        <w:ind w:firstLine="420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在</w:t>
      </w:r>
      <w:r>
        <w:rPr>
          <w:rFonts w:ascii="Songti SC" w:hAnsi="Songti SC" w:eastAsia="Songti SC" w:cs="Songti SC"/>
          <w:szCs w:val="21"/>
        </w:rPr>
        <w:t xml:space="preserve">89</w:t>
      </w:r>
      <w:r>
        <w:rPr>
          <w:rFonts w:ascii="Songti SC" w:hAnsi="Songti SC" w:eastAsia="Songti SC" w:cs="Songti SC"/>
          <w:szCs w:val="21"/>
        </w:rPr>
        <w:t xml:space="preserve">民运人士群体中发展党员、在港澳台、海外同胞中发展党员、在大陆大学生群体中发展党员、在大陆知识分子群体中发展党员、在大陆少数民族群体中发展党员、在大陆教师、律师、医生等群体中发展党员、在大陆民营企业家群体中发展党员、在大陆共产党员干部群体中发展党员。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suppressLineNumbers w:val="false"/>
        <w:pBdr/>
        <w:spacing w:after="0" w:before="567" w:line="240" w:lineRule="auto"/>
        <w:ind w:right="1260"/>
        <w:contextualSpacing w:val="false"/>
        <w:jc w:val="right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 xml:space="preserve">CR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p>
      <w:pPr>
        <w:pStyle w:val="984"/>
        <w:pBdr/>
        <w:tabs>
          <w:tab w:val="clear" w:leader="none" w:pos="420"/>
          <w:tab w:val="right" w:leader="none" w:pos="9008"/>
        </w:tabs>
        <w:spacing/>
        <w:ind w:right="630"/>
        <w:rPr>
          <w:rFonts w:ascii="Songti SC" w:hAnsi="Songti SC" w:cs="Songti SC"/>
          <w:szCs w:val="21"/>
        </w:rPr>
      </w:pPr>
      <w:r>
        <w:rPr>
          <w:rFonts w:ascii="Songti SC" w:hAnsi="Songti SC" w:eastAsia="Songti SC" w:cs="Songti SC"/>
          <w:szCs w:val="21"/>
        </w:rPr>
        <w:tab/>
        <w:t xml:space="preserve">2022</w:t>
      </w:r>
      <w:r>
        <w:rPr>
          <w:rFonts w:ascii="Songti SC" w:hAnsi="Songti SC" w:eastAsia="Songti SC" w:cs="Songti SC"/>
          <w:szCs w:val="21"/>
        </w:rPr>
        <w:t xml:space="preserve">年</w:t>
      </w:r>
      <w:r>
        <w:rPr>
          <w:rFonts w:ascii="Songti SC" w:hAnsi="Songti SC" w:eastAsia="Songti SC" w:cs="Songti SC"/>
          <w:szCs w:val="21"/>
        </w:rPr>
        <w:t xml:space="preserve">6</w:t>
      </w:r>
      <w:r>
        <w:rPr>
          <w:rFonts w:ascii="Songti SC" w:hAnsi="Songti SC" w:eastAsia="Songti SC" w:cs="Songti SC"/>
          <w:szCs w:val="21"/>
        </w:rPr>
        <w:t xml:space="preserve">月</w:t>
      </w:r>
      <w:r>
        <w:rPr>
          <w:rFonts w:ascii="Songti SC" w:hAnsi="Songti SC" w:eastAsia="Songti SC" w:cs="Songti SC"/>
          <w:szCs w:val="21"/>
        </w:rPr>
        <w:t xml:space="preserve">3</w:t>
      </w:r>
      <w:r>
        <w:rPr>
          <w:rFonts w:ascii="Songti SC" w:hAnsi="Songti SC" w:eastAsia="Songti SC" w:cs="Songti SC"/>
          <w:szCs w:val="21"/>
        </w:rPr>
        <w:t xml:space="preserve">日</w:t>
      </w:r>
      <w:r>
        <w:rPr>
          <w:rFonts w:ascii="Songti SC" w:hAnsi="Songti SC" w:eastAsia="Songti SC" w:cs="Songti SC"/>
          <w:szCs w:val="21"/>
        </w:rPr>
      </w:r>
      <w:r>
        <w:rPr>
          <w:rFonts w:ascii="Songti SC" w:hAnsi="Songti SC" w:cs="Songti SC"/>
          <w:szCs w:val="21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440" w:right="1020" w:bottom="1440" w:left="1020" w:header="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 Unicode MS">
    <w:panose1 w:val="020B0604020202020204"/>
  </w:font>
  <w:font w:name="Liberation Sans"/>
  <w:font w:name="宋體-簡">
    <w:panose1 w:val="02010600040101010101"/>
  </w:font>
  <w:font w:name="DejaVu Sans">
    <w:panose1 w:val="020B0604030504040204"/>
  </w:font>
  <w:font w:name="宋体">
    <w:panose1 w:val="02010600040101010101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>
        <w:rFonts w:ascii="宋體-簡" w:hAnsi="宋體-簡" w:cs="宋體-簡"/>
      </w:rPr>
    </w:pPr>
    <w:r>
      <w:rPr>
        <w:rFonts w:ascii="宋體-簡" w:hAnsi="宋體-簡" w:eastAsia="宋體-簡" w:cs="宋體-簡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3810" distL="0" distR="0" simplePos="0" relativeHeight="2" behindDoc="1" locked="0" layoutInCell="0" allowOverlap="1">
              <wp:simplePos x="0" y="0"/>
              <wp:positionH relativeFrom="margin">
                <wp:posOffset>2385060</wp:posOffset>
              </wp:positionH>
              <wp:positionV relativeFrom="paragraph">
                <wp:posOffset>184785</wp:posOffset>
              </wp:positionV>
              <wp:extent cx="1828800" cy="211455"/>
              <wp:effectExtent l="0" t="0" r="0" b="444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28800" cy="211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994"/>
                            <w:pBdr/>
                            <w:spacing/>
                            <w:ind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187.80pt;mso-position-horizontal:absolute;mso-position-vertical-relative:text;margin-top:14.55pt;mso-position-vertical:absolute;width:144.00pt;height:16.65pt;mso-wrap-distance-left:0.00pt;mso-wrap-distance-top:0.00pt;mso-wrap-distance-right:0.00pt;mso-wrap-distance-bottom:0.30pt;v-text-anchor:top;visibility:visible;" filled="f" stroked="f" strokeweight="0.50pt">
              <v:textbox inset="0,0,0,0">
                <w:txbxContent>
                  <w:p>
                    <w:pPr>
                      <w:pStyle w:val="994"/>
                      <w:pBdr/>
                      <w:spacing/>
                      <w:ind/>
                      <w:jc w:val="center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ascii="宋體-簡" w:hAnsi="宋體-簡" w:eastAsia="宋體-簡" w:cs="宋體-簡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3810" distL="0" distR="0" simplePos="0" relativeHeight="2" behindDoc="1" locked="0" layoutInCell="0" allowOverlap="1">
              <wp:simplePos x="0" y="0"/>
              <wp:positionH relativeFrom="margin">
                <wp:posOffset>2385060</wp:posOffset>
              </wp:positionH>
              <wp:positionV relativeFrom="paragraph">
                <wp:posOffset>184785</wp:posOffset>
              </wp:positionV>
              <wp:extent cx="1828800" cy="211455"/>
              <wp:effectExtent l="0" t="0" r="0" b="4445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28800" cy="211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994"/>
                            <w:pBdr/>
                            <w:spacing/>
                            <w:ind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187.80pt;mso-position-horizontal:absolute;mso-position-vertical-relative:text;margin-top:14.55pt;mso-position-vertical:absolute;width:144.00pt;height:16.65pt;mso-wrap-distance-left:0.00pt;mso-wrap-distance-top:0.00pt;mso-wrap-distance-right:0.00pt;mso-wrap-distance-bottom:0.30pt;v-text-anchor:top;visibility:visible;" filled="f" stroked="f" strokeweight="0.50pt">
              <v:textbox inset="0,0,0,0">
                <w:txbxContent>
                  <w:p>
                    <w:pPr>
                      <w:pStyle w:val="994"/>
                      <w:pBdr/>
                      <w:spacing/>
                      <w:ind/>
                      <w:jc w:val="center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chineseCountingThousand"/>
      <w:pPr>
        <w:pBdr/>
        <w:tabs>
          <w:tab w:val="num" w:leader="none" w:pos="0"/>
        </w:tabs>
        <w:spacing/>
        <w:ind w:firstLine="0" w:left="0"/>
      </w:pPr>
      <w:rPr>
        <w:rFonts w:ascii="宋體-簡" w:hAnsi="宋體-簡" w:eastAsia="宋體-簡" w:cs="宋體-簡"/>
      </w:rPr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1">
    <w:name w:val="Table Grid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Table Grid Light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1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2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1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2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3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4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5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6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1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2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3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4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5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6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1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2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3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4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5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6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Heading 1"/>
    <w:basedOn w:val="984"/>
    <w:next w:val="984"/>
    <w:link w:val="9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28">
    <w:name w:val="Heading 2"/>
    <w:basedOn w:val="984"/>
    <w:next w:val="984"/>
    <w:link w:val="9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29">
    <w:name w:val="Heading 3"/>
    <w:basedOn w:val="984"/>
    <w:next w:val="984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0">
    <w:name w:val="Heading 4"/>
    <w:basedOn w:val="984"/>
    <w:next w:val="984"/>
    <w:link w:val="9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1">
    <w:name w:val="Heading 5"/>
    <w:basedOn w:val="984"/>
    <w:next w:val="984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2">
    <w:name w:val="Heading 6"/>
    <w:basedOn w:val="984"/>
    <w:next w:val="984"/>
    <w:link w:val="9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3">
    <w:name w:val="Heading 7"/>
    <w:basedOn w:val="984"/>
    <w:next w:val="984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4">
    <w:name w:val="Heading 8"/>
    <w:basedOn w:val="984"/>
    <w:next w:val="984"/>
    <w:link w:val="9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5">
    <w:name w:val="Heading 9"/>
    <w:basedOn w:val="984"/>
    <w:next w:val="984"/>
    <w:link w:val="9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936" w:default="1">
    <w:name w:val="No List"/>
    <w:uiPriority w:val="99"/>
    <w:semiHidden/>
    <w:unhideWhenUsed/>
    <w:pPr>
      <w:pBdr/>
      <w:spacing/>
      <w:ind/>
    </w:pPr>
  </w:style>
  <w:style w:type="character" w:styleId="937">
    <w:name w:val="Heading 1 Char"/>
    <w:basedOn w:val="985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8">
    <w:name w:val="Heading 2 Char"/>
    <w:basedOn w:val="985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9">
    <w:name w:val="Heading 3 Char"/>
    <w:basedOn w:val="985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0">
    <w:name w:val="Heading 4 Char"/>
    <w:basedOn w:val="985"/>
    <w:link w:val="9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1">
    <w:name w:val="Heading 5 Char"/>
    <w:basedOn w:val="985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2">
    <w:name w:val="Heading 6 Char"/>
    <w:basedOn w:val="985"/>
    <w:link w:val="9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3">
    <w:name w:val="Heading 7 Char"/>
    <w:basedOn w:val="985"/>
    <w:link w:val="9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4">
    <w:name w:val="Heading 8 Char"/>
    <w:basedOn w:val="985"/>
    <w:link w:val="9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5">
    <w:name w:val="Heading 9 Char"/>
    <w:basedOn w:val="985"/>
    <w:link w:val="9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6">
    <w:name w:val="Title"/>
    <w:basedOn w:val="984"/>
    <w:next w:val="984"/>
    <w:link w:val="9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7">
    <w:name w:val="Title Char"/>
    <w:basedOn w:val="985"/>
    <w:link w:val="9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8">
    <w:name w:val="Subtitle"/>
    <w:basedOn w:val="984"/>
    <w:next w:val="984"/>
    <w:link w:val="9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9">
    <w:name w:val="Subtitle Char"/>
    <w:basedOn w:val="985"/>
    <w:link w:val="9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0">
    <w:name w:val="Quote"/>
    <w:basedOn w:val="984"/>
    <w:next w:val="984"/>
    <w:link w:val="9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1">
    <w:name w:val="Quote Char"/>
    <w:basedOn w:val="985"/>
    <w:link w:val="9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2">
    <w:name w:val="List Paragraph"/>
    <w:basedOn w:val="984"/>
    <w:uiPriority w:val="34"/>
    <w:qFormat/>
    <w:pPr>
      <w:pBdr/>
      <w:spacing/>
      <w:ind w:left="720"/>
      <w:contextualSpacing w:val="true"/>
    </w:pPr>
  </w:style>
  <w:style w:type="character" w:styleId="953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4">
    <w:name w:val="Intense Quote"/>
    <w:basedOn w:val="984"/>
    <w:next w:val="984"/>
    <w:link w:val="9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5">
    <w:name w:val="Intense Quote Char"/>
    <w:basedOn w:val="985"/>
    <w:link w:val="9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6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7">
    <w:name w:val="No Spacing"/>
    <w:basedOn w:val="984"/>
    <w:uiPriority w:val="1"/>
    <w:qFormat/>
    <w:pPr>
      <w:pBdr/>
      <w:spacing w:after="0" w:line="240" w:lineRule="auto"/>
      <w:ind/>
    </w:pPr>
  </w:style>
  <w:style w:type="character" w:styleId="958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9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60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961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2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3">
    <w:name w:val="Header Char"/>
    <w:basedOn w:val="985"/>
    <w:link w:val="993"/>
    <w:uiPriority w:val="99"/>
    <w:pPr>
      <w:pBdr/>
      <w:spacing/>
      <w:ind/>
    </w:pPr>
  </w:style>
  <w:style w:type="character" w:styleId="964">
    <w:name w:val="Footer Char"/>
    <w:basedOn w:val="985"/>
    <w:link w:val="992"/>
    <w:uiPriority w:val="99"/>
    <w:pPr>
      <w:pBdr/>
      <w:spacing/>
      <w:ind/>
    </w:pPr>
  </w:style>
  <w:style w:type="paragraph" w:styleId="965">
    <w:name w:val="footnote text"/>
    <w:basedOn w:val="984"/>
    <w:link w:val="9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6">
    <w:name w:val="Footnote Text Char"/>
    <w:basedOn w:val="985"/>
    <w:link w:val="965"/>
    <w:uiPriority w:val="99"/>
    <w:semiHidden/>
    <w:pPr>
      <w:pBdr/>
      <w:spacing/>
      <w:ind/>
    </w:pPr>
    <w:rPr>
      <w:sz w:val="20"/>
      <w:szCs w:val="20"/>
    </w:rPr>
  </w:style>
  <w:style w:type="character" w:styleId="967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8">
    <w:name w:val="endnote text"/>
    <w:basedOn w:val="984"/>
    <w:link w:val="9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9">
    <w:name w:val="Endnote Text Char"/>
    <w:basedOn w:val="985"/>
    <w:link w:val="968"/>
    <w:uiPriority w:val="99"/>
    <w:semiHidden/>
    <w:pPr>
      <w:pBdr/>
      <w:spacing/>
      <w:ind/>
    </w:pPr>
    <w:rPr>
      <w:sz w:val="20"/>
      <w:szCs w:val="20"/>
    </w:rPr>
  </w:style>
  <w:style w:type="character" w:styleId="970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71">
    <w:name w:val="Hyperlink"/>
    <w:basedOn w:val="9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2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3">
    <w:name w:val="toc 1"/>
    <w:basedOn w:val="984"/>
    <w:next w:val="984"/>
    <w:uiPriority w:val="39"/>
    <w:unhideWhenUsed/>
    <w:pPr>
      <w:pBdr/>
      <w:spacing w:after="100"/>
      <w:ind/>
    </w:pPr>
  </w:style>
  <w:style w:type="paragraph" w:styleId="974">
    <w:name w:val="toc 2"/>
    <w:basedOn w:val="984"/>
    <w:next w:val="984"/>
    <w:uiPriority w:val="39"/>
    <w:unhideWhenUsed/>
    <w:pPr>
      <w:pBdr/>
      <w:spacing w:after="100"/>
      <w:ind w:left="220"/>
    </w:pPr>
  </w:style>
  <w:style w:type="paragraph" w:styleId="975">
    <w:name w:val="toc 3"/>
    <w:basedOn w:val="984"/>
    <w:next w:val="984"/>
    <w:uiPriority w:val="39"/>
    <w:unhideWhenUsed/>
    <w:pPr>
      <w:pBdr/>
      <w:spacing w:after="100"/>
      <w:ind w:left="440"/>
    </w:pPr>
  </w:style>
  <w:style w:type="paragraph" w:styleId="976">
    <w:name w:val="toc 4"/>
    <w:basedOn w:val="984"/>
    <w:next w:val="984"/>
    <w:uiPriority w:val="39"/>
    <w:unhideWhenUsed/>
    <w:pPr>
      <w:pBdr/>
      <w:spacing w:after="100"/>
      <w:ind w:left="660"/>
    </w:pPr>
  </w:style>
  <w:style w:type="paragraph" w:styleId="977">
    <w:name w:val="toc 5"/>
    <w:basedOn w:val="984"/>
    <w:next w:val="984"/>
    <w:uiPriority w:val="39"/>
    <w:unhideWhenUsed/>
    <w:pPr>
      <w:pBdr/>
      <w:spacing w:after="100"/>
      <w:ind w:left="880"/>
    </w:pPr>
  </w:style>
  <w:style w:type="paragraph" w:styleId="978">
    <w:name w:val="toc 6"/>
    <w:basedOn w:val="984"/>
    <w:next w:val="984"/>
    <w:uiPriority w:val="39"/>
    <w:unhideWhenUsed/>
    <w:pPr>
      <w:pBdr/>
      <w:spacing w:after="100"/>
      <w:ind w:left="1100"/>
    </w:pPr>
  </w:style>
  <w:style w:type="paragraph" w:styleId="979">
    <w:name w:val="toc 7"/>
    <w:basedOn w:val="984"/>
    <w:next w:val="984"/>
    <w:uiPriority w:val="39"/>
    <w:unhideWhenUsed/>
    <w:pPr>
      <w:pBdr/>
      <w:spacing w:after="100"/>
      <w:ind w:left="1320"/>
    </w:pPr>
  </w:style>
  <w:style w:type="paragraph" w:styleId="980">
    <w:name w:val="toc 8"/>
    <w:basedOn w:val="984"/>
    <w:next w:val="984"/>
    <w:uiPriority w:val="39"/>
    <w:unhideWhenUsed/>
    <w:pPr>
      <w:pBdr/>
      <w:spacing w:after="100"/>
      <w:ind w:left="1540"/>
    </w:pPr>
  </w:style>
  <w:style w:type="paragraph" w:styleId="981">
    <w:name w:val="toc 9"/>
    <w:basedOn w:val="984"/>
    <w:next w:val="984"/>
    <w:uiPriority w:val="39"/>
    <w:unhideWhenUsed/>
    <w:pPr>
      <w:pBdr/>
      <w:spacing w:after="100"/>
      <w:ind w:left="1760"/>
    </w:pPr>
  </w:style>
  <w:style w:type="paragraph" w:styleId="982">
    <w:name w:val="TOC Heading"/>
    <w:uiPriority w:val="39"/>
    <w:unhideWhenUsed/>
    <w:pPr>
      <w:pBdr/>
      <w:spacing/>
      <w:ind/>
    </w:pPr>
  </w:style>
  <w:style w:type="paragraph" w:styleId="983">
    <w:name w:val="table of figures"/>
    <w:basedOn w:val="984"/>
    <w:next w:val="984"/>
    <w:uiPriority w:val="99"/>
    <w:unhideWhenUsed/>
    <w:pPr>
      <w:pBdr/>
      <w:spacing w:after="0" w:afterAutospacing="0"/>
      <w:ind/>
    </w:pPr>
  </w:style>
  <w:style w:type="paragraph" w:styleId="984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Calibri" w:hAnsi="Calibri" w:eastAsia="宋体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styleId="985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986">
    <w:name w:val="标题样式"/>
    <w:basedOn w:val="984"/>
    <w:next w:val="987"/>
    <w:qFormat/>
    <w:pPr>
      <w:keepNext w:val="true"/>
      <w:pBdr/>
      <w:spacing w:after="120" w:before="240"/>
      <w:ind/>
    </w:pPr>
    <w:rPr>
      <w:rFonts w:ascii="Liberation Sans" w:hAnsi="Liberation Sans" w:eastAsia="Arial Unicode MS" w:cs="Arial Unicode MS"/>
      <w:sz w:val="28"/>
      <w:szCs w:val="28"/>
    </w:rPr>
  </w:style>
  <w:style w:type="paragraph" w:styleId="987">
    <w:name w:val="Body Text"/>
    <w:basedOn w:val="984"/>
    <w:pPr>
      <w:pBdr/>
      <w:spacing w:after="140" w:before="0" w:line="276" w:lineRule="auto"/>
      <w:ind/>
    </w:pPr>
  </w:style>
  <w:style w:type="paragraph" w:styleId="988">
    <w:name w:val="List"/>
    <w:basedOn w:val="987"/>
    <w:pPr>
      <w:pBdr/>
      <w:spacing/>
      <w:ind/>
    </w:pPr>
    <w:rPr>
      <w:rFonts w:cs="Arial Unicode MS"/>
    </w:rPr>
  </w:style>
  <w:style w:type="paragraph" w:styleId="989">
    <w:name w:val="Caption"/>
    <w:basedOn w:val="984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990">
    <w:name w:val="索引"/>
    <w:basedOn w:val="984"/>
    <w:qFormat/>
    <w:pPr>
      <w:suppressLineNumbers w:val="true"/>
      <w:pBdr/>
      <w:spacing/>
      <w:ind/>
    </w:pPr>
    <w:rPr>
      <w:rFonts w:cs="Arial Unicode MS"/>
    </w:rPr>
  </w:style>
  <w:style w:type="paragraph" w:styleId="991">
    <w:name w:val="页眉与页脚"/>
    <w:basedOn w:val="984"/>
    <w:qFormat/>
    <w:pPr>
      <w:pBdr/>
      <w:spacing/>
      <w:ind/>
    </w:pPr>
  </w:style>
  <w:style w:type="paragraph" w:styleId="992">
    <w:name w:val="Footer"/>
    <w:basedOn w:val="984"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993">
    <w:name w:val="Header"/>
    <w:basedOn w:val="984"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994">
    <w:name w:val="Frame Contents"/>
    <w:basedOn w:val="984"/>
    <w:qFormat/>
    <w:pPr>
      <w:pBdr/>
      <w:spacing/>
      <w:ind/>
    </w:pPr>
  </w:style>
  <w:style w:type="paragraph" w:styleId="995">
    <w:name w:val="框架内容"/>
    <w:basedOn w:val="984"/>
    <w:qFormat/>
    <w:pPr>
      <w:pBdr/>
      <w:spacing/>
      <w:ind/>
    </w:pPr>
  </w:style>
  <w:style w:type="numbering" w:styleId="996">
    <w:name w:val="无列表"/>
    <w:uiPriority w:val="99"/>
    <w:semiHidden/>
    <w:unhideWhenUsed/>
    <w:qFormat/>
    <w:pPr>
      <w:pBdr/>
      <w:spacing/>
      <w:ind/>
    </w:pPr>
  </w:style>
  <w:style w:type="table" w:styleId="99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46A49A8-BA3F-7949-B4F7-9CDD62BBA6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fdrhett</dc:creator>
  <dc:description/>
  <dc:language>zh-CN</dc:language>
  <cp:revision>11</cp:revision>
  <dcterms:created xsi:type="dcterms:W3CDTF">2022-05-31T05:49:00Z</dcterms:created>
  <dcterms:modified xsi:type="dcterms:W3CDTF">2024-12-16T23:36:30Z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