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oter6.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document.xml" ContentType="application/vnd.openxmlformats-officedocument.wordprocessingml.document.main+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settings.xml" ContentType="application/vnd.openxmlformats-officedocument.wordprocessingml.setting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footer5.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eastAsia="宋体-繁"/>
        </w:rPr>
      </w:pPr>
      <w:bookmarkStart w:id="0" w:name="__RefHeading___Toc6987_4090689648"/>
      <w:bookmarkStart w:id="1" w:name="_Toc146969309"/>
      <w:bookmarkStart w:id="2" w:name="_Toc147663403"/>
      <w:bookmarkStart w:id="3" w:name="_Toc146968623"/>
      <w:bookmarkEnd w:id="0"/>
      <w:r>
        <w:rPr>
          <w:rFonts w:eastAsia="宋体-繁"/>
          <w:sz w:val="44"/>
          <w:szCs w:val="44"/>
        </w:rPr>
        <w:t>中華民族聯邦共和國憲法</w:t>
      </w:r>
      <w:bookmarkEnd w:id="1"/>
      <w:bookmarkEnd w:id="2"/>
      <w:bookmarkEnd w:id="3"/>
    </w:p>
    <w:p>
      <w:pPr>
        <w:pStyle w:val="11"/>
        <w:numPr>
          <w:ilvl w:val="0"/>
          <w:numId w:val="0"/>
        </w:numPr>
        <w:tabs>
          <w:tab w:val="clear" w:pos="210"/>
          <w:tab w:val="left" w:pos="420" w:leader="none"/>
        </w:tabs>
        <w:ind w:hanging="0" w:left="0"/>
        <w:jc w:val="center"/>
        <w:outlineLvl w:val="1"/>
        <w:rPr>
          <w:rFonts w:eastAsia="宋体-繁"/>
        </w:rPr>
      </w:pPr>
      <w:bookmarkStart w:id="4" w:name="__RefHeading___Toc6989_4090689648"/>
      <w:bookmarkStart w:id="5" w:name="_Toc147663404"/>
      <w:bookmarkEnd w:id="4"/>
      <w:r>
        <w:rPr>
          <w:rFonts w:eastAsia="宋体-繁"/>
          <w:color w:themeColor="text1" w:val="000000"/>
          <w:sz w:val="36"/>
          <w:szCs w:val="36"/>
        </w:rPr>
        <w:t>目錄</w:t>
      </w:r>
      <w:bookmarkEnd w:id="5"/>
    </w:p>
    <w:sdt>
      <w:sdtPr>
        <w:docPartObj>
          <w:docPartGallery w:val="Table of Contents"/>
          <w:docPartUnique w:val="true"/>
        </w:docPartObj>
      </w:sdtPr>
      <w:sdtContent>
        <w:p>
          <w:pPr>
            <w:pStyle w:val="TOC2"/>
            <w:tabs>
              <w:tab w:val="clear" w:pos="210"/>
              <w:tab w:val="right" w:pos="9690" w:leader="dot"/>
            </w:tabs>
            <w:rPr/>
          </w:pPr>
          <w:r>
            <w:fldChar w:fldCharType="begin"/>
          </w:r>
          <w:r>
            <w:rPr>
              <w:rStyle w:val="Style13"/>
              <w:rFonts w:ascii="宋体-繁" w:hAnsi="宋体-繁" w:eastAsia="宋体-繁"/>
            </w:rPr>
            <w:instrText xml:space="preserve"> TOC \f \o "1-2" \h</w:instrText>
          </w:r>
          <w:r>
            <w:rPr>
              <w:rStyle w:val="Style13"/>
              <w:rFonts w:ascii="宋体-繁" w:hAnsi="宋体-繁" w:eastAsia="宋体-繁"/>
            </w:rPr>
            <w:fldChar w:fldCharType="separate"/>
          </w:r>
          <w:hyperlink w:anchor="__RefHeading___Toc6989_4090689648">
            <w:r>
              <w:rPr>
                <w:rStyle w:val="Style13"/>
                <w:rFonts w:ascii="宋体-繁" w:hAnsi="宋体-繁" w:eastAsia="宋体-繁"/>
              </w:rPr>
              <w:t>目錄</w:t>
            </w:r>
            <w:r>
              <w:rPr>
                <w:rStyle w:val="Style13"/>
                <w:rFonts w:eastAsia="宋体-繁" w:ascii="宋体-繁" w:hAnsi="宋体-繁"/>
              </w:rPr>
              <w:tab/>
              <w:t>1</w:t>
            </w:r>
          </w:hyperlink>
        </w:p>
        <w:p>
          <w:pPr>
            <w:pStyle w:val="TOC1"/>
            <w:tabs>
              <w:tab w:val="clear" w:pos="210"/>
              <w:tab w:val="right" w:pos="9690" w:leader="dot"/>
            </w:tabs>
            <w:rPr/>
          </w:pPr>
          <w:hyperlink w:anchor="__RefHeading___Toc6991_4090689648">
            <w:r>
              <w:rPr>
                <w:rStyle w:val="Style13"/>
                <w:rFonts w:ascii="宋体-繁" w:hAnsi="宋体-繁" w:eastAsia="宋体-繁"/>
              </w:rPr>
              <w:t>第一章 總則</w:t>
            </w:r>
            <w:r>
              <w:rPr>
                <w:rStyle w:val="Style13"/>
                <w:rFonts w:eastAsia="宋体-繁" w:ascii="宋体-繁" w:hAnsi="宋体-繁"/>
              </w:rPr>
              <w:tab/>
              <w:t>2</w:t>
            </w:r>
          </w:hyperlink>
        </w:p>
        <w:p>
          <w:pPr>
            <w:pStyle w:val="TOC2"/>
            <w:tabs>
              <w:tab w:val="clear" w:pos="210"/>
              <w:tab w:val="right" w:pos="9690" w:leader="dot"/>
            </w:tabs>
            <w:rPr/>
          </w:pPr>
          <w:hyperlink w:anchor="__RefHeading___Toc6993_4090689648">
            <w:r>
              <w:rPr>
                <w:rStyle w:val="Style13"/>
                <w:rFonts w:ascii="宋体-繁" w:hAnsi="宋体-繁" w:eastAsia="宋体-繁"/>
              </w:rPr>
              <w:t>第一節 國家的定義</w:t>
            </w:r>
            <w:r>
              <w:rPr>
                <w:rStyle w:val="Style13"/>
                <w:rFonts w:eastAsia="宋体-繁" w:ascii="宋体-繁" w:hAnsi="宋体-繁"/>
              </w:rPr>
              <w:tab/>
              <w:t>2</w:t>
            </w:r>
          </w:hyperlink>
        </w:p>
        <w:p>
          <w:pPr>
            <w:pStyle w:val="TOC2"/>
            <w:tabs>
              <w:tab w:val="clear" w:pos="210"/>
              <w:tab w:val="right" w:pos="9690" w:leader="dot"/>
            </w:tabs>
            <w:rPr/>
          </w:pPr>
          <w:hyperlink w:anchor="__RefHeading___Toc6995_4090689648">
            <w:r>
              <w:rPr>
                <w:rStyle w:val="Style13"/>
                <w:rFonts w:ascii="宋体-繁" w:hAnsi="宋体-繁" w:eastAsia="宋体-繁"/>
              </w:rPr>
              <w:t>第二節 憲法的定義</w:t>
            </w:r>
            <w:r>
              <w:rPr>
                <w:rStyle w:val="Style13"/>
                <w:rFonts w:eastAsia="宋体-繁" w:ascii="宋体-繁" w:hAnsi="宋体-繁"/>
              </w:rPr>
              <w:tab/>
              <w:t>5</w:t>
            </w:r>
          </w:hyperlink>
        </w:p>
        <w:p>
          <w:pPr>
            <w:pStyle w:val="TOC2"/>
            <w:tabs>
              <w:tab w:val="clear" w:pos="210"/>
              <w:tab w:val="right" w:pos="9690" w:leader="dot"/>
            </w:tabs>
            <w:rPr/>
          </w:pPr>
          <w:hyperlink w:anchor="__RefHeading___Toc6997_4090689648">
            <w:r>
              <w:rPr>
                <w:rStyle w:val="Style13"/>
                <w:rFonts w:ascii="宋体-繁" w:hAnsi="宋体-繁" w:eastAsia="宋体-繁"/>
              </w:rPr>
              <w:t>第三節 軍隊的定義</w:t>
            </w:r>
            <w:r>
              <w:rPr>
                <w:rStyle w:val="Style13"/>
                <w:rFonts w:eastAsia="宋体-繁" w:ascii="宋体-繁" w:hAnsi="宋体-繁"/>
              </w:rPr>
              <w:tab/>
              <w:t>5</w:t>
            </w:r>
          </w:hyperlink>
        </w:p>
        <w:p>
          <w:pPr>
            <w:pStyle w:val="TOC2"/>
            <w:tabs>
              <w:tab w:val="clear" w:pos="210"/>
              <w:tab w:val="right" w:pos="9690" w:leader="dot"/>
            </w:tabs>
            <w:rPr/>
          </w:pPr>
          <w:hyperlink w:anchor="__RefHeading___Toc6999_4090689648">
            <w:r>
              <w:rPr>
                <w:rStyle w:val="Style13"/>
                <w:rFonts w:ascii="宋体-繁" w:hAnsi="宋体-繁" w:eastAsia="宋体-繁"/>
              </w:rPr>
              <w:t>第四節 公民的權利與義務</w:t>
            </w:r>
            <w:r>
              <w:rPr>
                <w:rStyle w:val="Style13"/>
                <w:rFonts w:eastAsia="宋体-繁" w:ascii="宋体-繁" w:hAnsi="宋体-繁"/>
              </w:rPr>
              <w:tab/>
              <w:t>6</w:t>
            </w:r>
          </w:hyperlink>
        </w:p>
        <w:p>
          <w:pPr>
            <w:pStyle w:val="TOC2"/>
            <w:tabs>
              <w:tab w:val="clear" w:pos="210"/>
              <w:tab w:val="right" w:pos="9690" w:leader="dot"/>
            </w:tabs>
            <w:rPr/>
          </w:pPr>
          <w:hyperlink w:anchor="__RefHeading___Toc7001_4090689648">
            <w:r>
              <w:rPr>
                <w:rStyle w:val="Style13"/>
                <w:rFonts w:ascii="宋体-繁" w:hAnsi="宋体-繁" w:eastAsia="宋体-繁"/>
              </w:rPr>
              <w:t>第五節 憲法的特別條款</w:t>
            </w:r>
            <w:r>
              <w:rPr>
                <w:rStyle w:val="Style13"/>
                <w:rFonts w:eastAsia="宋体-繁" w:ascii="宋体-繁" w:hAnsi="宋体-繁"/>
              </w:rPr>
              <w:tab/>
              <w:t>8</w:t>
            </w:r>
          </w:hyperlink>
        </w:p>
        <w:p>
          <w:pPr>
            <w:pStyle w:val="TOC1"/>
            <w:tabs>
              <w:tab w:val="clear" w:pos="210"/>
              <w:tab w:val="right" w:pos="9690" w:leader="dot"/>
            </w:tabs>
            <w:rPr/>
          </w:pPr>
          <w:hyperlink w:anchor="__RefHeading___Toc7003_4090689648">
            <w:r>
              <w:rPr>
                <w:rStyle w:val="Style13"/>
                <w:rFonts w:ascii="宋体-繁" w:hAnsi="宋体-繁" w:eastAsia="宋体-繁"/>
              </w:rPr>
              <w:t>第二章 政府</w:t>
            </w:r>
            <w:r>
              <w:rPr>
                <w:rStyle w:val="Style13"/>
                <w:rFonts w:eastAsia="宋体-繁" w:ascii="宋体-繁" w:hAnsi="宋体-繁"/>
              </w:rPr>
              <w:tab/>
              <w:t>10</w:t>
            </w:r>
          </w:hyperlink>
        </w:p>
        <w:p>
          <w:pPr>
            <w:pStyle w:val="TOC2"/>
            <w:tabs>
              <w:tab w:val="clear" w:pos="210"/>
              <w:tab w:val="right" w:pos="9690" w:leader="dot"/>
            </w:tabs>
            <w:rPr/>
          </w:pPr>
          <w:hyperlink w:anchor="__RefHeading___Toc7005_4090689648">
            <w:r>
              <w:rPr>
                <w:rStyle w:val="Style13"/>
                <w:rFonts w:ascii="宋体-繁" w:hAnsi="宋体-繁" w:eastAsia="宋体-繁"/>
              </w:rPr>
              <w:t>第一節 總統府</w:t>
            </w:r>
            <w:r>
              <w:rPr>
                <w:rStyle w:val="Style13"/>
                <w:rFonts w:eastAsia="宋体-繁" w:ascii="宋体-繁" w:hAnsi="宋体-繁"/>
              </w:rPr>
              <w:tab/>
              <w:t>10</w:t>
            </w:r>
          </w:hyperlink>
        </w:p>
        <w:p>
          <w:pPr>
            <w:pStyle w:val="TOC2"/>
            <w:tabs>
              <w:tab w:val="clear" w:pos="210"/>
              <w:tab w:val="right" w:pos="9690" w:leader="dot"/>
            </w:tabs>
            <w:rPr/>
          </w:pPr>
          <w:hyperlink w:anchor="__RefHeading___Toc7007_4090689648">
            <w:r>
              <w:rPr>
                <w:rStyle w:val="Style13"/>
                <w:rFonts w:ascii="宋体-繁" w:hAnsi="宋体-繁" w:eastAsia="宋体-繁"/>
              </w:rPr>
              <w:t>第二節 省政府</w:t>
            </w:r>
            <w:r>
              <w:rPr>
                <w:rStyle w:val="Style13"/>
                <w:rFonts w:eastAsia="宋体-繁" w:ascii="宋体-繁" w:hAnsi="宋体-繁"/>
              </w:rPr>
              <w:tab/>
              <w:t>11</w:t>
            </w:r>
          </w:hyperlink>
        </w:p>
        <w:p>
          <w:pPr>
            <w:pStyle w:val="TOC2"/>
            <w:tabs>
              <w:tab w:val="clear" w:pos="210"/>
              <w:tab w:val="right" w:pos="9690" w:leader="dot"/>
            </w:tabs>
            <w:rPr/>
          </w:pPr>
          <w:hyperlink w:anchor="__RefHeading___Toc7009_4090689648">
            <w:r>
              <w:rPr>
                <w:rStyle w:val="Style13"/>
                <w:rFonts w:ascii="宋体-繁" w:hAnsi="宋体-繁" w:eastAsia="宋体-繁"/>
              </w:rPr>
              <w:t>第三節 市政府</w:t>
            </w:r>
            <w:r>
              <w:rPr>
                <w:rStyle w:val="Style13"/>
                <w:rFonts w:eastAsia="宋体-繁" w:ascii="宋体-繁" w:hAnsi="宋体-繁"/>
              </w:rPr>
              <w:tab/>
              <w:t>12</w:t>
            </w:r>
          </w:hyperlink>
        </w:p>
        <w:p>
          <w:pPr>
            <w:pStyle w:val="TOC2"/>
            <w:tabs>
              <w:tab w:val="clear" w:pos="210"/>
              <w:tab w:val="right" w:pos="9690" w:leader="dot"/>
            </w:tabs>
            <w:rPr/>
          </w:pPr>
          <w:hyperlink w:anchor="__RefHeading___Toc7011_4090689648">
            <w:r>
              <w:rPr>
                <w:rStyle w:val="Style13"/>
                <w:rFonts w:ascii="宋体-繁" w:hAnsi="宋体-繁" w:eastAsia="宋体-繁"/>
              </w:rPr>
              <w:t>第四節 鎮政府</w:t>
            </w:r>
            <w:r>
              <w:rPr>
                <w:rStyle w:val="Style13"/>
                <w:rFonts w:eastAsia="宋体-繁" w:ascii="宋体-繁" w:hAnsi="宋体-繁"/>
              </w:rPr>
              <w:tab/>
              <w:t>13</w:t>
            </w:r>
          </w:hyperlink>
        </w:p>
        <w:p>
          <w:pPr>
            <w:pStyle w:val="TOC1"/>
            <w:tabs>
              <w:tab w:val="clear" w:pos="210"/>
              <w:tab w:val="right" w:pos="9690" w:leader="dot"/>
            </w:tabs>
            <w:rPr/>
          </w:pPr>
          <w:hyperlink w:anchor="__RefHeading___Toc7013_4090689648">
            <w:r>
              <w:rPr>
                <w:rStyle w:val="Style13"/>
                <w:rFonts w:ascii="宋体-繁" w:hAnsi="宋体-繁" w:eastAsia="宋体-繁"/>
              </w:rPr>
              <w:t>第三章 立法院</w:t>
            </w:r>
            <w:r>
              <w:rPr>
                <w:rStyle w:val="Style13"/>
                <w:rFonts w:eastAsia="宋体-繁" w:ascii="宋体-繁" w:hAnsi="宋体-繁"/>
              </w:rPr>
              <w:tab/>
              <w:t>13</w:t>
            </w:r>
          </w:hyperlink>
        </w:p>
        <w:p>
          <w:pPr>
            <w:pStyle w:val="TOC2"/>
            <w:tabs>
              <w:tab w:val="clear" w:pos="210"/>
              <w:tab w:val="right" w:pos="9690" w:leader="dot"/>
            </w:tabs>
            <w:rPr/>
          </w:pPr>
          <w:hyperlink w:anchor="__RefHeading___Toc7015_4090689648">
            <w:r>
              <w:rPr>
                <w:rStyle w:val="Style13"/>
                <w:rFonts w:ascii="宋体-繁" w:hAnsi="宋体-繁" w:eastAsia="宋体-繁"/>
              </w:rPr>
              <w:t>第一節 國家立法院</w:t>
            </w:r>
            <w:r>
              <w:rPr>
                <w:rStyle w:val="Style13"/>
                <w:rFonts w:eastAsia="宋体-繁" w:ascii="宋体-繁" w:hAnsi="宋体-繁"/>
              </w:rPr>
              <w:tab/>
              <w:t>13</w:t>
            </w:r>
          </w:hyperlink>
        </w:p>
        <w:p>
          <w:pPr>
            <w:pStyle w:val="TOC2"/>
            <w:tabs>
              <w:tab w:val="clear" w:pos="210"/>
              <w:tab w:val="right" w:pos="9690" w:leader="dot"/>
            </w:tabs>
            <w:rPr/>
          </w:pPr>
          <w:hyperlink w:anchor="__RefHeading___Toc7017_4090689648">
            <w:r>
              <w:rPr>
                <w:rStyle w:val="Style13"/>
                <w:rFonts w:ascii="宋体-繁" w:hAnsi="宋体-繁" w:eastAsia="宋体-繁"/>
              </w:rPr>
              <w:t>第二節 省立法院</w:t>
            </w:r>
            <w:r>
              <w:rPr>
                <w:rStyle w:val="Style13"/>
                <w:rFonts w:eastAsia="宋体-繁" w:ascii="宋体-繁" w:hAnsi="宋体-繁"/>
              </w:rPr>
              <w:tab/>
              <w:t>14</w:t>
            </w:r>
          </w:hyperlink>
        </w:p>
        <w:p>
          <w:pPr>
            <w:pStyle w:val="TOC2"/>
            <w:tabs>
              <w:tab w:val="clear" w:pos="210"/>
              <w:tab w:val="right" w:pos="9690" w:leader="dot"/>
            </w:tabs>
            <w:rPr/>
          </w:pPr>
          <w:hyperlink w:anchor="__RefHeading___Toc7019_4090689648">
            <w:r>
              <w:rPr>
                <w:rStyle w:val="Style13"/>
                <w:rFonts w:ascii="宋体-繁" w:hAnsi="宋体-繁" w:eastAsia="宋体-繁"/>
              </w:rPr>
              <w:t>第三節 市立法會</w:t>
            </w:r>
            <w:r>
              <w:rPr>
                <w:rStyle w:val="Style13"/>
                <w:rFonts w:eastAsia="宋体-繁" w:ascii="宋体-繁" w:hAnsi="宋体-繁"/>
              </w:rPr>
              <w:tab/>
              <w:t>15</w:t>
            </w:r>
          </w:hyperlink>
        </w:p>
        <w:p>
          <w:pPr>
            <w:pStyle w:val="TOC1"/>
            <w:tabs>
              <w:tab w:val="clear" w:pos="210"/>
              <w:tab w:val="right" w:pos="9690" w:leader="dot"/>
            </w:tabs>
            <w:rPr/>
          </w:pPr>
          <w:hyperlink w:anchor="__RefHeading___Toc7021_4090689648">
            <w:r>
              <w:rPr>
                <w:rStyle w:val="Style13"/>
                <w:rFonts w:ascii="宋体-繁" w:hAnsi="宋体-繁" w:eastAsia="宋体-繁"/>
              </w:rPr>
              <w:t>第四章 司法院</w:t>
            </w:r>
            <w:r>
              <w:rPr>
                <w:rStyle w:val="Style13"/>
                <w:rFonts w:eastAsia="宋体-繁" w:ascii="宋体-繁" w:hAnsi="宋体-繁"/>
              </w:rPr>
              <w:tab/>
              <w:t>15</w:t>
            </w:r>
          </w:hyperlink>
        </w:p>
        <w:p>
          <w:pPr>
            <w:pStyle w:val="TOC2"/>
            <w:tabs>
              <w:tab w:val="clear" w:pos="210"/>
              <w:tab w:val="right" w:pos="9690" w:leader="dot"/>
            </w:tabs>
            <w:rPr/>
          </w:pPr>
          <w:hyperlink w:anchor="__RefHeading___Toc7023_4090689648">
            <w:r>
              <w:rPr>
                <w:rStyle w:val="Style13"/>
                <w:rFonts w:ascii="宋体-繁" w:hAnsi="宋体-繁" w:eastAsia="宋体-繁"/>
              </w:rPr>
              <w:t>第一節 國家司法院</w:t>
            </w:r>
            <w:r>
              <w:rPr>
                <w:rStyle w:val="Style13"/>
                <w:rFonts w:eastAsia="宋体-繁" w:ascii="宋体-繁" w:hAnsi="宋体-繁"/>
              </w:rPr>
              <w:tab/>
              <w:t>15</w:t>
            </w:r>
          </w:hyperlink>
        </w:p>
        <w:p>
          <w:pPr>
            <w:pStyle w:val="TOC2"/>
            <w:tabs>
              <w:tab w:val="clear" w:pos="210"/>
              <w:tab w:val="right" w:pos="9690" w:leader="dot"/>
            </w:tabs>
            <w:rPr/>
          </w:pPr>
          <w:hyperlink w:anchor="__RefHeading___Toc7025_4090689648">
            <w:r>
              <w:rPr>
                <w:rStyle w:val="Style13"/>
                <w:rFonts w:ascii="宋体-繁" w:hAnsi="宋体-繁" w:eastAsia="宋体-繁"/>
              </w:rPr>
              <w:t>第二節 省司法院</w:t>
            </w:r>
            <w:r>
              <w:rPr>
                <w:rStyle w:val="Style13"/>
                <w:rFonts w:eastAsia="宋体-繁" w:ascii="宋体-繁" w:hAnsi="宋体-繁"/>
              </w:rPr>
              <w:tab/>
              <w:t>16</w:t>
            </w:r>
          </w:hyperlink>
        </w:p>
        <w:p>
          <w:pPr>
            <w:pStyle w:val="TOC2"/>
            <w:tabs>
              <w:tab w:val="clear" w:pos="210"/>
              <w:tab w:val="right" w:pos="9690" w:leader="dot"/>
            </w:tabs>
            <w:rPr/>
          </w:pPr>
          <w:hyperlink w:anchor="__RefHeading___Toc7027_4090689648">
            <w:r>
              <w:rPr>
                <w:rStyle w:val="Style13"/>
                <w:rFonts w:ascii="宋体-繁" w:hAnsi="宋体-繁" w:eastAsia="宋体-繁"/>
              </w:rPr>
              <w:t>第三節 市司法院</w:t>
            </w:r>
            <w:r>
              <w:rPr>
                <w:rStyle w:val="Style13"/>
                <w:rFonts w:eastAsia="宋体-繁" w:ascii="宋体-繁" w:hAnsi="宋体-繁"/>
              </w:rPr>
              <w:tab/>
              <w:t>16</w:t>
            </w:r>
          </w:hyperlink>
        </w:p>
        <w:p>
          <w:pPr>
            <w:pStyle w:val="TOC1"/>
            <w:tabs>
              <w:tab w:val="clear" w:pos="210"/>
              <w:tab w:val="right" w:pos="9690" w:leader="dot"/>
            </w:tabs>
            <w:rPr/>
          </w:pPr>
          <w:hyperlink w:anchor="__RefHeading___Toc7029_4090689648">
            <w:r>
              <w:rPr>
                <w:rStyle w:val="Style13"/>
                <w:rFonts w:ascii="宋体-繁" w:hAnsi="宋体-繁" w:eastAsia="宋体-繁"/>
              </w:rPr>
              <w:t>第五章 監察院</w:t>
            </w:r>
            <w:r>
              <w:rPr>
                <w:rStyle w:val="Style13"/>
                <w:rFonts w:eastAsia="宋体-繁" w:ascii="宋体-繁" w:hAnsi="宋体-繁"/>
              </w:rPr>
              <w:tab/>
              <w:t>17</w:t>
            </w:r>
          </w:hyperlink>
        </w:p>
        <w:p>
          <w:pPr>
            <w:pStyle w:val="TOC2"/>
            <w:tabs>
              <w:tab w:val="clear" w:pos="210"/>
              <w:tab w:val="right" w:pos="9690" w:leader="dot"/>
            </w:tabs>
            <w:rPr/>
          </w:pPr>
          <w:hyperlink w:anchor="__RefHeading___Toc7031_4090689648">
            <w:r>
              <w:rPr>
                <w:rStyle w:val="Style13"/>
                <w:rFonts w:ascii="宋体-繁" w:hAnsi="宋体-繁" w:eastAsia="宋体-繁"/>
              </w:rPr>
              <w:t>第一節 國家監察院</w:t>
            </w:r>
            <w:r>
              <w:rPr>
                <w:rStyle w:val="Style13"/>
                <w:rFonts w:eastAsia="宋体-繁" w:ascii="宋体-繁" w:hAnsi="宋体-繁"/>
              </w:rPr>
              <w:tab/>
              <w:t>17</w:t>
            </w:r>
          </w:hyperlink>
        </w:p>
        <w:p>
          <w:pPr>
            <w:pStyle w:val="TOC2"/>
            <w:tabs>
              <w:tab w:val="clear" w:pos="210"/>
              <w:tab w:val="right" w:pos="9690" w:leader="dot"/>
            </w:tabs>
            <w:rPr/>
          </w:pPr>
          <w:hyperlink w:anchor="__RefHeading___Toc7033_4090689648">
            <w:r>
              <w:rPr>
                <w:rStyle w:val="Style13"/>
                <w:rFonts w:ascii="宋体-繁" w:hAnsi="宋体-繁" w:eastAsia="宋体-繁"/>
              </w:rPr>
              <w:t>第二節 聯邦廉政署</w:t>
            </w:r>
            <w:r>
              <w:rPr>
                <w:rStyle w:val="Style13"/>
                <w:rFonts w:eastAsia="宋体-繁" w:ascii="宋体-繁" w:hAnsi="宋体-繁"/>
              </w:rPr>
              <w:tab/>
              <w:t>17</w:t>
            </w:r>
          </w:hyperlink>
        </w:p>
        <w:p>
          <w:pPr>
            <w:pStyle w:val="TOC2"/>
            <w:tabs>
              <w:tab w:val="clear" w:pos="210"/>
              <w:tab w:val="right" w:pos="9690" w:leader="dot"/>
            </w:tabs>
            <w:rPr/>
          </w:pPr>
          <w:hyperlink w:anchor="__RefHeading___Toc7035_4090689648">
            <w:r>
              <w:rPr>
                <w:rStyle w:val="Style13"/>
                <w:rFonts w:ascii="宋体-繁" w:hAnsi="宋体-繁" w:eastAsia="宋体-繁"/>
              </w:rPr>
              <w:t>第三節 聯邦審計署</w:t>
            </w:r>
            <w:r>
              <w:rPr>
                <w:rStyle w:val="Style13"/>
                <w:rFonts w:eastAsia="宋体-繁" w:ascii="宋体-繁" w:hAnsi="宋体-繁"/>
              </w:rPr>
              <w:tab/>
              <w:t>17</w:t>
            </w:r>
          </w:hyperlink>
        </w:p>
        <w:p>
          <w:pPr>
            <w:pStyle w:val="TOC2"/>
            <w:tabs>
              <w:tab w:val="clear" w:pos="210"/>
              <w:tab w:val="right" w:pos="9690" w:leader="dot"/>
            </w:tabs>
            <w:rPr/>
          </w:pPr>
          <w:hyperlink w:anchor="__RefHeading___Toc7037_4090689648">
            <w:r>
              <w:rPr>
                <w:rStyle w:val="Style13"/>
                <w:rFonts w:ascii="宋体-繁" w:hAnsi="宋体-繁" w:eastAsia="宋体-繁"/>
              </w:rPr>
              <w:t>第四節 聯邦調查署</w:t>
            </w:r>
            <w:r>
              <w:rPr>
                <w:rStyle w:val="Style13"/>
                <w:rFonts w:eastAsia="宋体-繁" w:ascii="宋体-繁" w:hAnsi="宋体-繁"/>
              </w:rPr>
              <w:tab/>
              <w:t>18</w:t>
            </w:r>
          </w:hyperlink>
        </w:p>
        <w:p>
          <w:pPr>
            <w:pStyle w:val="TOC2"/>
            <w:tabs>
              <w:tab w:val="clear" w:pos="210"/>
              <w:tab w:val="right" w:pos="9690" w:leader="dot"/>
            </w:tabs>
            <w:rPr/>
          </w:pPr>
          <w:hyperlink w:anchor="__RefHeading___Toc7039_4090689648">
            <w:r>
              <w:rPr>
                <w:rStyle w:val="Style13"/>
                <w:rFonts w:ascii="宋体-繁" w:hAnsi="宋体-繁" w:eastAsia="宋体-繁"/>
              </w:rPr>
              <w:t>第五節 省監察院</w:t>
            </w:r>
            <w:r>
              <w:rPr>
                <w:rStyle w:val="Style13"/>
                <w:rFonts w:eastAsia="宋体-繁" w:ascii="宋体-繁" w:hAnsi="宋体-繁"/>
              </w:rPr>
              <w:tab/>
              <w:t>18</w:t>
            </w:r>
          </w:hyperlink>
        </w:p>
        <w:p>
          <w:pPr>
            <w:pStyle w:val="TOC2"/>
            <w:tabs>
              <w:tab w:val="clear" w:pos="210"/>
              <w:tab w:val="right" w:pos="9690" w:leader="dot"/>
            </w:tabs>
            <w:rPr/>
          </w:pPr>
          <w:hyperlink w:anchor="__RefHeading___Toc7041_4090689648">
            <w:r>
              <w:rPr>
                <w:rStyle w:val="Style13"/>
                <w:rFonts w:ascii="宋体-繁" w:hAnsi="宋体-繁" w:eastAsia="宋体-繁"/>
              </w:rPr>
              <w:t>第六節 市監察院</w:t>
            </w:r>
            <w:r>
              <w:rPr>
                <w:rStyle w:val="Style13"/>
                <w:rFonts w:eastAsia="宋体-繁" w:ascii="宋体-繁" w:hAnsi="宋体-繁"/>
              </w:rPr>
              <w:tab/>
              <w:t>19</w:t>
            </w:r>
          </w:hyperlink>
        </w:p>
        <w:p>
          <w:pPr>
            <w:pStyle w:val="TOC1"/>
            <w:tabs>
              <w:tab w:val="clear" w:pos="210"/>
              <w:tab w:val="right" w:pos="9690" w:leader="dot"/>
            </w:tabs>
            <w:rPr/>
          </w:pPr>
          <w:hyperlink w:anchor="__RefHeading___Toc7043_4090689648">
            <w:r>
              <w:rPr>
                <w:rStyle w:val="Style13"/>
                <w:rFonts w:ascii="宋体-繁" w:hAnsi="宋体-繁" w:eastAsia="宋体-繁"/>
              </w:rPr>
              <w:t>第六章 教委會</w:t>
            </w:r>
            <w:r>
              <w:rPr>
                <w:rStyle w:val="Style13"/>
                <w:rFonts w:eastAsia="宋体-繁" w:ascii="宋体-繁" w:hAnsi="宋体-繁"/>
              </w:rPr>
              <w:tab/>
              <w:t>19</w:t>
            </w:r>
          </w:hyperlink>
        </w:p>
        <w:p>
          <w:pPr>
            <w:pStyle w:val="TOC2"/>
            <w:tabs>
              <w:tab w:val="clear" w:pos="210"/>
              <w:tab w:val="right" w:pos="9690" w:leader="dot"/>
            </w:tabs>
            <w:rPr/>
          </w:pPr>
          <w:hyperlink w:anchor="__RefHeading___Toc7045_4090689648">
            <w:r>
              <w:rPr>
                <w:rStyle w:val="Style13"/>
                <w:rFonts w:ascii="宋体-繁" w:hAnsi="宋体-繁" w:eastAsia="宋体-繁"/>
              </w:rPr>
              <w:t>第一節 國家教委會</w:t>
            </w:r>
            <w:r>
              <w:rPr>
                <w:rStyle w:val="Style13"/>
                <w:rFonts w:eastAsia="宋体-繁" w:ascii="宋体-繁" w:hAnsi="宋体-繁"/>
              </w:rPr>
              <w:tab/>
              <w:t>19</w:t>
            </w:r>
          </w:hyperlink>
        </w:p>
        <w:p>
          <w:pPr>
            <w:pStyle w:val="TOC2"/>
            <w:tabs>
              <w:tab w:val="clear" w:pos="210"/>
              <w:tab w:val="right" w:pos="9690" w:leader="dot"/>
            </w:tabs>
            <w:rPr/>
          </w:pPr>
          <w:hyperlink w:anchor="__RefHeading___Toc7047_4090689648">
            <w:r>
              <w:rPr>
                <w:rStyle w:val="Style13"/>
                <w:rFonts w:ascii="宋体-繁" w:hAnsi="宋体-繁" w:eastAsia="宋体-繁"/>
              </w:rPr>
              <w:t>第二節 市教委會</w:t>
            </w:r>
            <w:r>
              <w:rPr>
                <w:rStyle w:val="Style13"/>
                <w:rFonts w:eastAsia="宋体-繁" w:ascii="宋体-繁" w:hAnsi="宋体-繁"/>
              </w:rPr>
              <w:tab/>
              <w:t>20</w:t>
            </w:r>
          </w:hyperlink>
        </w:p>
        <w:p>
          <w:pPr>
            <w:pStyle w:val="TOC2"/>
            <w:tabs>
              <w:tab w:val="clear" w:pos="210"/>
              <w:tab w:val="right" w:pos="9690" w:leader="dot"/>
            </w:tabs>
            <w:rPr/>
          </w:pPr>
          <w:hyperlink w:anchor="__RefHeading___Toc7049_4090689648">
            <w:r>
              <w:rPr>
                <w:rStyle w:val="Style13"/>
                <w:rFonts w:ascii="宋体-繁" w:hAnsi="宋体-繁" w:eastAsia="宋体-繁"/>
              </w:rPr>
              <w:t>第三節 校教委會</w:t>
            </w:r>
            <w:r>
              <w:rPr>
                <w:rStyle w:val="Style13"/>
                <w:rFonts w:eastAsia="宋体-繁" w:ascii="宋体-繁" w:hAnsi="宋体-繁"/>
              </w:rPr>
              <w:tab/>
              <w:t>20</w:t>
            </w:r>
          </w:hyperlink>
        </w:p>
        <w:p>
          <w:pPr>
            <w:pStyle w:val="TOC1"/>
            <w:tabs>
              <w:tab w:val="clear" w:pos="210"/>
              <w:tab w:val="right" w:pos="9690" w:leader="dot"/>
            </w:tabs>
            <w:rPr/>
          </w:pPr>
          <w:hyperlink w:anchor="__RefHeading___Toc7051_4090689648">
            <w:r>
              <w:rPr>
                <w:rStyle w:val="Style13"/>
                <w:rFonts w:ascii="宋体-繁" w:hAnsi="宋体-繁" w:eastAsia="宋体-繁"/>
              </w:rPr>
              <w:t>第七章 儲委會</w:t>
            </w:r>
            <w:r>
              <w:rPr>
                <w:rStyle w:val="Style13"/>
                <w:rFonts w:eastAsia="宋体-繁" w:ascii="宋体-繁" w:hAnsi="宋体-繁"/>
              </w:rPr>
              <w:tab/>
              <w:t>21</w:t>
            </w:r>
          </w:hyperlink>
        </w:p>
        <w:p>
          <w:pPr>
            <w:pStyle w:val="TOC2"/>
            <w:tabs>
              <w:tab w:val="clear" w:pos="210"/>
              <w:tab w:val="right" w:pos="9690" w:leader="dot"/>
            </w:tabs>
            <w:rPr/>
          </w:pPr>
          <w:hyperlink w:anchor="__RefHeading___Toc7053_4090689648">
            <w:r>
              <w:rPr>
                <w:rStyle w:val="Style13"/>
                <w:rFonts w:ascii="宋体-繁" w:hAnsi="宋体-繁" w:eastAsia="宋体-繁"/>
              </w:rPr>
              <w:t>第一節 儲委會聯合會議</w:t>
            </w:r>
            <w:r>
              <w:rPr>
                <w:rStyle w:val="Style13"/>
                <w:rFonts w:eastAsia="宋体-繁" w:ascii="宋体-繁" w:hAnsi="宋体-繁"/>
              </w:rPr>
              <w:tab/>
              <w:t>21</w:t>
            </w:r>
          </w:hyperlink>
        </w:p>
        <w:p>
          <w:pPr>
            <w:pStyle w:val="TOC2"/>
            <w:tabs>
              <w:tab w:val="clear" w:pos="210"/>
              <w:tab w:val="right" w:pos="9690" w:leader="dot"/>
            </w:tabs>
            <w:rPr/>
          </w:pPr>
          <w:hyperlink w:anchor="__RefHeading___Toc7055_4090689648">
            <w:r>
              <w:rPr>
                <w:rStyle w:val="Style13"/>
                <w:rFonts w:ascii="宋体-繁" w:hAnsi="宋体-繁" w:eastAsia="宋体-繁"/>
              </w:rPr>
              <w:t>第二節 國家儲備委員會</w:t>
            </w:r>
            <w:r>
              <w:rPr>
                <w:rStyle w:val="Style13"/>
                <w:rFonts w:eastAsia="宋体-繁" w:ascii="宋体-繁" w:hAnsi="宋体-繁"/>
              </w:rPr>
              <w:tab/>
              <w:t>21</w:t>
            </w:r>
          </w:hyperlink>
        </w:p>
        <w:p>
          <w:pPr>
            <w:pStyle w:val="TOC2"/>
            <w:tabs>
              <w:tab w:val="clear" w:pos="210"/>
              <w:tab w:val="right" w:pos="9690" w:leader="dot"/>
            </w:tabs>
            <w:rPr/>
          </w:pPr>
          <w:hyperlink w:anchor="__RefHeading___Toc7057_4090689648">
            <w:r>
              <w:rPr>
                <w:rStyle w:val="Style13"/>
                <w:rFonts w:ascii="宋体-繁" w:hAnsi="宋体-繁" w:eastAsia="宋体-繁"/>
              </w:rPr>
              <w:t>第三節 省儲備委員會</w:t>
            </w:r>
            <w:r>
              <w:rPr>
                <w:rStyle w:val="Style13"/>
                <w:rFonts w:eastAsia="宋体-繁" w:ascii="宋体-繁" w:hAnsi="宋体-繁"/>
              </w:rPr>
              <w:tab/>
              <w:t>21</w:t>
            </w:r>
          </w:hyperlink>
        </w:p>
        <w:p>
          <w:pPr>
            <w:pStyle w:val="TOC2"/>
            <w:tabs>
              <w:tab w:val="clear" w:pos="210"/>
              <w:tab w:val="right" w:pos="9690" w:leader="dot"/>
            </w:tabs>
            <w:rPr/>
          </w:pPr>
          <w:hyperlink w:anchor="__RefHeading___Toc7059_4090689648">
            <w:r>
              <w:rPr>
                <w:rStyle w:val="Style13"/>
                <w:rFonts w:ascii="宋体-繁" w:hAnsi="宋体-繁" w:eastAsia="宋体-繁"/>
              </w:rPr>
              <w:t>第四節 公民儲備銀行</w:t>
            </w:r>
            <w:r>
              <w:rPr>
                <w:rStyle w:val="Style13"/>
                <w:rFonts w:eastAsia="宋体-繁" w:ascii="宋体-繁" w:hAnsi="宋体-繁"/>
              </w:rPr>
              <w:tab/>
              <w:t>21</w:t>
            </w:r>
          </w:hyperlink>
          <w:r>
            <w:rPr>
              <w:rStyle w:val="Style13"/>
              <w:rFonts w:ascii="宋体-繁" w:hAnsi="宋体-繁" w:eastAsia="宋体-繁"/>
            </w:rPr>
            <w:fldChar w:fldCharType="end"/>
          </w:r>
        </w:p>
        <w:p>
          <w:pPr>
            <w:sectPr>
              <w:headerReference w:type="even" r:id="rId2"/>
              <w:headerReference w:type="default" r:id="rId3"/>
              <w:headerReference w:type="first" r:id="rId4"/>
              <w:footerReference w:type="even" r:id="rId5"/>
              <w:footerReference w:type="default" r:id="rId6"/>
              <w:footerReference w:type="first" r:id="rId7"/>
              <w:type w:val="nextPage"/>
              <w:pgSz w:w="11850" w:h="16783"/>
              <w:pgMar w:left="1080" w:right="1080" w:gutter="0" w:header="851" w:top="1440" w:footer="992" w:bottom="1440"/>
              <w:pgNumType w:fmt="decimal"/>
              <w:formProt w:val="false"/>
              <w:textDirection w:val="lrTb"/>
              <w:docGrid w:type="lines" w:linePitch="312" w:charSpace="0"/>
            </w:sectPr>
          </w:pPr>
        </w:p>
      </w:sdtContent>
    </w:sdt>
    <w:p>
      <w:pPr>
        <w:pStyle w:val="11"/>
        <w:numPr>
          <w:ilvl w:val="0"/>
          <w:numId w:val="1"/>
        </w:numPr>
        <w:spacing w:lineRule="exact" w:line="400" w:before="0" w:after="156"/>
        <w:jc w:val="center"/>
        <w:outlineLvl w:val="0"/>
        <w:rPr>
          <w:rFonts w:ascii="宋体" w:hAnsi="宋体" w:eastAsia="宋体" w:cs="Times New Roman (正文 CS 字体)"/>
          <w:b/>
          <w:color w:themeColor="text1" w:val="000000"/>
          <w:sz w:val="32"/>
          <w:szCs w:val="32"/>
        </w:rPr>
      </w:pPr>
      <w:bookmarkStart w:id="6" w:name="__RefHeading___Toc6991_4090689648"/>
      <w:bookmarkStart w:id="7" w:name="_Toc147663405"/>
      <w:bookmarkEnd w:id="6"/>
      <w:r>
        <w:rPr>
          <w:rFonts w:ascii="宋体" w:hAnsi="宋体" w:cs="Times New Roman (正文 CS 字体)" w:eastAsia="宋体"/>
          <w:b/>
          <w:color w:themeColor="text1" w:val="000000"/>
          <w:sz w:val="32"/>
          <w:szCs w:val="32"/>
        </w:rPr>
        <w:t>總則</w:t>
      </w:r>
      <w:bookmarkEnd w:id="7"/>
    </w:p>
    <w:p>
      <w:pPr>
        <w:pStyle w:val="11"/>
        <w:numPr>
          <w:ilvl w:val="0"/>
          <w:numId w:val="2"/>
        </w:numPr>
        <w:tabs>
          <w:tab w:val="clear" w:pos="210"/>
          <w:tab w:val="left" w:pos="420" w:leader="none"/>
        </w:tabs>
        <w:spacing w:lineRule="exact" w:line="300" w:before="156" w:after="0"/>
        <w:outlineLvl w:val="1"/>
        <w:rPr>
          <w:rFonts w:ascii="宋体" w:hAnsi="宋体" w:eastAsia="宋体"/>
          <w:b/>
          <w:color w:themeColor="text1" w:val="000000"/>
          <w:sz w:val="28"/>
          <w:szCs w:val="28"/>
        </w:rPr>
      </w:pPr>
      <w:bookmarkStart w:id="8" w:name="__RefHeading___Toc6993_4090689648"/>
      <w:bookmarkStart w:id="9" w:name="_Toc147663406"/>
      <w:bookmarkEnd w:id="8"/>
      <w:r>
        <w:rPr>
          <w:rFonts w:ascii="宋体" w:hAnsi="宋体" w:eastAsia="宋体"/>
          <w:b/>
          <w:color w:themeColor="text1" w:val="000000"/>
          <w:sz w:val="28"/>
          <w:szCs w:val="28"/>
          <w:lang w:eastAsia="zh-TW"/>
        </w:rPr>
        <w:t>國家的定義</w:t>
      </w:r>
      <w:bookmarkEnd w:id="9"/>
    </w:p>
    <w:p>
      <w:pPr>
        <w:pStyle w:val="11"/>
        <w:numPr>
          <w:ilvl w:val="0"/>
          <w:numId w:val="3"/>
        </w:numPr>
        <w:spacing w:lineRule="exact" w:line="300" w:before="0" w:after="156"/>
        <w:ind w:hanging="735" w:left="73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先有人類後有國家，是公民建立國家，國家是公民的國家，是公民治理國家，而不是國家統治公民，公民沒有愛國的義務；國家政權的建立其基本原則是保護公民的生命權、自由權、財產權、反抗壓迫權和選舉與被選舉權不受任何的非法侵犯，當國家政權無法保證這一基本原則時，公民有權有義務推翻這個政權，建立一個以保障公民生命權、自由權、財產權、反抗壓迫權和選舉與被選舉權為基本原則的政權。</w:t>
      </w:r>
    </w:p>
    <w:p>
      <w:pPr>
        <w:pStyle w:val="11"/>
        <w:numPr>
          <w:ilvl w:val="0"/>
          <w:numId w:val="3"/>
        </w:numPr>
        <w:spacing w:lineRule="exact" w:line="300" w:before="0" w:after="156"/>
        <w:ind w:hanging="735" w:left="73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是生活在中華民族聯邦共和國領土上的所有公民，為了自由、民主、平等及和諧的生活而共同組建的國家，國家政權建立的根本目的是保障所有公民的合法權利不受侵犯，且對於公民的私權，法無禁止皆可為。</w:t>
      </w:r>
    </w:p>
    <w:p>
      <w:pPr>
        <w:pStyle w:val="11"/>
        <w:numPr>
          <w:ilvl w:val="0"/>
          <w:numId w:val="3"/>
        </w:numPr>
        <w:spacing w:lineRule="exact" w:line="300" w:before="0" w:after="156"/>
        <w:ind w:hanging="735" w:left="73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中華民族聯邦共和國國家名稱是基於中華民族悠久歷史與璀璨文化的沈澱，全稱為：中華民族聯邦共和國，簡稱為：中華民國或中國，更改國家名稱必須由國家立法院以特別案表決通過。</w:t>
      </w:r>
    </w:p>
    <w:p>
      <w:pPr>
        <w:pStyle w:val="11"/>
        <w:numPr>
          <w:ilvl w:val="0"/>
          <w:numId w:val="3"/>
        </w:numPr>
        <w:spacing w:lineRule="exact" w:line="300" w:before="0" w:after="156"/>
        <w:ind w:hanging="735" w:left="73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中華民族聯邦共和國國家格言為：我們自由、我們民主、我們正義、我們平等、我們求實、我們勤勞、我們包容，我們是人類的燈塔，加入我們吧！</w:t>
      </w:r>
    </w:p>
    <w:p>
      <w:pPr>
        <w:pStyle w:val="11"/>
        <w:numPr>
          <w:ilvl w:val="0"/>
          <w:numId w:val="3"/>
        </w:numPr>
        <w:spacing w:lineRule="exact" w:line="300" w:before="0" w:after="156"/>
        <w:ind w:hanging="735" w:left="73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中華民族聯邦共和國國旗為紅地國土自由花，國歌為《中華民國頌》，國徽為金盾龍鳳大好河山，國家官方語言為漢語普通話，官方文字為漢語正體字，國家法定貨幣爲五民幣，法定數字貨幣爲數字五民幣。</w:t>
      </w:r>
    </w:p>
    <w:p>
      <w:pPr>
        <w:pStyle w:val="11"/>
        <w:numPr>
          <w:ilvl w:val="0"/>
          <w:numId w:val="3"/>
        </w:numPr>
        <w:spacing w:lineRule="exact" w:line="300"/>
        <w:ind w:hanging="735" w:left="73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中華民族聯邦共和國領土是固有的疆域，是全體公民賴以生存的家園，非經國家立法院以特別案表決通過的，不得減少任何領土；國家領土增加的，由國家立法院以重要案表決通過。</w:t>
      </w:r>
    </w:p>
    <w:p>
      <w:pPr>
        <w:pStyle w:val="11"/>
        <w:numPr>
          <w:ilvl w:val="0"/>
          <w:numId w:val="4"/>
        </w:numPr>
        <w:spacing w:lineRule="exact" w:line="300"/>
        <w:ind w:hanging="735" w:left="735"/>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中華民族聯邦共和國領土包括但不限於土地、河流、湖泊、草原、沙漠、山川、戈壁、海域、空域、海外領土和星外領土等本國行使主權的任何區域。</w:t>
      </w:r>
    </w:p>
    <w:p>
      <w:pPr>
        <w:pStyle w:val="11"/>
        <w:numPr>
          <w:ilvl w:val="0"/>
          <w:numId w:val="4"/>
        </w:numPr>
        <w:spacing w:lineRule="exact" w:line="300"/>
        <w:ind w:hanging="735" w:left="735"/>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中華民族聯邦共和國領土分為私有和公有兩種類型，私有類型的僅自然人或私法人所能擁有，公有類型的僅公法人所能擁有。</w:t>
      </w:r>
    </w:p>
    <w:p>
      <w:pPr>
        <w:pStyle w:val="11"/>
        <w:numPr>
          <w:ilvl w:val="0"/>
          <w:numId w:val="4"/>
        </w:numPr>
        <w:spacing w:lineRule="exact" w:line="300" w:before="0" w:after="156"/>
        <w:ind w:hanging="735" w:left="735"/>
        <w:rPr>
          <w:rFonts w:ascii="宋体" w:hAnsi="宋体" w:eastAsia="宋体"/>
          <w:color w:themeColor="text1" w:val="000000"/>
          <w:szCs w:val="21"/>
          <w:lang w:eastAsia="zh-TW"/>
        </w:rPr>
      </w:pPr>
      <w:r>
        <w:rPr>
          <w:rFonts w:ascii="宋体" w:hAnsi="宋体" w:eastAsia="宋体"/>
          <w:color w:themeColor="text1" w:val="000000"/>
          <w:szCs w:val="21"/>
          <w:lang w:eastAsia="zh-TW"/>
        </w:rPr>
        <w:t>自然人、私法人或公法人取得領土所有權的，由本憲法授權聯邦立法院另立法規定。</w:t>
      </w:r>
    </w:p>
    <w:p>
      <w:pPr>
        <w:pStyle w:val="11"/>
        <w:numPr>
          <w:ilvl w:val="0"/>
          <w:numId w:val="3"/>
        </w:numPr>
        <w:spacing w:lineRule="exact" w:line="300"/>
        <w:ind w:hanging="735" w:left="73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中華民族聯邦共和國依憲法享有行政權、立法權、司法權、監察權、教育權、軍事權、外交權、鑄幣權和徵稅權等國家權力，簡稱國家公權或公權，行使公權的機構為國家公權機構，簡稱公權機構。</w:t>
      </w:r>
    </w:p>
    <w:p>
      <w:pPr>
        <w:pStyle w:val="11"/>
        <w:numPr>
          <w:ilvl w:val="0"/>
          <w:numId w:val="5"/>
        </w:numPr>
        <w:spacing w:lineRule="exact" w:line="300"/>
        <w:ind w:hanging="735" w:left="735"/>
        <w:rPr>
          <w:rFonts w:ascii="宋体" w:hAnsi="宋体" w:eastAsia="宋体"/>
          <w:color w:themeColor="text1" w:val="000000"/>
          <w:szCs w:val="21"/>
          <w:lang w:eastAsia="zh-TW"/>
        </w:rPr>
      </w:pPr>
      <w:r>
        <w:rPr>
          <w:rFonts w:ascii="宋体" w:hAnsi="宋体" w:eastAsia="宋体"/>
          <w:color w:themeColor="text1" w:val="000000"/>
          <w:szCs w:val="21"/>
          <w:lang w:eastAsia="zh-TW"/>
        </w:rPr>
        <w:t>國家的所有權力均來自於公民的授權，公民通過本憲法及其所屬法律將權力賦予公權機構，行權由公權機構的法定代表人依法代表公權機構依法行權，公權機構的法定代表人可將其代表的權力依法授予其他公權機構和公職人員。</w:t>
      </w:r>
    </w:p>
    <w:p>
      <w:pPr>
        <w:pStyle w:val="11"/>
        <w:numPr>
          <w:ilvl w:val="0"/>
          <w:numId w:val="5"/>
        </w:numPr>
        <w:spacing w:lineRule="exact" w:line="300" w:before="0" w:after="156"/>
        <w:ind w:hanging="735" w:left="735"/>
        <w:rPr>
          <w:rFonts w:ascii="宋体" w:hAnsi="宋体" w:eastAsia="宋体"/>
          <w:color w:themeColor="text1" w:val="000000"/>
          <w:szCs w:val="21"/>
          <w:lang w:eastAsia="zh-TW"/>
        </w:rPr>
      </w:pPr>
      <w:r>
        <w:rPr>
          <w:rFonts w:ascii="宋体" w:hAnsi="宋体" w:eastAsia="宋体"/>
          <w:color w:themeColor="text1" w:val="000000"/>
          <w:szCs w:val="21"/>
          <w:lang w:eastAsia="zh-TW"/>
        </w:rPr>
        <w:t>對於代表公權機構行使公權的公職人員，法無授權皆不可為，且任何機構任何人皆不得行使未經公民授權或授權未被公民所知曉及明白的公權。</w:t>
      </w:r>
    </w:p>
    <w:p>
      <w:pPr>
        <w:pStyle w:val="11"/>
        <w:numPr>
          <w:ilvl w:val="0"/>
          <w:numId w:val="3"/>
        </w:numPr>
        <w:spacing w:lineRule="exact" w:line="300"/>
        <w:ind w:hanging="735" w:left="73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的國家權力機構由「一府兩會三院」組成，「一府兩會三院」分別為政府、公民教育委員會、公民儲備委員會、立法院、司法院和監察院，「一府兩會三院」相互之間沒有隸屬關係，其職權獨立行使。</w:t>
      </w:r>
    </w:p>
    <w:p>
      <w:pPr>
        <w:pStyle w:val="11"/>
        <w:numPr>
          <w:ilvl w:val="0"/>
          <w:numId w:val="6"/>
        </w:numPr>
        <w:spacing w:lineRule="exact" w:line="300"/>
        <w:ind w:hanging="735" w:left="735"/>
        <w:rPr>
          <w:rFonts w:ascii="宋体" w:hAnsi="宋体" w:eastAsia="宋体"/>
          <w:color w:themeColor="text1" w:val="000000"/>
          <w:szCs w:val="21"/>
          <w:lang w:eastAsia="zh-TW"/>
        </w:rPr>
      </w:pPr>
      <w:r>
        <w:rPr>
          <w:rFonts w:ascii="宋体" w:hAnsi="宋体" w:eastAsia="宋体"/>
          <w:color w:themeColor="text1" w:val="000000"/>
          <w:szCs w:val="21"/>
          <w:lang w:eastAsia="zh-TW"/>
        </w:rPr>
        <w:t>政府由聯邦政府和自治政府組成，聯邦政府分為國家聯邦政府和省聯邦政府，自治政府分為市自治政府和鎮自治政府，聯邦政府與自治政府之間沒有隸屬關係。</w:t>
      </w:r>
    </w:p>
    <w:p>
      <w:pPr>
        <w:pStyle w:val="11"/>
        <w:numPr>
          <w:ilvl w:val="0"/>
          <w:numId w:val="6"/>
        </w:numPr>
        <w:spacing w:lineRule="exact" w:line="300"/>
        <w:ind w:hanging="735" w:left="735"/>
        <w:rPr>
          <w:rFonts w:ascii="宋体" w:hAnsi="宋体" w:eastAsia="宋体"/>
          <w:color w:themeColor="text1" w:val="000000"/>
          <w:szCs w:val="21"/>
          <w:lang w:eastAsia="zh-TW"/>
        </w:rPr>
      </w:pPr>
      <w:r>
        <w:rPr>
          <w:rFonts w:ascii="宋体" w:hAnsi="宋体" w:eastAsia="宋体"/>
          <w:color w:themeColor="text1" w:val="000000"/>
          <w:szCs w:val="21"/>
          <w:lang w:eastAsia="zh-TW"/>
        </w:rPr>
        <w:t>國家聯邦政府即總統府，省聯邦政府簡稱省政府，省政府是總統府派駐省級行政區的聯邦政府機構，省政府隸屬於總統府。市自治政府簡稱市政府，市政府是市級行政區的自治政府機構；鎮自治政府簡稱鎮政府，鎮政府是市政府派駐鎮級行政區的自治政府機構。</w:t>
      </w:r>
    </w:p>
    <w:p>
      <w:pPr>
        <w:pStyle w:val="11"/>
        <w:numPr>
          <w:ilvl w:val="0"/>
          <w:numId w:val="6"/>
        </w:numPr>
        <w:spacing w:lineRule="exact" w:line="300"/>
        <w:ind w:hanging="735" w:left="735"/>
        <w:rPr>
          <w:rFonts w:ascii="宋体" w:hAnsi="宋体" w:eastAsia="宋体"/>
          <w:color w:themeColor="text1" w:val="000000"/>
          <w:szCs w:val="21"/>
          <w:lang w:eastAsia="zh-TW"/>
        </w:rPr>
      </w:pPr>
      <w:r>
        <w:rPr>
          <w:rFonts w:ascii="宋体" w:hAnsi="宋体" w:eastAsia="宋体"/>
          <w:color w:themeColor="text1" w:val="000000"/>
          <w:szCs w:val="21"/>
          <w:lang w:eastAsia="zh-TW"/>
        </w:rPr>
        <w:t>公民教育委員會簡稱教委會，教委會由國家教委會、市教委會和校教委會組成，市教委會為市級行政區的教育權行權機構，市教委會與國家教委會之間沒有隸屬關係；校教委會為各初學、小學、中學和大學的教育權行權機構。</w:t>
      </w:r>
    </w:p>
    <w:p>
      <w:pPr>
        <w:pStyle w:val="11"/>
        <w:numPr>
          <w:ilvl w:val="0"/>
          <w:numId w:val="6"/>
        </w:numPr>
        <w:spacing w:lineRule="exact" w:line="300"/>
        <w:ind w:hanging="735" w:left="735"/>
        <w:rPr>
          <w:rFonts w:ascii="宋体" w:hAnsi="宋体" w:eastAsia="宋体"/>
          <w:color w:themeColor="text1" w:val="000000"/>
          <w:szCs w:val="21"/>
          <w:lang w:eastAsia="zh-TW"/>
        </w:rPr>
      </w:pPr>
      <w:r>
        <w:rPr>
          <w:rFonts w:ascii="宋体" w:hAnsi="宋体" w:eastAsia="宋体"/>
          <w:color w:themeColor="text1" w:val="000000"/>
          <w:szCs w:val="21"/>
          <w:lang w:eastAsia="zh-TW"/>
        </w:rPr>
        <w:t>公民儲備委員會簡稱儲委會，儲委會由國家儲備委員會、省儲備委員會和公民儲備銀行組成，國家儲備委員會、省儲備委員會和公民儲備銀行三者相互之間沒有隸屬關係，公民儲備委員會的最高決策機構為公民儲備委員會聯合會議。</w:t>
      </w:r>
    </w:p>
    <w:p>
      <w:pPr>
        <w:pStyle w:val="11"/>
        <w:numPr>
          <w:ilvl w:val="0"/>
          <w:numId w:val="6"/>
        </w:numPr>
        <w:spacing w:lineRule="exact" w:line="300"/>
        <w:ind w:hanging="735" w:left="735"/>
        <w:rPr>
          <w:rFonts w:ascii="宋体" w:hAnsi="宋体" w:eastAsia="宋体"/>
          <w:color w:themeColor="text1" w:val="000000"/>
          <w:szCs w:val="21"/>
          <w:lang w:eastAsia="zh-TW"/>
        </w:rPr>
      </w:pPr>
      <w:r>
        <w:rPr>
          <w:rFonts w:ascii="宋体" w:hAnsi="宋体" w:eastAsia="宋体"/>
          <w:color w:themeColor="text1" w:val="000000"/>
          <w:szCs w:val="21"/>
          <w:lang w:eastAsia="zh-TW"/>
        </w:rPr>
        <w:t>立法院由聯邦立法院和市公民立法委員會組成，聯邦立法院分為國家立法院和省立法院，省立法院隸屬於國家立法院；市公民立法委員會簡稱市立法會，市立法會為市級行政區的立法機構，市立法會與聯邦立法院之間沒有隸屬關係。</w:t>
      </w:r>
    </w:p>
    <w:p>
      <w:pPr>
        <w:pStyle w:val="11"/>
        <w:numPr>
          <w:ilvl w:val="0"/>
          <w:numId w:val="6"/>
        </w:numPr>
        <w:spacing w:lineRule="exact" w:line="300"/>
        <w:ind w:hanging="735" w:left="735"/>
        <w:rPr>
          <w:rFonts w:ascii="宋体" w:hAnsi="宋体" w:eastAsia="宋体"/>
          <w:color w:themeColor="text1" w:val="000000"/>
          <w:szCs w:val="21"/>
          <w:lang w:eastAsia="zh-TW"/>
        </w:rPr>
      </w:pPr>
      <w:r>
        <w:rPr>
          <w:rFonts w:ascii="宋体" w:hAnsi="宋体" w:eastAsia="宋体"/>
          <w:color w:themeColor="text1" w:val="000000"/>
          <w:szCs w:val="21"/>
          <w:lang w:eastAsia="zh-TW"/>
        </w:rPr>
        <w:t>司法院由聯邦司法院和市司法院組成，聯邦司法院分為國家司法院和省司法院，省司法院隸屬於國家司法院；市司法院為市級行政區的司法機構，市司法院與聯邦司法院之間沒有隸屬關係。</w:t>
      </w:r>
    </w:p>
    <w:p>
      <w:pPr>
        <w:pStyle w:val="11"/>
        <w:numPr>
          <w:ilvl w:val="0"/>
          <w:numId w:val="6"/>
        </w:numPr>
        <w:spacing w:lineRule="exact" w:line="300"/>
        <w:ind w:hanging="735" w:left="735"/>
        <w:rPr>
          <w:rFonts w:ascii="宋体" w:hAnsi="宋体" w:eastAsia="宋体"/>
          <w:color w:themeColor="text1" w:val="000000"/>
          <w:szCs w:val="21"/>
          <w:lang w:eastAsia="zh-TW"/>
        </w:rPr>
      </w:pPr>
      <w:r>
        <w:rPr>
          <w:rFonts w:ascii="宋体" w:hAnsi="宋体" w:eastAsia="宋体"/>
          <w:color w:themeColor="text1" w:val="000000"/>
          <w:szCs w:val="21"/>
          <w:lang w:eastAsia="zh-TW"/>
        </w:rPr>
        <w:t>監察院由聯邦監察院和市監察院組成，聯邦監察院分為國家監察院和省監察院，省監察院隸屬於國家監察院；市監察院為市級行政區的監察機構，市監察院與聯邦監察院之間沒有隸屬關係。</w:t>
      </w:r>
    </w:p>
    <w:p>
      <w:pPr>
        <w:pStyle w:val="11"/>
        <w:numPr>
          <w:ilvl w:val="0"/>
          <w:numId w:val="6"/>
        </w:numPr>
        <w:spacing w:lineRule="exact" w:line="300" w:before="0" w:after="156"/>
        <w:ind w:hanging="735" w:left="735"/>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中華民族聯邦共和國總統府、國家立法院、國家司法院、國家監察院、國家教委會及國家防務部住址設於中樞省，中華民族聯邦共和國公民儲備委員會住址設於嶺南省。</w:t>
      </w:r>
    </w:p>
    <w:p>
      <w:pPr>
        <w:pStyle w:val="11"/>
        <w:numPr>
          <w:ilvl w:val="0"/>
          <w:numId w:val="3"/>
        </w:numPr>
        <w:spacing w:lineRule="exact" w:line="300" w:before="0" w:after="156"/>
        <w:ind w:hanging="735" w:left="73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國家聯邦政府，是國家行政權和徵稅權的最高行權機構，是軍事權和外交權的唯一行權機構，國家聯邦政府的軍事權、外交權、行政權和徵稅權由憲法賦予；省級行政區沒有軍事權和外交權，省級行政區的行政權和徵稅權由總統府授予省政府；市級行政區沒有軍事權和外交權，市級行政區的行政權和徵稅權由憲法賦予市政府。</w:t>
      </w:r>
    </w:p>
    <w:p>
      <w:pPr>
        <w:pStyle w:val="11"/>
        <w:numPr>
          <w:ilvl w:val="0"/>
          <w:numId w:val="3"/>
        </w:numPr>
        <w:spacing w:lineRule="exact" w:line="300"/>
        <w:ind w:hanging="735" w:left="73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中華民族聯邦共和國國家教委會是國家教育權的最高行權機構，國家教委會的教育權由憲法賦予；市級行政區擁有教育權，市級行政區的教育權由憲法賦予市教委會。</w:t>
      </w:r>
    </w:p>
    <w:p>
      <w:pPr>
        <w:pStyle w:val="11"/>
        <w:numPr>
          <w:ilvl w:val="0"/>
          <w:numId w:val="7"/>
        </w:numPr>
        <w:spacing w:lineRule="exact" w:line="300"/>
        <w:ind w:hanging="735" w:left="735"/>
        <w:rPr>
          <w:rFonts w:ascii="宋体" w:hAnsi="宋体" w:eastAsia="宋体"/>
          <w:color w:themeColor="text1" w:val="000000"/>
          <w:szCs w:val="21"/>
          <w:lang w:eastAsia="zh-TW"/>
        </w:rPr>
      </w:pPr>
      <w:r>
        <w:rPr>
          <w:rFonts w:ascii="宋体" w:hAnsi="宋体" w:eastAsia="宋体"/>
          <w:color w:themeColor="text1" w:val="000000"/>
          <w:szCs w:val="21"/>
          <w:lang w:eastAsia="zh-TW"/>
        </w:rPr>
        <w:t>國家教委會負責所有教育類法案草案的起草與初審和全權負責中學、小學和初學教育內容的制訂，大學的教育管理制度和教學內容由各大學自行制訂。</w:t>
      </w:r>
    </w:p>
    <w:p>
      <w:pPr>
        <w:pStyle w:val="11"/>
        <w:numPr>
          <w:ilvl w:val="0"/>
          <w:numId w:val="7"/>
        </w:numPr>
        <w:spacing w:lineRule="exact" w:line="300"/>
        <w:ind w:hanging="735" w:left="735"/>
        <w:rPr>
          <w:rFonts w:ascii="宋体" w:hAnsi="宋体" w:eastAsia="宋体"/>
          <w:color w:themeColor="text1" w:val="000000"/>
          <w:szCs w:val="21"/>
          <w:lang w:eastAsia="zh-TW"/>
        </w:rPr>
      </w:pPr>
      <w:r>
        <w:rPr>
          <w:rFonts w:ascii="宋体" w:hAnsi="宋体" w:eastAsia="宋体"/>
          <w:color w:themeColor="text1" w:val="000000"/>
          <w:szCs w:val="21"/>
          <w:lang w:eastAsia="zh-TW"/>
        </w:rPr>
        <w:t>國家教委會現任委員總數不得超過</w:t>
      </w:r>
      <w:r>
        <w:rPr>
          <w:rFonts w:eastAsia="宋体" w:ascii="宋体" w:hAnsi="宋体"/>
          <w:color w:themeColor="text1" w:val="000000"/>
          <w:szCs w:val="21"/>
          <w:lang w:eastAsia="zh-TW"/>
        </w:rPr>
        <w:t>155</w:t>
      </w:r>
      <w:r>
        <w:rPr>
          <w:rFonts w:ascii="宋体" w:hAnsi="宋体" w:eastAsia="宋体"/>
          <w:color w:themeColor="text1" w:val="000000"/>
          <w:szCs w:val="21"/>
          <w:lang w:eastAsia="zh-TW"/>
        </w:rPr>
        <w:t>人，不得少於</w:t>
      </w:r>
      <w:r>
        <w:rPr>
          <w:rFonts w:eastAsia="宋体" w:ascii="宋体" w:hAnsi="宋体"/>
          <w:color w:themeColor="text1" w:val="000000"/>
          <w:szCs w:val="21"/>
          <w:lang w:eastAsia="zh-TW"/>
        </w:rPr>
        <w:t>105</w:t>
      </w:r>
      <w:r>
        <w:rPr>
          <w:rFonts w:ascii="宋体" w:hAnsi="宋体" w:eastAsia="宋体"/>
          <w:color w:themeColor="text1" w:val="000000"/>
          <w:szCs w:val="21"/>
          <w:lang w:eastAsia="zh-TW"/>
        </w:rPr>
        <w:t>人，分別由各省級行政區和各大學聯盟選舉產生；每個省級行政區限選舉產生</w:t>
      </w:r>
      <w:r>
        <w:rPr>
          <w:rFonts w:eastAsia="宋体" w:ascii="宋体" w:hAnsi="宋体"/>
          <w:color w:themeColor="text1" w:val="000000"/>
          <w:szCs w:val="21"/>
          <w:lang w:eastAsia="zh-TW"/>
        </w:rPr>
        <w:t>2</w:t>
      </w:r>
      <w:r>
        <w:rPr>
          <w:rFonts w:ascii="宋体" w:hAnsi="宋体" w:eastAsia="宋体"/>
          <w:color w:themeColor="text1" w:val="000000"/>
          <w:szCs w:val="21"/>
          <w:lang w:eastAsia="zh-TW"/>
        </w:rPr>
        <w:t>名國家教委會委員，大學聯盟選舉產生的國家教委會委員總數不得超過</w:t>
      </w:r>
      <w:r>
        <w:rPr>
          <w:rFonts w:eastAsia="宋体" w:ascii="宋体" w:hAnsi="宋体"/>
          <w:color w:themeColor="text1" w:val="000000"/>
          <w:szCs w:val="21"/>
          <w:lang w:eastAsia="zh-TW"/>
        </w:rPr>
        <w:t>55</w:t>
      </w:r>
      <w:r>
        <w:rPr>
          <w:rFonts w:ascii="宋体" w:hAnsi="宋体" w:eastAsia="宋体"/>
          <w:color w:themeColor="text1" w:val="000000"/>
          <w:szCs w:val="21"/>
          <w:lang w:eastAsia="zh-TW"/>
        </w:rPr>
        <w:t>人，不得少於</w:t>
      </w:r>
      <w:r>
        <w:rPr>
          <w:rFonts w:eastAsia="宋体" w:ascii="宋体" w:hAnsi="宋体"/>
          <w:color w:themeColor="text1" w:val="000000"/>
          <w:szCs w:val="21"/>
          <w:lang w:eastAsia="zh-TW"/>
        </w:rPr>
        <w:t>35</w:t>
      </w:r>
      <w:r>
        <w:rPr>
          <w:rFonts w:ascii="宋体" w:hAnsi="宋体" w:eastAsia="宋体"/>
          <w:color w:themeColor="text1" w:val="000000"/>
          <w:szCs w:val="21"/>
          <w:lang w:eastAsia="zh-TW"/>
        </w:rPr>
        <w:t>人。</w:t>
      </w:r>
    </w:p>
    <w:p>
      <w:pPr>
        <w:pStyle w:val="11"/>
        <w:numPr>
          <w:ilvl w:val="0"/>
          <w:numId w:val="7"/>
        </w:numPr>
        <w:spacing w:lineRule="exact" w:line="300"/>
        <w:ind w:hanging="735" w:left="735"/>
        <w:rPr>
          <w:rFonts w:ascii="宋体" w:hAnsi="宋体" w:eastAsia="宋体"/>
          <w:color w:themeColor="text1" w:val="000000"/>
          <w:szCs w:val="21"/>
          <w:lang w:eastAsia="zh-TW"/>
        </w:rPr>
      </w:pPr>
      <w:r>
        <w:rPr>
          <w:rFonts w:ascii="宋体" w:hAnsi="宋体" w:eastAsia="宋体"/>
          <w:color w:themeColor="text1" w:val="000000"/>
          <w:szCs w:val="21"/>
          <w:lang w:eastAsia="zh-TW"/>
        </w:rPr>
        <w:t>國家教委會委員中，由大學聯盟選舉產生的大學歷史學教授、教育學教授、法學教授和哲學教授委員各不得少於</w:t>
      </w:r>
      <w:r>
        <w:rPr>
          <w:rFonts w:eastAsia="宋体" w:ascii="宋体" w:hAnsi="宋体"/>
          <w:color w:themeColor="text1" w:val="000000"/>
          <w:szCs w:val="21"/>
          <w:lang w:eastAsia="zh-TW"/>
        </w:rPr>
        <w:t>2</w:t>
      </w:r>
      <w:r>
        <w:rPr>
          <w:rFonts w:ascii="宋体" w:hAnsi="宋体" w:eastAsia="宋体"/>
          <w:color w:themeColor="text1" w:val="000000"/>
          <w:szCs w:val="21"/>
          <w:lang w:eastAsia="zh-TW"/>
        </w:rPr>
        <w:t>名，由省級行政區選舉產生的中學、小學和初學教師委員各不得少於</w:t>
      </w:r>
      <w:r>
        <w:rPr>
          <w:rFonts w:eastAsia="宋体" w:ascii="宋体" w:hAnsi="宋体"/>
          <w:color w:themeColor="text1" w:val="000000"/>
          <w:szCs w:val="21"/>
          <w:lang w:eastAsia="zh-TW"/>
        </w:rPr>
        <w:t>10</w:t>
      </w:r>
      <w:r>
        <w:rPr>
          <w:rFonts w:ascii="宋体" w:hAnsi="宋体" w:eastAsia="宋体"/>
          <w:color w:themeColor="text1" w:val="000000"/>
          <w:szCs w:val="21"/>
          <w:lang w:eastAsia="zh-TW"/>
        </w:rPr>
        <w:t>名。</w:t>
      </w:r>
    </w:p>
    <w:p>
      <w:pPr>
        <w:pStyle w:val="11"/>
        <w:numPr>
          <w:ilvl w:val="0"/>
          <w:numId w:val="7"/>
        </w:numPr>
        <w:spacing w:lineRule="exact" w:line="300"/>
        <w:ind w:hanging="735" w:left="735"/>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中華民族聯邦共和國實行</w:t>
      </w:r>
      <w:r>
        <w:rPr>
          <w:rFonts w:eastAsia="宋体" w:ascii="宋体" w:hAnsi="宋体"/>
          <w:color w:themeColor="text1" w:val="000000"/>
          <w:szCs w:val="21"/>
          <w:lang w:eastAsia="zh-TW"/>
        </w:rPr>
        <w:t>12</w:t>
      </w:r>
      <w:r>
        <w:rPr>
          <w:rFonts w:ascii="宋体" w:hAnsi="宋体" w:eastAsia="宋体"/>
          <w:color w:themeColor="text1" w:val="000000"/>
          <w:szCs w:val="21"/>
          <w:lang w:eastAsia="zh-TW"/>
        </w:rPr>
        <w:t>年制義務教育，</w:t>
      </w:r>
      <w:r>
        <w:rPr>
          <w:rFonts w:eastAsia="宋体" w:ascii="宋体" w:hAnsi="宋体"/>
          <w:color w:themeColor="text1" w:val="000000"/>
          <w:szCs w:val="21"/>
          <w:lang w:eastAsia="zh-TW"/>
        </w:rPr>
        <w:t>12</w:t>
      </w:r>
      <w:r>
        <w:rPr>
          <w:rFonts w:ascii="宋体" w:hAnsi="宋体" w:eastAsia="宋体"/>
          <w:color w:themeColor="text1" w:val="000000"/>
          <w:szCs w:val="21"/>
          <w:lang w:eastAsia="zh-TW"/>
        </w:rPr>
        <w:t>年義務教育由初學</w:t>
      </w:r>
      <w:r>
        <w:rPr>
          <w:rFonts w:eastAsia="宋体" w:ascii="宋体" w:hAnsi="宋体"/>
          <w:color w:themeColor="text1" w:val="000000"/>
          <w:szCs w:val="21"/>
          <w:lang w:eastAsia="zh-TW"/>
        </w:rPr>
        <w:t>3</w:t>
      </w:r>
      <w:r>
        <w:rPr>
          <w:rFonts w:ascii="宋体" w:hAnsi="宋体" w:eastAsia="宋体"/>
          <w:color w:themeColor="text1" w:val="000000"/>
          <w:szCs w:val="21"/>
          <w:lang w:eastAsia="zh-TW"/>
        </w:rPr>
        <w:t>年、小學</w:t>
      </w:r>
      <w:r>
        <w:rPr>
          <w:rFonts w:eastAsia="宋体" w:ascii="宋体" w:hAnsi="宋体"/>
          <w:color w:themeColor="text1" w:val="000000"/>
          <w:szCs w:val="21"/>
          <w:lang w:eastAsia="zh-TW"/>
        </w:rPr>
        <w:t>4</w:t>
      </w:r>
      <w:r>
        <w:rPr>
          <w:rFonts w:ascii="宋体" w:hAnsi="宋体" w:eastAsia="宋体"/>
          <w:color w:themeColor="text1" w:val="000000"/>
          <w:szCs w:val="21"/>
          <w:lang w:eastAsia="zh-TW"/>
        </w:rPr>
        <w:t>年、中學</w:t>
      </w:r>
      <w:r>
        <w:rPr>
          <w:rFonts w:eastAsia="宋体" w:ascii="宋体" w:hAnsi="宋体"/>
          <w:color w:themeColor="text1" w:val="000000"/>
          <w:szCs w:val="21"/>
          <w:lang w:eastAsia="zh-TW"/>
        </w:rPr>
        <w:t>5</w:t>
      </w:r>
      <w:r>
        <w:rPr>
          <w:rFonts w:ascii="宋体" w:hAnsi="宋体" w:eastAsia="宋体"/>
          <w:color w:themeColor="text1" w:val="000000"/>
          <w:szCs w:val="21"/>
          <w:lang w:eastAsia="zh-TW"/>
        </w:rPr>
        <w:t>年組成，公民完成</w:t>
      </w:r>
      <w:r>
        <w:rPr>
          <w:rFonts w:eastAsia="宋体" w:ascii="宋体" w:hAnsi="宋体"/>
          <w:color w:themeColor="text1" w:val="000000"/>
          <w:szCs w:val="21"/>
          <w:lang w:eastAsia="zh-TW"/>
        </w:rPr>
        <w:t>12</w:t>
      </w:r>
      <w:r>
        <w:rPr>
          <w:rFonts w:ascii="宋体" w:hAnsi="宋体" w:eastAsia="宋体"/>
          <w:color w:themeColor="text1" w:val="000000"/>
          <w:szCs w:val="21"/>
          <w:lang w:eastAsia="zh-TW"/>
        </w:rPr>
        <w:t>年義務教育後，可選擇休學或進入大學教育階段，大學教育階段由學士教育、碩士教育和博士教育組成。</w:t>
      </w:r>
    </w:p>
    <w:p>
      <w:pPr>
        <w:pStyle w:val="11"/>
        <w:numPr>
          <w:ilvl w:val="0"/>
          <w:numId w:val="7"/>
        </w:numPr>
        <w:spacing w:lineRule="exact" w:line="300" w:before="0" w:after="156"/>
        <w:ind w:hanging="735" w:left="735"/>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中華民族聯邦共和國義務教育階段，國語為必修語言，中學義務教育階段，社會學、司法學和歷史學為必修課程。</w:t>
      </w:r>
    </w:p>
    <w:p>
      <w:pPr>
        <w:pStyle w:val="11"/>
        <w:numPr>
          <w:ilvl w:val="0"/>
          <w:numId w:val="3"/>
        </w:numPr>
        <w:spacing w:lineRule="exact" w:line="300"/>
        <w:ind w:hanging="945" w:left="94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公民儲備委員會是鑄幣權的最高行權機構，公民儲備委員會的鑄幣權由憲法賦予；中華民族聯邦共和國國家儲備委員會是國家鑄幣權的行權機構，國家儲備委員會的鑄幣權由憲法賦予；省級行政區擁有鑄幣權，省級行政區的鑄幣權由憲法賦予省儲備委員會。</w:t>
      </w:r>
    </w:p>
    <w:p>
      <w:pPr>
        <w:pStyle w:val="11"/>
        <w:numPr>
          <w:ilvl w:val="0"/>
          <w:numId w:val="8"/>
        </w:numPr>
        <w:spacing w:lineRule="exact" w:line="300"/>
        <w:ind w:hanging="735" w:left="735"/>
        <w:rPr>
          <w:rFonts w:ascii="宋体" w:hAnsi="宋体" w:eastAsia="宋体"/>
          <w:color w:themeColor="text1" w:val="000000"/>
          <w:szCs w:val="21"/>
          <w:lang w:eastAsia="zh-TW"/>
        </w:rPr>
      </w:pPr>
      <w:r>
        <w:rPr>
          <w:rFonts w:ascii="宋体" w:hAnsi="宋体" w:eastAsia="宋体"/>
          <w:color w:themeColor="text1" w:val="000000"/>
          <w:szCs w:val="21"/>
          <w:lang w:eastAsia="zh-TW"/>
        </w:rPr>
        <w:t>公民儲備委員會設主席職位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個，設副主席職位</w:t>
      </w:r>
      <w:r>
        <w:rPr>
          <w:rFonts w:eastAsia="宋体" w:ascii="宋体" w:hAnsi="宋体"/>
          <w:color w:themeColor="text1" w:val="000000"/>
          <w:szCs w:val="21"/>
          <w:lang w:eastAsia="zh-TW"/>
        </w:rPr>
        <w:t>2</w:t>
      </w:r>
      <w:r>
        <w:rPr>
          <w:rFonts w:ascii="宋体" w:hAnsi="宋体" w:eastAsia="宋体"/>
          <w:color w:themeColor="text1" w:val="000000"/>
          <w:szCs w:val="21"/>
          <w:lang w:eastAsia="zh-TW"/>
        </w:rPr>
        <w:t>個，由公民儲備委員會委員互選產生，國家儲備委員會主席和副主席、國家儲備委員會委員和省儲備委員會主席為公民儲備委員會委員。</w:t>
      </w:r>
    </w:p>
    <w:p>
      <w:pPr>
        <w:pStyle w:val="11"/>
        <w:numPr>
          <w:ilvl w:val="0"/>
          <w:numId w:val="8"/>
        </w:numPr>
        <w:spacing w:lineRule="exact" w:line="300"/>
        <w:ind w:hanging="735" w:left="735"/>
        <w:rPr>
          <w:rFonts w:ascii="宋体" w:hAnsi="宋体" w:eastAsia="宋体"/>
          <w:color w:themeColor="text1" w:val="000000"/>
          <w:szCs w:val="21"/>
          <w:lang w:eastAsia="zh-TW"/>
        </w:rPr>
      </w:pPr>
      <w:r>
        <w:rPr>
          <w:rFonts w:ascii="宋体" w:hAnsi="宋体" w:eastAsia="宋体"/>
          <w:color w:themeColor="text1" w:val="000000"/>
          <w:szCs w:val="21"/>
          <w:lang w:eastAsia="zh-TW"/>
        </w:rPr>
        <w:t>國家儲備委員會、省儲備委員會和公民儲備銀行在公民儲備委員會的領導下依法制訂和執行貨幣政策、依法發行貨幣、依法監管金融市場和依法管理支付、清算和結算事務。</w:t>
      </w:r>
    </w:p>
    <w:p>
      <w:pPr>
        <w:pStyle w:val="11"/>
        <w:numPr>
          <w:ilvl w:val="0"/>
          <w:numId w:val="8"/>
        </w:numPr>
        <w:spacing w:lineRule="exact" w:line="300"/>
        <w:ind w:hanging="735" w:left="735"/>
        <w:rPr>
          <w:rFonts w:ascii="宋体" w:hAnsi="宋体" w:eastAsia="宋体"/>
          <w:color w:themeColor="text1" w:val="000000"/>
          <w:szCs w:val="21"/>
          <w:lang w:eastAsia="zh-TW"/>
        </w:rPr>
      </w:pPr>
      <w:r>
        <w:rPr>
          <w:rFonts w:ascii="宋体" w:hAnsi="宋体" w:eastAsia="宋体"/>
          <w:color w:themeColor="text1" w:val="000000"/>
          <w:szCs w:val="21"/>
          <w:lang w:eastAsia="zh-TW"/>
        </w:rPr>
        <w:t>國家儲備委員會由</w:t>
      </w:r>
      <w:r>
        <w:rPr>
          <w:rFonts w:eastAsia="宋体" w:ascii="宋体" w:hAnsi="宋体"/>
          <w:color w:themeColor="text1" w:val="000000"/>
          <w:szCs w:val="21"/>
          <w:lang w:eastAsia="zh-TW"/>
        </w:rPr>
        <w:t>19</w:t>
      </w:r>
      <w:r>
        <w:rPr>
          <w:rFonts w:ascii="宋体" w:hAnsi="宋体" w:eastAsia="宋体"/>
          <w:color w:themeColor="text1" w:val="000000"/>
          <w:szCs w:val="21"/>
          <w:lang w:eastAsia="zh-TW"/>
        </w:rPr>
        <w:t>名委員組成，且同時在職的委員不得少於</w:t>
      </w:r>
      <w:r>
        <w:rPr>
          <w:rFonts w:eastAsia="宋体" w:ascii="宋体" w:hAnsi="宋体"/>
          <w:color w:themeColor="text1" w:val="000000"/>
          <w:szCs w:val="21"/>
          <w:lang w:eastAsia="zh-TW"/>
        </w:rPr>
        <w:t>15</w:t>
      </w:r>
      <w:r>
        <w:rPr>
          <w:rFonts w:ascii="宋体" w:hAnsi="宋体" w:eastAsia="宋体"/>
          <w:color w:themeColor="text1" w:val="000000"/>
          <w:szCs w:val="21"/>
          <w:lang w:eastAsia="zh-TW"/>
        </w:rPr>
        <w:t>人，國家儲備委員會委員每屆任期</w:t>
      </w:r>
      <w:r>
        <w:rPr>
          <w:rFonts w:eastAsia="宋体" w:ascii="宋体" w:hAnsi="宋体"/>
          <w:color w:themeColor="text1" w:val="000000"/>
          <w:szCs w:val="21"/>
          <w:lang w:eastAsia="zh-TW"/>
        </w:rPr>
        <w:t>15</w:t>
      </w:r>
      <w:r>
        <w:rPr>
          <w:rFonts w:ascii="宋体" w:hAnsi="宋体" w:eastAsia="宋体"/>
          <w:color w:themeColor="text1" w:val="000000"/>
          <w:szCs w:val="21"/>
          <w:lang w:eastAsia="zh-TW"/>
        </w:rPr>
        <w:t>年，不得連任，不得兼任第二職業；國家儲備委員會委員必須由總統提名，且非經國家參議會以重要案表決通過的，國家儲備委員會委員不得被免職。</w:t>
      </w:r>
    </w:p>
    <w:p>
      <w:pPr>
        <w:pStyle w:val="11"/>
        <w:numPr>
          <w:ilvl w:val="0"/>
          <w:numId w:val="8"/>
        </w:numPr>
        <w:spacing w:lineRule="exact" w:line="300"/>
        <w:ind w:hanging="735" w:left="735"/>
        <w:rPr>
          <w:rFonts w:ascii="宋体" w:hAnsi="宋体" w:eastAsia="宋体"/>
          <w:color w:themeColor="text1" w:val="000000"/>
          <w:szCs w:val="21"/>
          <w:lang w:eastAsia="zh-TW"/>
        </w:rPr>
      </w:pPr>
      <w:r>
        <w:rPr>
          <w:rFonts w:ascii="宋体" w:hAnsi="宋体" w:eastAsia="宋体"/>
          <w:color w:themeColor="text1" w:val="000000"/>
          <w:szCs w:val="21"/>
          <w:lang w:eastAsia="zh-TW"/>
        </w:rPr>
        <w:t>省儲備委員會由</w:t>
      </w:r>
      <w:r>
        <w:rPr>
          <w:rFonts w:eastAsia="宋体" w:ascii="宋体" w:hAnsi="宋体"/>
          <w:color w:themeColor="text1" w:val="000000"/>
          <w:szCs w:val="21"/>
          <w:lang w:eastAsia="zh-TW"/>
        </w:rPr>
        <w:t>9</w:t>
      </w:r>
      <w:r>
        <w:rPr>
          <w:rFonts w:ascii="宋体" w:hAnsi="宋体" w:eastAsia="宋体"/>
          <w:color w:themeColor="text1" w:val="000000"/>
          <w:szCs w:val="21"/>
          <w:lang w:eastAsia="zh-TW"/>
        </w:rPr>
        <w:t>名委員組成，且同時在職的委員不得少於</w:t>
      </w:r>
      <w:r>
        <w:rPr>
          <w:rFonts w:eastAsia="宋体" w:ascii="宋体" w:hAnsi="宋体"/>
          <w:color w:themeColor="text1" w:val="000000"/>
          <w:szCs w:val="21"/>
          <w:lang w:eastAsia="zh-TW"/>
        </w:rPr>
        <w:t>5</w:t>
      </w:r>
      <w:r>
        <w:rPr>
          <w:rFonts w:ascii="宋体" w:hAnsi="宋体" w:eastAsia="宋体"/>
          <w:color w:themeColor="text1" w:val="000000"/>
          <w:szCs w:val="21"/>
          <w:lang w:eastAsia="zh-TW"/>
        </w:rPr>
        <w:t>人，省儲備委員會委員每屆任期</w:t>
      </w:r>
      <w:r>
        <w:rPr>
          <w:rFonts w:eastAsia="宋体" w:ascii="宋体" w:hAnsi="宋体"/>
          <w:color w:themeColor="text1" w:val="000000"/>
          <w:szCs w:val="21"/>
          <w:lang w:eastAsia="zh-TW"/>
        </w:rPr>
        <w:t>10</w:t>
      </w:r>
      <w:r>
        <w:rPr>
          <w:rFonts w:ascii="宋体" w:hAnsi="宋体" w:eastAsia="宋体"/>
          <w:color w:themeColor="text1" w:val="000000"/>
          <w:szCs w:val="21"/>
          <w:lang w:eastAsia="zh-TW"/>
        </w:rPr>
        <w:t>年，不得連任，不得兼任第二職業；省儲備委員會委員必須由省長提名，且非經省參議會以重要案表決通過的，省儲備委員會委員不得被免職。</w:t>
      </w:r>
    </w:p>
    <w:p>
      <w:pPr>
        <w:pStyle w:val="11"/>
        <w:numPr>
          <w:ilvl w:val="0"/>
          <w:numId w:val="8"/>
        </w:numPr>
        <w:spacing w:lineRule="exact" w:line="300" w:before="0" w:after="156"/>
        <w:ind w:hanging="735" w:left="735"/>
        <w:rPr>
          <w:rFonts w:ascii="宋体" w:hAnsi="宋体" w:eastAsia="宋体"/>
          <w:color w:themeColor="text1" w:val="000000"/>
          <w:szCs w:val="21"/>
          <w:lang w:eastAsia="zh-TW"/>
        </w:rPr>
      </w:pPr>
      <w:r>
        <w:rPr>
          <w:rFonts w:ascii="宋体" w:hAnsi="宋体" w:eastAsia="宋体"/>
          <w:color w:themeColor="text1" w:val="000000"/>
          <w:szCs w:val="21"/>
          <w:lang w:eastAsia="zh-TW"/>
        </w:rPr>
        <w:t>每個省級行政區限成立一家公民儲備銀行，公民儲備銀行由股東發起成立，股東不得是任何公權機構，且必須是本省轄區內的私法人或自然人，公民儲備銀行股東總數不得低於</w:t>
      </w:r>
      <w:r>
        <w:rPr>
          <w:rFonts w:eastAsia="宋体" w:ascii="宋体" w:hAnsi="宋体"/>
          <w:color w:themeColor="text1" w:val="000000"/>
          <w:szCs w:val="21"/>
          <w:lang w:eastAsia="zh-TW"/>
        </w:rPr>
        <w:t>50</w:t>
      </w:r>
      <w:r>
        <w:rPr>
          <w:rFonts w:ascii="宋体" w:hAnsi="宋体" w:eastAsia="宋体"/>
          <w:color w:themeColor="text1" w:val="000000"/>
          <w:szCs w:val="21"/>
          <w:lang w:eastAsia="zh-TW"/>
        </w:rPr>
        <w:t>個，其中，自然人股東不得低於</w:t>
      </w:r>
      <w:r>
        <w:rPr>
          <w:rFonts w:eastAsia="宋体" w:ascii="宋体" w:hAnsi="宋体"/>
          <w:color w:themeColor="text1" w:val="000000"/>
          <w:szCs w:val="21"/>
          <w:lang w:eastAsia="zh-TW"/>
        </w:rPr>
        <w:t>20</w:t>
      </w:r>
      <w:r>
        <w:rPr>
          <w:rFonts w:ascii="宋体" w:hAnsi="宋体" w:eastAsia="宋体"/>
          <w:color w:themeColor="text1" w:val="000000"/>
          <w:szCs w:val="21"/>
          <w:lang w:eastAsia="zh-TW"/>
        </w:rPr>
        <w:t>個。</w:t>
      </w:r>
    </w:p>
    <w:p>
      <w:pPr>
        <w:pStyle w:val="11"/>
        <w:numPr>
          <w:ilvl w:val="0"/>
          <w:numId w:val="3"/>
        </w:numPr>
        <w:spacing w:lineRule="exact" w:line="300"/>
        <w:ind w:hanging="945" w:left="94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國家立法院是國家立法權的最高行權機構，國家立法院的立法權由憲法賦予；省級行政區擁有立法權，省級行政區的立法權由國家立法院授予省立法院；市級行政區擁有立法權，市級行政區的立法權由憲法賦予市立法會。</w:t>
      </w:r>
    </w:p>
    <w:p>
      <w:pPr>
        <w:pStyle w:val="11"/>
        <w:numPr>
          <w:ilvl w:val="0"/>
          <w:numId w:val="9"/>
        </w:numPr>
        <w:spacing w:lineRule="exact" w:line="300"/>
        <w:ind w:hanging="735" w:left="735"/>
        <w:rPr>
          <w:rFonts w:ascii="宋体" w:hAnsi="宋体" w:eastAsia="宋体"/>
          <w:color w:themeColor="text1" w:val="000000"/>
          <w:szCs w:val="21"/>
          <w:lang w:eastAsia="zh-TW"/>
        </w:rPr>
      </w:pPr>
      <w:r>
        <w:rPr>
          <w:rFonts w:ascii="宋体" w:hAnsi="宋体" w:eastAsia="宋体"/>
          <w:color w:themeColor="text1" w:val="000000"/>
          <w:szCs w:val="21"/>
          <w:lang w:eastAsia="zh-TW"/>
        </w:rPr>
        <w:t>國家立法院設眾議員議政會，簡稱國家眾議會，國家眾議會現任眾議員總數不得超過</w:t>
      </w:r>
      <w:r>
        <w:rPr>
          <w:rFonts w:eastAsia="宋体" w:ascii="宋体" w:hAnsi="宋体"/>
          <w:color w:themeColor="text1" w:val="000000"/>
          <w:szCs w:val="21"/>
          <w:lang w:eastAsia="zh-TW"/>
        </w:rPr>
        <w:t>355</w:t>
      </w:r>
      <w:r>
        <w:rPr>
          <w:rFonts w:ascii="宋体" w:hAnsi="宋体" w:eastAsia="宋体"/>
          <w:color w:themeColor="text1" w:val="000000"/>
          <w:szCs w:val="21"/>
          <w:lang w:eastAsia="zh-TW"/>
        </w:rPr>
        <w:t>人，不得少於</w:t>
      </w:r>
      <w:r>
        <w:rPr>
          <w:rFonts w:eastAsia="宋体" w:ascii="宋体" w:hAnsi="宋体"/>
          <w:color w:themeColor="text1" w:val="000000"/>
          <w:szCs w:val="21"/>
          <w:lang w:eastAsia="zh-TW"/>
        </w:rPr>
        <w:t>305</w:t>
      </w:r>
      <w:r>
        <w:rPr>
          <w:rFonts w:ascii="宋体" w:hAnsi="宋体" w:eastAsia="宋体"/>
          <w:color w:themeColor="text1" w:val="000000"/>
          <w:szCs w:val="21"/>
          <w:lang w:eastAsia="zh-TW"/>
        </w:rPr>
        <w:t>人；每個省級行政區最少選出</w:t>
      </w:r>
      <w:r>
        <w:rPr>
          <w:rFonts w:eastAsia="宋体" w:ascii="宋体" w:hAnsi="宋体"/>
          <w:color w:themeColor="text1" w:val="000000"/>
          <w:szCs w:val="21"/>
          <w:lang w:eastAsia="zh-TW"/>
        </w:rPr>
        <w:t>5</w:t>
      </w:r>
      <w:r>
        <w:rPr>
          <w:rFonts w:ascii="宋体" w:hAnsi="宋体" w:eastAsia="宋体"/>
          <w:color w:themeColor="text1" w:val="000000"/>
          <w:szCs w:val="21"/>
          <w:lang w:eastAsia="zh-TW"/>
        </w:rPr>
        <w:t>名國家眾議會眾議員，其省轄區人口在</w:t>
      </w:r>
      <w:r>
        <w:rPr>
          <w:rFonts w:eastAsia="宋体" w:ascii="宋体" w:hAnsi="宋体"/>
          <w:color w:themeColor="text1" w:val="000000"/>
          <w:szCs w:val="21"/>
          <w:lang w:eastAsia="zh-TW"/>
        </w:rPr>
        <w:t>500</w:t>
      </w:r>
      <w:r>
        <w:rPr>
          <w:rFonts w:ascii="宋体" w:hAnsi="宋体" w:eastAsia="宋体"/>
          <w:color w:themeColor="text1" w:val="000000"/>
          <w:szCs w:val="21"/>
          <w:lang w:eastAsia="zh-TW"/>
        </w:rPr>
        <w:t>萬人以下的選出</w:t>
      </w:r>
      <w:r>
        <w:rPr>
          <w:rFonts w:eastAsia="宋体" w:ascii="宋体" w:hAnsi="宋体"/>
          <w:color w:themeColor="text1" w:val="000000"/>
          <w:szCs w:val="21"/>
          <w:lang w:eastAsia="zh-TW"/>
        </w:rPr>
        <w:t>5</w:t>
      </w:r>
      <w:r>
        <w:rPr>
          <w:rFonts w:ascii="宋体" w:hAnsi="宋体" w:eastAsia="宋体"/>
          <w:color w:themeColor="text1" w:val="000000"/>
          <w:szCs w:val="21"/>
          <w:lang w:eastAsia="zh-TW"/>
        </w:rPr>
        <w:t>人，其省轄區人口超過</w:t>
      </w:r>
      <w:r>
        <w:rPr>
          <w:rFonts w:eastAsia="宋体" w:ascii="宋体" w:hAnsi="宋体"/>
          <w:color w:themeColor="text1" w:val="000000"/>
          <w:szCs w:val="21"/>
          <w:lang w:eastAsia="zh-TW"/>
        </w:rPr>
        <w:t>500</w:t>
      </w:r>
      <w:r>
        <w:rPr>
          <w:rFonts w:ascii="宋体" w:hAnsi="宋体" w:eastAsia="宋体"/>
          <w:color w:themeColor="text1" w:val="000000"/>
          <w:szCs w:val="21"/>
          <w:lang w:eastAsia="zh-TW"/>
        </w:rPr>
        <w:t>萬人的，後每滿</w:t>
      </w:r>
      <w:r>
        <w:rPr>
          <w:rFonts w:eastAsia="宋体" w:ascii="宋体" w:hAnsi="宋体"/>
          <w:color w:themeColor="text1" w:val="000000"/>
          <w:szCs w:val="21"/>
          <w:lang w:eastAsia="zh-TW"/>
        </w:rPr>
        <w:t>500</w:t>
      </w:r>
      <w:r>
        <w:rPr>
          <w:rFonts w:ascii="宋体" w:hAnsi="宋体" w:eastAsia="宋体"/>
          <w:color w:themeColor="text1" w:val="000000"/>
          <w:szCs w:val="21"/>
          <w:lang w:eastAsia="zh-TW"/>
        </w:rPr>
        <w:t>萬人增選</w:t>
      </w:r>
      <w:r>
        <w:rPr>
          <w:rFonts w:eastAsia="宋体" w:ascii="宋体" w:hAnsi="宋体"/>
          <w:color w:themeColor="text1" w:val="000000"/>
          <w:szCs w:val="21"/>
          <w:lang w:eastAsia="zh-TW"/>
        </w:rPr>
        <w:t>1</w:t>
      </w:r>
      <w:r>
        <w:rPr>
          <w:rFonts w:ascii="宋体" w:hAnsi="宋体" w:eastAsia="宋体"/>
          <w:color w:themeColor="text1" w:val="000000"/>
          <w:szCs w:val="21"/>
          <w:lang w:eastAsia="zh-TW"/>
        </w:rPr>
        <w:t>人，最多可增選至</w:t>
      </w:r>
      <w:r>
        <w:rPr>
          <w:rFonts w:eastAsia="宋体" w:ascii="宋体" w:hAnsi="宋体"/>
          <w:color w:themeColor="text1" w:val="000000"/>
          <w:szCs w:val="21"/>
          <w:lang w:eastAsia="zh-TW"/>
        </w:rPr>
        <w:t>15</w:t>
      </w:r>
      <w:r>
        <w:rPr>
          <w:rFonts w:ascii="宋体" w:hAnsi="宋体" w:eastAsia="宋体"/>
          <w:color w:themeColor="text1" w:val="000000"/>
          <w:szCs w:val="21"/>
          <w:lang w:eastAsia="zh-TW"/>
        </w:rPr>
        <w:t>人，且每個省級行政區同時在任的眾議員不得少於</w:t>
      </w:r>
      <w:r>
        <w:rPr>
          <w:rFonts w:eastAsia="宋体" w:ascii="宋体" w:hAnsi="宋体"/>
          <w:color w:themeColor="text1" w:val="000000"/>
          <w:szCs w:val="21"/>
          <w:lang w:eastAsia="zh-TW"/>
        </w:rPr>
        <w:t>3</w:t>
      </w:r>
      <w:r>
        <w:rPr>
          <w:rFonts w:ascii="宋体" w:hAnsi="宋体" w:eastAsia="宋体"/>
          <w:color w:themeColor="text1" w:val="000000"/>
          <w:szCs w:val="21"/>
          <w:lang w:eastAsia="zh-TW"/>
        </w:rPr>
        <w:t>人；國家眾議會眾議員每屆任期</w:t>
      </w:r>
      <w:r>
        <w:rPr>
          <w:rFonts w:eastAsia="宋体" w:ascii="宋体" w:hAnsi="宋体"/>
          <w:color w:themeColor="text1" w:val="000000"/>
          <w:szCs w:val="21"/>
          <w:lang w:eastAsia="zh-TW"/>
        </w:rPr>
        <w:t>3</w:t>
      </w:r>
      <w:r>
        <w:rPr>
          <w:rFonts w:ascii="宋体" w:hAnsi="宋体" w:eastAsia="宋体"/>
          <w:color w:themeColor="text1" w:val="000000"/>
          <w:szCs w:val="21"/>
          <w:lang w:eastAsia="zh-TW"/>
        </w:rPr>
        <w:t>年，任職不得超過</w:t>
      </w:r>
      <w:r>
        <w:rPr>
          <w:rFonts w:eastAsia="宋体" w:ascii="宋体" w:hAnsi="宋体"/>
          <w:color w:themeColor="text1" w:val="000000"/>
          <w:szCs w:val="21"/>
          <w:lang w:eastAsia="zh-TW"/>
        </w:rPr>
        <w:t>2</w:t>
      </w:r>
      <w:r>
        <w:rPr>
          <w:rFonts w:ascii="宋体" w:hAnsi="宋体" w:eastAsia="宋体"/>
          <w:color w:themeColor="text1" w:val="000000"/>
          <w:szCs w:val="21"/>
          <w:lang w:eastAsia="zh-TW"/>
        </w:rPr>
        <w:t>屆。</w:t>
      </w:r>
    </w:p>
    <w:p>
      <w:pPr>
        <w:pStyle w:val="11"/>
        <w:numPr>
          <w:ilvl w:val="0"/>
          <w:numId w:val="9"/>
        </w:numPr>
        <w:spacing w:lineRule="exact" w:line="300"/>
        <w:ind w:hanging="735" w:left="735"/>
        <w:rPr>
          <w:rFonts w:ascii="宋体" w:hAnsi="宋体" w:eastAsia="宋体"/>
          <w:color w:themeColor="text1" w:val="000000"/>
          <w:szCs w:val="21"/>
          <w:lang w:eastAsia="zh-TW"/>
        </w:rPr>
      </w:pPr>
      <w:r>
        <w:rPr>
          <w:rFonts w:ascii="宋体" w:hAnsi="宋体" w:eastAsia="宋体"/>
          <w:color w:themeColor="text1" w:val="000000"/>
          <w:szCs w:val="21"/>
          <w:lang w:eastAsia="zh-TW"/>
        </w:rPr>
        <w:t>國家立法院設參議員議政會，簡稱國家參議會，國家參議會現任參議員總數不得超過</w:t>
      </w:r>
      <w:r>
        <w:rPr>
          <w:rFonts w:eastAsia="宋体" w:ascii="宋体" w:hAnsi="宋体"/>
          <w:color w:themeColor="text1" w:val="000000"/>
          <w:szCs w:val="21"/>
          <w:lang w:eastAsia="zh-TW"/>
        </w:rPr>
        <w:t>155</w:t>
      </w:r>
      <w:r>
        <w:rPr>
          <w:rFonts w:ascii="宋体" w:hAnsi="宋体" w:eastAsia="宋体"/>
          <w:color w:themeColor="text1" w:val="000000"/>
          <w:szCs w:val="21"/>
          <w:lang w:eastAsia="zh-TW"/>
        </w:rPr>
        <w:t>人，不得少於</w:t>
      </w:r>
      <w:r>
        <w:rPr>
          <w:rFonts w:eastAsia="宋体" w:ascii="宋体" w:hAnsi="宋体"/>
          <w:color w:themeColor="text1" w:val="000000"/>
          <w:szCs w:val="21"/>
          <w:lang w:eastAsia="zh-TW"/>
        </w:rPr>
        <w:t>105</w:t>
      </w:r>
      <w:r>
        <w:rPr>
          <w:rFonts w:ascii="宋体" w:hAnsi="宋体" w:eastAsia="宋体"/>
          <w:color w:themeColor="text1" w:val="000000"/>
          <w:szCs w:val="21"/>
          <w:lang w:eastAsia="zh-TW"/>
        </w:rPr>
        <w:t>人；每個省級行政區可選出</w:t>
      </w:r>
      <w:r>
        <w:rPr>
          <w:rFonts w:eastAsia="宋体" w:ascii="宋体" w:hAnsi="宋体"/>
          <w:color w:themeColor="text1" w:val="000000"/>
          <w:szCs w:val="21"/>
          <w:lang w:eastAsia="zh-TW"/>
        </w:rPr>
        <w:t>3</w:t>
      </w:r>
      <w:r>
        <w:rPr>
          <w:rFonts w:ascii="宋体" w:hAnsi="宋体" w:eastAsia="宋体"/>
          <w:color w:themeColor="text1" w:val="000000"/>
          <w:szCs w:val="21"/>
          <w:lang w:eastAsia="zh-TW"/>
        </w:rPr>
        <w:t>名國家參議會參議員，且每個省級行政區同時在任的參議員不得少於</w:t>
      </w:r>
      <w:r>
        <w:rPr>
          <w:rFonts w:eastAsia="宋体" w:ascii="宋体" w:hAnsi="宋体"/>
          <w:color w:themeColor="text1" w:val="000000"/>
          <w:szCs w:val="21"/>
          <w:lang w:eastAsia="zh-TW"/>
        </w:rPr>
        <w:t>2</w:t>
      </w:r>
      <w:r>
        <w:rPr>
          <w:rFonts w:ascii="宋体" w:hAnsi="宋体" w:eastAsia="宋体"/>
          <w:color w:themeColor="text1" w:val="000000"/>
          <w:szCs w:val="21"/>
          <w:lang w:eastAsia="zh-TW"/>
        </w:rPr>
        <w:t>人；國家參議會參議員每屆任期</w:t>
      </w:r>
      <w:r>
        <w:rPr>
          <w:rFonts w:eastAsia="宋体" w:ascii="宋体" w:hAnsi="宋体"/>
          <w:color w:themeColor="text1" w:val="000000"/>
          <w:szCs w:val="21"/>
          <w:lang w:eastAsia="zh-TW"/>
        </w:rPr>
        <w:t>5</w:t>
      </w:r>
      <w:r>
        <w:rPr>
          <w:rFonts w:ascii="宋体" w:hAnsi="宋体" w:eastAsia="宋体"/>
          <w:color w:themeColor="text1" w:val="000000"/>
          <w:szCs w:val="21"/>
          <w:lang w:eastAsia="zh-TW"/>
        </w:rPr>
        <w:t>年，任職不得超過</w:t>
      </w:r>
      <w:r>
        <w:rPr>
          <w:rFonts w:eastAsia="宋体" w:ascii="宋体" w:hAnsi="宋体"/>
          <w:color w:themeColor="text1" w:val="000000"/>
          <w:szCs w:val="21"/>
          <w:lang w:eastAsia="zh-TW"/>
        </w:rPr>
        <w:t>2</w:t>
      </w:r>
      <w:r>
        <w:rPr>
          <w:rFonts w:ascii="宋体" w:hAnsi="宋体" w:eastAsia="宋体"/>
          <w:color w:themeColor="text1" w:val="000000"/>
          <w:szCs w:val="21"/>
          <w:lang w:eastAsia="zh-TW"/>
        </w:rPr>
        <w:t>屆。</w:t>
      </w:r>
    </w:p>
    <w:p>
      <w:pPr>
        <w:pStyle w:val="11"/>
        <w:numPr>
          <w:ilvl w:val="0"/>
          <w:numId w:val="9"/>
        </w:numPr>
        <w:spacing w:lineRule="exact" w:line="300" w:before="0" w:after="156"/>
        <w:ind w:hanging="735" w:left="735"/>
        <w:rPr>
          <w:rFonts w:ascii="宋体" w:hAnsi="宋体" w:eastAsia="宋体"/>
          <w:color w:themeColor="text1" w:val="000000"/>
          <w:szCs w:val="21"/>
          <w:lang w:eastAsia="zh-TW"/>
        </w:rPr>
      </w:pPr>
      <w:r>
        <w:rPr>
          <w:rFonts w:ascii="宋体" w:hAnsi="宋体" w:eastAsia="宋体"/>
          <w:color w:themeColor="text1" w:val="000000"/>
          <w:szCs w:val="21"/>
          <w:lang w:eastAsia="zh-TW"/>
        </w:rPr>
        <w:t>國家參議會參議員由各省參議會現任參議員互選產生，且擔任國家參議會職務的不得再擔任國家眾議會職務；國家眾議會眾議員由各省眾議會現任眾議員互選產生，且擔任國家眾議會職務的不得再擔任國家參議會職務。</w:t>
      </w:r>
    </w:p>
    <w:p>
      <w:pPr>
        <w:pStyle w:val="11"/>
        <w:numPr>
          <w:ilvl w:val="0"/>
          <w:numId w:val="3"/>
        </w:numPr>
        <w:spacing w:lineRule="exact" w:line="300" w:before="0" w:after="156"/>
        <w:ind w:hanging="945" w:left="94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國家司法院是國家司法權的最高行權機構，是中華民族聯邦共和國法律的最終解釋機構，國家司法院的司法權由憲法賦予；省級行政區擁有司法權，省級行政區的司法權由國家司法院授予省司法院；市級行政區擁有司法權，市級行政區的司法權由憲法賦予市司法院。</w:t>
      </w:r>
    </w:p>
    <w:p>
      <w:pPr>
        <w:pStyle w:val="11"/>
        <w:numPr>
          <w:ilvl w:val="0"/>
          <w:numId w:val="3"/>
        </w:numPr>
        <w:spacing w:lineRule="exact" w:line="300" w:before="0" w:after="156"/>
        <w:ind w:hanging="945" w:left="94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國家監察院是國家監察權的最高行權機構，國家監察院的監察權由憲法賦予；省級行政區擁有監察權，省級行政區的監察權由國家監察院授予省監察院；市級行政區擁有監察權，市級行政區的監察權由憲法賦予市監察院。</w:t>
      </w:r>
    </w:p>
    <w:p>
      <w:pPr>
        <w:pStyle w:val="11"/>
        <w:numPr>
          <w:ilvl w:val="0"/>
          <w:numId w:val="3"/>
        </w:numPr>
        <w:spacing w:lineRule="exact" w:line="300" w:before="0" w:after="156"/>
        <w:ind w:hanging="945" w:left="94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的行政區由省、市、鎮共三級組成，每個行政區內由「一府兩會三院」派駐相應的公權機構和公職人員，各級行政區屬於中華民族聯邦共和國不可分割的一部分，必須擁護憲法的權威，執行憲法的條款和保障領土的完整及國家主權的獨立。</w:t>
      </w:r>
    </w:p>
    <w:p>
      <w:pPr>
        <w:pStyle w:val="11"/>
        <w:numPr>
          <w:ilvl w:val="0"/>
          <w:numId w:val="3"/>
        </w:numPr>
        <w:spacing w:lineRule="exact" w:line="300"/>
        <w:ind w:hanging="945" w:left="94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公權機構包含行政、立法、司法、監察等機構，增加、減少和變更國家級公權機構的，由國家立法院以特別案表決通過；增加、減少和變更部級公權機構或省級行政區的，由國家立法院以重要案表決通過。</w:t>
      </w:r>
    </w:p>
    <w:p>
      <w:pPr>
        <w:pStyle w:val="11"/>
        <w:numPr>
          <w:ilvl w:val="0"/>
          <w:numId w:val="10"/>
        </w:numPr>
        <w:spacing w:lineRule="exact" w:line="300"/>
        <w:ind w:hanging="735" w:left="735"/>
        <w:rPr>
          <w:rFonts w:ascii="宋体" w:hAnsi="宋体" w:eastAsia="宋体"/>
          <w:color w:themeColor="text1" w:val="000000"/>
          <w:szCs w:val="21"/>
          <w:lang w:eastAsia="zh-TW"/>
        </w:rPr>
      </w:pPr>
      <w:r>
        <w:rPr>
          <w:rFonts w:ascii="宋体" w:hAnsi="宋体" w:eastAsia="宋体"/>
          <w:color w:themeColor="text1" w:val="000000"/>
          <w:szCs w:val="21"/>
          <w:lang w:eastAsia="zh-TW"/>
        </w:rPr>
        <w:t>省級行政區減少和變更所轄市級行政區的，由省立法院和該市立法會以重要案表決通過；省級行政區增加所轄市級行政區的，由省立法院和擬成立市的臨時市立法會以重要案表決通過。</w:t>
      </w:r>
    </w:p>
    <w:p>
      <w:pPr>
        <w:pStyle w:val="11"/>
        <w:numPr>
          <w:ilvl w:val="0"/>
          <w:numId w:val="10"/>
        </w:numPr>
        <w:spacing w:lineRule="exact" w:line="300"/>
        <w:ind w:hanging="735" w:left="735"/>
        <w:rPr>
          <w:rFonts w:ascii="宋体" w:hAnsi="宋体" w:eastAsia="宋体"/>
          <w:color w:themeColor="text1" w:val="000000"/>
          <w:szCs w:val="21"/>
          <w:lang w:eastAsia="zh-TW"/>
        </w:rPr>
      </w:pPr>
      <w:r>
        <w:rPr>
          <w:rFonts w:ascii="宋体" w:hAnsi="宋体" w:eastAsia="宋体"/>
          <w:color w:themeColor="text1" w:val="000000"/>
          <w:szCs w:val="21"/>
          <w:lang w:eastAsia="zh-TW"/>
        </w:rPr>
        <w:t>市級行政區變更和減少所轄鎮級行政區的，由該鎮自治會提案，市立法會以重要案表決通過；市級行政區增加所轄鎮級行政區的，由擬成立鎮的臨時鎮自治會提案，市立法會以重要案表決通過。</w:t>
      </w:r>
    </w:p>
    <w:p>
      <w:pPr>
        <w:pStyle w:val="11"/>
        <w:numPr>
          <w:ilvl w:val="0"/>
          <w:numId w:val="10"/>
        </w:numPr>
        <w:spacing w:lineRule="exact" w:line="300" w:before="0" w:after="156"/>
        <w:ind w:hanging="735" w:left="735"/>
        <w:rPr>
          <w:rFonts w:ascii="宋体" w:hAnsi="宋体" w:eastAsia="宋体"/>
          <w:color w:themeColor="text1" w:val="000000"/>
          <w:szCs w:val="21"/>
          <w:lang w:eastAsia="zh-TW"/>
        </w:rPr>
      </w:pPr>
      <w:r>
        <w:rPr>
          <w:rFonts w:ascii="宋体" w:hAnsi="宋体" w:eastAsia="宋体"/>
          <w:color w:themeColor="text1" w:val="000000"/>
          <w:szCs w:val="21"/>
          <w:lang w:eastAsia="zh-TW"/>
        </w:rPr>
        <w:t>增加、減少和變更其他公權機構或其他行政區的，由各立法機構另立法規定。</w:t>
      </w:r>
    </w:p>
    <w:p>
      <w:pPr>
        <w:pStyle w:val="11"/>
        <w:numPr>
          <w:ilvl w:val="0"/>
          <w:numId w:val="2"/>
        </w:numPr>
        <w:tabs>
          <w:tab w:val="clear" w:pos="210"/>
          <w:tab w:val="left" w:pos="420" w:leader="none"/>
        </w:tabs>
        <w:spacing w:lineRule="exact" w:line="300" w:before="156" w:after="0"/>
        <w:outlineLvl w:val="1"/>
        <w:rPr>
          <w:rFonts w:ascii="宋体" w:hAnsi="宋体" w:eastAsia="宋体"/>
          <w:b/>
          <w:color w:themeColor="text1" w:val="000000"/>
          <w:sz w:val="28"/>
          <w:szCs w:val="28"/>
        </w:rPr>
      </w:pPr>
      <w:bookmarkStart w:id="10" w:name="__RefHeading___Toc6995_4090689648"/>
      <w:bookmarkStart w:id="11" w:name="_Toc147663407"/>
      <w:bookmarkEnd w:id="10"/>
      <w:r>
        <w:rPr>
          <w:rFonts w:ascii="宋体" w:hAnsi="宋体" w:eastAsia="宋体"/>
          <w:b/>
          <w:color w:themeColor="text1" w:val="000000"/>
          <w:sz w:val="28"/>
          <w:szCs w:val="28"/>
          <w:lang w:eastAsia="zh-TW"/>
        </w:rPr>
        <w:t>憲法的定義</w:t>
      </w:r>
      <w:bookmarkEnd w:id="11"/>
    </w:p>
    <w:p>
      <w:pPr>
        <w:pStyle w:val="11"/>
        <w:numPr>
          <w:ilvl w:val="0"/>
          <w:numId w:val="3"/>
        </w:numPr>
        <w:spacing w:lineRule="exact" w:line="300" w:before="0" w:after="156"/>
        <w:ind w:hanging="945" w:left="94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我們是中華民族聯邦共和國的公民，為建立一個自由的、民主的、正義的、平等的、求實的國家，為保障公民權利、保障社會福利、保障國家安全，使我們和我們的後代能自由、平等、幸福、健康的生活在這個國家，特為中華民族聯邦共和國制定《中華民族聯邦共和國憲法》，簡稱憲法、本憲法或自由憲章。</w:t>
      </w:r>
    </w:p>
    <w:p>
      <w:pPr>
        <w:pStyle w:val="11"/>
        <w:numPr>
          <w:ilvl w:val="0"/>
          <w:numId w:val="3"/>
        </w:numPr>
        <w:spacing w:lineRule="exact" w:line="300"/>
        <w:ind w:hanging="945" w:left="94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本憲法是中華民族聯邦共和國的根本法，是國家所有法律的基礎，一切違反本憲法的法律都不是法律，憲法應刪除取締一切與本憲法相抵觸的法律；如有違憲法的決議，公民有權不予執行，如有違憲法的行為，公民有義務向國家護憲大法官檢舉。</w:t>
      </w:r>
    </w:p>
    <w:p>
      <w:pPr>
        <w:pStyle w:val="11"/>
        <w:numPr>
          <w:ilvl w:val="0"/>
          <w:numId w:val="11"/>
        </w:numPr>
        <w:spacing w:lineRule="exact" w:line="300"/>
        <w:ind w:hanging="735" w:left="735"/>
        <w:rPr>
          <w:rFonts w:ascii="宋体" w:hAnsi="宋体" w:eastAsia="宋体"/>
          <w:color w:themeColor="text1" w:val="000000"/>
          <w:szCs w:val="21"/>
          <w:lang w:eastAsia="zh-TW"/>
        </w:rPr>
      </w:pPr>
      <w:r>
        <w:rPr>
          <w:rFonts w:ascii="宋体" w:hAnsi="宋体" w:eastAsia="宋体"/>
          <w:color w:themeColor="text1" w:val="000000"/>
          <w:szCs w:val="21"/>
          <w:lang w:eastAsia="zh-TW"/>
        </w:rPr>
        <w:t>本憲法賦予的最高立法權，屬於中華民族聯邦共和國國家立法院，國家立法院依憲法授予省立法院立法權，省立法院的立法不得與憲法衝突，不得與國家立法院的立法衝突。</w:t>
      </w:r>
    </w:p>
    <w:p>
      <w:pPr>
        <w:pStyle w:val="11"/>
        <w:numPr>
          <w:ilvl w:val="0"/>
          <w:numId w:val="11"/>
        </w:numPr>
        <w:spacing w:lineRule="exact" w:line="300"/>
        <w:ind w:hanging="735" w:left="735"/>
        <w:rPr>
          <w:rFonts w:ascii="宋体" w:hAnsi="宋体" w:eastAsia="宋体"/>
          <w:color w:themeColor="text1" w:val="000000"/>
          <w:szCs w:val="21"/>
          <w:lang w:eastAsia="zh-TW"/>
        </w:rPr>
      </w:pPr>
      <w:r>
        <w:rPr>
          <w:rFonts w:ascii="宋体" w:hAnsi="宋体" w:eastAsia="宋体"/>
          <w:color w:themeColor="text1" w:val="000000"/>
          <w:szCs w:val="21"/>
          <w:lang w:eastAsia="zh-TW"/>
        </w:rPr>
        <w:t>本憲法賦予中華民族聯邦共和國市級行政區市立法會立法權，市立法會的立法權不應超出所屬市級行政區的轄區範圍，且市立法會的立法不得與憲法衝突，不得與國家立法院的立法衝突，不應與省立法院的立法衝突。</w:t>
      </w:r>
    </w:p>
    <w:p>
      <w:pPr>
        <w:pStyle w:val="11"/>
        <w:numPr>
          <w:ilvl w:val="0"/>
          <w:numId w:val="11"/>
        </w:numPr>
        <w:spacing w:lineRule="exact" w:line="300" w:before="0" w:after="156"/>
        <w:ind w:hanging="735" w:left="735"/>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憲法賦予立法機構的立法權，其立法理念應建立在以人為本的基礎之上，立法的目的不是懲罰與管制，立法的根本目的是教育與防範，是教惡揚善和防止犯罪；且憲法未盡之法律，由各立法院和立法會另立法規定。</w:t>
      </w:r>
    </w:p>
    <w:p>
      <w:pPr>
        <w:pStyle w:val="11"/>
        <w:numPr>
          <w:ilvl w:val="0"/>
          <w:numId w:val="3"/>
        </w:numPr>
        <w:spacing w:lineRule="exact" w:line="300" w:before="0" w:after="156"/>
        <w:ind w:hanging="945" w:left="94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本憲法的第一章總則是憲法的核心章節條款，對憲法核心章節條款進行修改的，必須經國家立法院以特別案表決通過；本憲法除第一章總則以外的其它章節條款是憲法的一般章節條款，對憲法的一般章節條款進行修改的，必須經國家立法院以重要案表決通過。</w:t>
      </w:r>
    </w:p>
    <w:p>
      <w:pPr>
        <w:pStyle w:val="11"/>
        <w:numPr>
          <w:ilvl w:val="0"/>
          <w:numId w:val="3"/>
        </w:numPr>
        <w:spacing w:lineRule="exact" w:line="300"/>
        <w:ind w:hanging="945" w:left="94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為維護憲法的神聖權威，保護憲法的不受侵犯，特設護憲大法官</w:t>
      </w:r>
      <w:r>
        <w:rPr>
          <w:rFonts w:eastAsia="宋体" w:ascii="宋体" w:hAnsi="宋体"/>
          <w:color w:themeColor="text1" w:val="000000"/>
          <w:szCs w:val="21"/>
          <w:lang w:eastAsia="zh-TW"/>
        </w:rPr>
        <w:t>5</w:t>
      </w:r>
      <w:r>
        <w:rPr>
          <w:rFonts w:ascii="宋体" w:hAnsi="宋体" w:eastAsia="宋体"/>
          <w:color w:themeColor="text1" w:val="000000"/>
          <w:szCs w:val="21"/>
          <w:lang w:eastAsia="zh-TW"/>
        </w:rPr>
        <w:t>人；護憲大法官每屆任期</w:t>
      </w:r>
      <w:r>
        <w:rPr>
          <w:rFonts w:eastAsia="宋体" w:ascii="宋体" w:hAnsi="宋体"/>
          <w:color w:themeColor="text1" w:val="000000"/>
          <w:szCs w:val="21"/>
          <w:lang w:eastAsia="zh-TW"/>
        </w:rPr>
        <w:t>6</w:t>
      </w:r>
      <w:r>
        <w:rPr>
          <w:rFonts w:ascii="宋体" w:hAnsi="宋体" w:eastAsia="宋体"/>
          <w:color w:themeColor="text1" w:val="000000"/>
          <w:szCs w:val="21"/>
          <w:lang w:eastAsia="zh-TW"/>
        </w:rPr>
        <w:t>年，連任超過</w:t>
      </w:r>
      <w:r>
        <w:rPr>
          <w:rFonts w:eastAsia="宋体" w:ascii="宋体" w:hAnsi="宋体"/>
          <w:color w:themeColor="text1" w:val="000000"/>
          <w:szCs w:val="21"/>
          <w:lang w:eastAsia="zh-TW"/>
        </w:rPr>
        <w:t>5</w:t>
      </w:r>
      <w:r>
        <w:rPr>
          <w:rFonts w:ascii="宋体" w:hAnsi="宋体" w:eastAsia="宋体"/>
          <w:color w:themeColor="text1" w:val="000000"/>
          <w:szCs w:val="21"/>
          <w:lang w:eastAsia="zh-TW"/>
        </w:rPr>
        <w:t>屆的，從第</w:t>
      </w:r>
      <w:r>
        <w:rPr>
          <w:rFonts w:eastAsia="宋体" w:ascii="宋体" w:hAnsi="宋体"/>
          <w:color w:themeColor="text1" w:val="000000"/>
          <w:szCs w:val="21"/>
          <w:lang w:eastAsia="zh-TW"/>
        </w:rPr>
        <w:t>6</w:t>
      </w:r>
      <w:r>
        <w:rPr>
          <w:rFonts w:ascii="宋体" w:hAnsi="宋体" w:eastAsia="宋体"/>
          <w:color w:themeColor="text1" w:val="000000"/>
          <w:szCs w:val="21"/>
          <w:lang w:eastAsia="zh-TW"/>
        </w:rPr>
        <w:t>屆起授予終身護憲大法官榮譽稱謂。</w:t>
      </w:r>
    </w:p>
    <w:p>
      <w:pPr>
        <w:pStyle w:val="11"/>
        <w:numPr>
          <w:ilvl w:val="0"/>
          <w:numId w:val="12"/>
        </w:numPr>
        <w:spacing w:lineRule="exact" w:line="300"/>
        <w:ind w:hanging="735" w:left="735"/>
        <w:rPr>
          <w:rFonts w:ascii="宋体" w:hAnsi="宋体" w:eastAsia="宋体"/>
          <w:color w:themeColor="text1" w:val="000000"/>
          <w:szCs w:val="21"/>
          <w:lang w:eastAsia="zh-TW"/>
        </w:rPr>
      </w:pPr>
      <w:r>
        <w:rPr>
          <w:rFonts w:ascii="宋体" w:hAnsi="宋体" w:eastAsia="宋体"/>
          <w:color w:themeColor="text1" w:val="000000"/>
          <w:szCs w:val="21"/>
          <w:lang w:eastAsia="zh-TW"/>
        </w:rPr>
        <w:t>護憲大法官的基本任職要求：一是擁有專業的司法學識和豐富的司法經驗，且在司法領域作出重大突出貢獻或參與主審對司法界影響重大的案件；二是人品正直極富正義感，不畏強權能始終堅守法律的公平與正義；三是以身作則維護法律的尊嚴，深受公民的愛戴與認可。</w:t>
      </w:r>
    </w:p>
    <w:p>
      <w:pPr>
        <w:pStyle w:val="11"/>
        <w:numPr>
          <w:ilvl w:val="0"/>
          <w:numId w:val="12"/>
        </w:numPr>
        <w:spacing w:lineRule="exact" w:line="300"/>
        <w:ind w:hanging="735" w:left="735"/>
        <w:rPr>
          <w:rFonts w:ascii="宋体" w:hAnsi="宋体" w:eastAsia="宋体"/>
          <w:color w:themeColor="text1" w:val="000000"/>
          <w:szCs w:val="21"/>
          <w:lang w:eastAsia="zh-TW"/>
        </w:rPr>
      </w:pPr>
      <w:r>
        <w:rPr>
          <w:rFonts w:ascii="宋体" w:hAnsi="宋体" w:eastAsia="宋体"/>
          <w:color w:themeColor="text1" w:val="000000"/>
          <w:szCs w:val="21"/>
          <w:lang w:eastAsia="zh-TW"/>
        </w:rPr>
        <w:t>護憲大法官不隸屬於任何機構，其職權由憲法直接賦予，只對憲法負責；非不可抗力的因素或任期屆滿的，護憲大法官的任職，不得被剝奪。</w:t>
      </w:r>
    </w:p>
    <w:p>
      <w:pPr>
        <w:pStyle w:val="11"/>
        <w:numPr>
          <w:ilvl w:val="0"/>
          <w:numId w:val="12"/>
        </w:numPr>
        <w:spacing w:lineRule="exact" w:line="300"/>
        <w:ind w:hanging="735" w:left="735"/>
        <w:rPr>
          <w:rFonts w:ascii="宋体" w:hAnsi="宋体" w:eastAsia="宋体"/>
          <w:color w:themeColor="text1" w:val="000000"/>
          <w:szCs w:val="21"/>
          <w:lang w:eastAsia="zh-TW"/>
        </w:rPr>
      </w:pPr>
      <w:r>
        <w:rPr>
          <w:rFonts w:ascii="宋体" w:hAnsi="宋体" w:eastAsia="宋体"/>
          <w:color w:themeColor="text1" w:val="000000"/>
          <w:szCs w:val="21"/>
          <w:lang w:eastAsia="zh-TW"/>
        </w:rPr>
        <w:t>護憲大法官由擁有選舉權的公民選舉產生，任職由任意在職護憲大法官主持，護憲大法官宣誓就職的，身著護憲大法官服，左手撫中華民族聯邦共和國憲法，右手持護憲大法官權杖宣誓。</w:t>
      </w:r>
    </w:p>
    <w:p>
      <w:pPr>
        <w:pStyle w:val="11"/>
        <w:numPr>
          <w:ilvl w:val="0"/>
          <w:numId w:val="12"/>
        </w:numPr>
        <w:spacing w:lineRule="exact" w:line="300"/>
        <w:ind w:hanging="735" w:left="735"/>
        <w:rPr>
          <w:rFonts w:ascii="宋体" w:hAnsi="宋体" w:eastAsia="宋体"/>
          <w:color w:themeColor="text1" w:val="000000"/>
          <w:szCs w:val="21"/>
          <w:lang w:eastAsia="zh-TW"/>
        </w:rPr>
      </w:pPr>
      <w:r>
        <w:rPr>
          <w:rFonts w:ascii="宋体" w:hAnsi="宋体" w:eastAsia="宋体"/>
          <w:color w:themeColor="text1" w:val="000000"/>
          <w:szCs w:val="21"/>
          <w:lang w:eastAsia="zh-TW"/>
        </w:rPr>
        <w:t>護憲大法官就職誓詞：我是中華民族聯邦共和國公民，我宣誓就職中華民族聯邦共和國護憲大法官，我在此宣誓！我將以超過對待自己生命權的高度對待我所任職的護憲大法官職權，我保證我曾經的正義感、使命感和光榮感會在此之後更加的得到體現！我在此莊嚴承諾！我將任職、守護憲法，與一切違反憲法的行為進行戰鬥！</w:t>
      </w:r>
    </w:p>
    <w:p>
      <w:pPr>
        <w:pStyle w:val="11"/>
        <w:numPr>
          <w:ilvl w:val="0"/>
          <w:numId w:val="12"/>
        </w:numPr>
        <w:spacing w:lineRule="exact" w:line="300"/>
        <w:ind w:hanging="735" w:left="735"/>
        <w:rPr>
          <w:rFonts w:ascii="宋体" w:hAnsi="宋体" w:eastAsia="宋体"/>
          <w:color w:themeColor="text1" w:val="000000"/>
          <w:szCs w:val="21"/>
          <w:lang w:eastAsia="zh-TW"/>
        </w:rPr>
      </w:pPr>
      <w:r>
        <w:rPr>
          <w:rFonts w:ascii="宋体" w:hAnsi="宋体" w:eastAsia="宋体"/>
          <w:color w:themeColor="text1" w:val="000000"/>
          <w:szCs w:val="21"/>
          <w:lang w:eastAsia="zh-TW"/>
        </w:rPr>
        <w:t>國家護憲大法官可對任意公民、公職人員和軍隊軍人發起違憲指控，被發起違憲指控的公民、公職人員或軍隊軍人，非不可抗力的因素，必須出席違憲指控聽證會。</w:t>
      </w:r>
    </w:p>
    <w:p>
      <w:pPr>
        <w:pStyle w:val="11"/>
        <w:numPr>
          <w:ilvl w:val="0"/>
          <w:numId w:val="2"/>
        </w:numPr>
        <w:tabs>
          <w:tab w:val="clear" w:pos="210"/>
          <w:tab w:val="left" w:pos="420" w:leader="none"/>
        </w:tabs>
        <w:spacing w:lineRule="exact" w:line="300" w:before="156" w:after="0"/>
        <w:outlineLvl w:val="1"/>
        <w:rPr>
          <w:rFonts w:ascii="宋体" w:hAnsi="宋体" w:eastAsia="宋体"/>
          <w:b/>
          <w:color w:themeColor="text1" w:val="000000"/>
          <w:sz w:val="28"/>
          <w:szCs w:val="28"/>
        </w:rPr>
      </w:pPr>
      <w:bookmarkStart w:id="12" w:name="__RefHeading___Toc6997_4090689648"/>
      <w:bookmarkStart w:id="13" w:name="_Toc147663408"/>
      <w:bookmarkEnd w:id="12"/>
      <w:r>
        <w:rPr>
          <w:rFonts w:ascii="宋体" w:hAnsi="宋体" w:eastAsia="宋体"/>
          <w:b/>
          <w:color w:themeColor="text1" w:val="000000"/>
          <w:sz w:val="28"/>
          <w:szCs w:val="28"/>
          <w:lang w:eastAsia="zh-TW"/>
        </w:rPr>
        <w:t>軍隊的定義</w:t>
      </w:r>
      <w:bookmarkEnd w:id="13"/>
    </w:p>
    <w:p>
      <w:pPr>
        <w:pStyle w:val="11"/>
        <w:numPr>
          <w:ilvl w:val="0"/>
          <w:numId w:val="3"/>
        </w:numPr>
        <w:spacing w:lineRule="exact" w:line="300" w:before="0" w:after="156"/>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軍隊是國家軍事權的具體體現，軍隊的基本職責有以下三項：一是維護公民的合法權利，保障公民的人權不受侵犯、保障公民的財產不受侵犯；二是維護國家領土的完整，保障國家領土不受侵犯、保障國家主權不受侵犯；三是維護世界和平，保障人類的生存權不受侵犯、保障人類的人權不受侵犯。</w:t>
      </w:r>
    </w:p>
    <w:p>
      <w:pPr>
        <w:pStyle w:val="11"/>
        <w:numPr>
          <w:ilvl w:val="0"/>
          <w:numId w:val="3"/>
        </w:numPr>
        <w:spacing w:lineRule="exact" w:line="300" w:before="0" w:after="156"/>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中華民族聯邦共和國總統府總統是中華民族聯邦共和國軍隊的最高統帥，由憲法授權行使國家軍事權，統領國家軍隊，總統有權解除任意一名軍人的軍銜和職務，總統有權解散任意一支軍隊的武裝。</w:t>
      </w:r>
    </w:p>
    <w:p>
      <w:pPr>
        <w:pStyle w:val="11"/>
        <w:numPr>
          <w:ilvl w:val="0"/>
          <w:numId w:val="3"/>
        </w:numPr>
        <w:spacing w:lineRule="exact" w:line="300" w:before="0" w:after="156"/>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國家防務部是中華民族聯邦共和國的最高軍事管理機構，下設陸軍部、海軍部、空軍部、天軍部和聯合作戰參謀部；中華民族聯邦共和國軍隊由陸軍、海軍、空軍、天軍和國民警衛隊共五個軍種組成，陸軍、海軍、空軍和天軍分別由國家防務部所屬陸軍部、海軍部、空軍部和天軍部管理，國民警衛隊由國土安全部所屬國民警衛局管理。</w:t>
      </w:r>
    </w:p>
    <w:p>
      <w:pPr>
        <w:pStyle w:val="11"/>
        <w:numPr>
          <w:ilvl w:val="0"/>
          <w:numId w:val="3"/>
        </w:numPr>
        <w:spacing w:lineRule="exact" w:line="300" w:before="0" w:after="156"/>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中華民族聯邦共和國國家防務部聯合作戰參謀部，是中華民族聯邦共和國的最高軍事作戰機構；聯合作戰參謀部設總參謀長職位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個，設副總參謀長職位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個，由總統提名並任免產生，對總統負責；設參謀長職位</w:t>
      </w:r>
      <w:r>
        <w:rPr>
          <w:rFonts w:eastAsia="宋体" w:ascii="宋体" w:hAnsi="宋体"/>
          <w:color w:themeColor="text1" w:val="000000"/>
          <w:szCs w:val="21"/>
          <w:lang w:eastAsia="zh-TW"/>
        </w:rPr>
        <w:t>5</w:t>
      </w:r>
      <w:r>
        <w:rPr>
          <w:rFonts w:ascii="宋体" w:hAnsi="宋体" w:eastAsia="宋体"/>
          <w:color w:themeColor="text1" w:val="000000"/>
          <w:szCs w:val="21"/>
          <w:lang w:eastAsia="zh-TW"/>
        </w:rPr>
        <w:t>個，分別由陸軍司令員、海軍司令員、空軍司令員、天軍司令員和國民警衛隊司令員兼任。</w:t>
      </w:r>
    </w:p>
    <w:p>
      <w:pPr>
        <w:pStyle w:val="11"/>
        <w:numPr>
          <w:ilvl w:val="0"/>
          <w:numId w:val="3"/>
        </w:numPr>
        <w:spacing w:lineRule="exact" w:line="300" w:before="0" w:after="156"/>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中華民族聯邦共和國陸軍、海軍、空軍、天軍和國民警衛隊，分別設陸軍司令部、海軍司令部、空軍司令部、天軍司令部和國民警衛隊司令部，每個軍種司令部設司令員職位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個，由聯合作戰參謀部總參謀長提名，總統任免產生；每個軍種司令部設副司令員職位</w:t>
      </w:r>
      <w:r>
        <w:rPr>
          <w:rFonts w:eastAsia="宋体" w:ascii="宋体" w:hAnsi="宋体"/>
          <w:color w:themeColor="text1" w:val="000000"/>
          <w:szCs w:val="21"/>
          <w:lang w:eastAsia="zh-TW"/>
        </w:rPr>
        <w:t>2</w:t>
      </w:r>
      <w:r>
        <w:rPr>
          <w:rFonts w:ascii="宋体" w:hAnsi="宋体" w:eastAsia="宋体"/>
          <w:color w:themeColor="text1" w:val="000000"/>
          <w:szCs w:val="21"/>
          <w:lang w:eastAsia="zh-TW"/>
        </w:rPr>
        <w:t>個，由本軍種司令部司令員提名，聯合作戰參謀部總參謀長任免產生。</w:t>
      </w:r>
    </w:p>
    <w:p>
      <w:pPr>
        <w:pStyle w:val="11"/>
        <w:numPr>
          <w:ilvl w:val="0"/>
          <w:numId w:val="3"/>
        </w:numPr>
        <w:spacing w:lineRule="exact" w:line="300" w:before="0" w:after="156"/>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軍隊軍人在未取得公民的同意下，禁止在非戰爭狀態或非緊急狀態時期進入公民的私人領地；在戰爭狀態或緊急狀態時期，軍隊軍人有權進入公民的私人領地，有權徵用公民的財產，因徵用使用而造成公民財產損失的，軍隊應予以補償。</w:t>
      </w:r>
    </w:p>
    <w:p>
      <w:pPr>
        <w:pStyle w:val="11"/>
        <w:numPr>
          <w:ilvl w:val="0"/>
          <w:numId w:val="3"/>
        </w:numPr>
        <w:spacing w:lineRule="exact" w:line="300" w:before="0" w:after="156"/>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中華民族聯邦共和國軍隊是國家的軍隊、是公民的軍隊，禁止軍隊軍人為任何政黨、宗教和非法組織提供武力保護，在政治事務中，軍隊軍人必須保持中立。</w:t>
      </w:r>
    </w:p>
    <w:p>
      <w:pPr>
        <w:pStyle w:val="11"/>
        <w:numPr>
          <w:ilvl w:val="0"/>
          <w:numId w:val="3"/>
        </w:numPr>
        <w:spacing w:lineRule="exact" w:line="300" w:before="0" w:after="156"/>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中華民族聯邦共和國現役軍隊軍人禁止經商，禁止兼任政府、立法院、司法院、監察院、公民教育委員會和聯邦儲備委員會等國家公權機構的公職職務，禁止參加任何政黨或政治團體。</w:t>
      </w:r>
    </w:p>
    <w:p>
      <w:pPr>
        <w:pStyle w:val="11"/>
        <w:numPr>
          <w:ilvl w:val="0"/>
          <w:numId w:val="3"/>
        </w:numPr>
        <w:spacing w:lineRule="exact" w:line="300" w:before="0" w:after="156"/>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中華民族聯邦共和國軍隊軍人違憲的，國家立法院有權通過重要案表決宣佈其為非法武裝，總統有權簽署總統令解除其武裝，國家立法院通過重要案表決宣佈其為非法武裝的，公民有權解除其武裝。</w:t>
      </w:r>
    </w:p>
    <w:p>
      <w:pPr>
        <w:pStyle w:val="11"/>
        <w:numPr>
          <w:ilvl w:val="0"/>
          <w:numId w:val="3"/>
        </w:numPr>
        <w:spacing w:lineRule="exact" w:line="300" w:before="0" w:after="156"/>
        <w:ind w:hanging="945" w:left="94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軍事機構在沒有總統的授權下，不得在本國境內非軍事區開展軍事行動；在非戰爭狀態或非緊急狀態下，軍事機構在本國境內非軍事區開展軍事行動的，必須有聯邦調查署和公民安全部所屬公職人員的參與。</w:t>
      </w:r>
    </w:p>
    <w:p>
      <w:pPr>
        <w:pStyle w:val="11"/>
        <w:numPr>
          <w:ilvl w:val="0"/>
          <w:numId w:val="2"/>
        </w:numPr>
        <w:tabs>
          <w:tab w:val="clear" w:pos="210"/>
          <w:tab w:val="left" w:pos="420" w:leader="none"/>
        </w:tabs>
        <w:spacing w:lineRule="exact" w:line="300" w:before="156" w:after="0"/>
        <w:outlineLvl w:val="1"/>
        <w:rPr>
          <w:rFonts w:ascii="宋体" w:hAnsi="宋体" w:eastAsia="宋体"/>
          <w:b/>
          <w:color w:themeColor="text1" w:val="000000"/>
          <w:sz w:val="28"/>
          <w:szCs w:val="28"/>
        </w:rPr>
      </w:pPr>
      <w:bookmarkStart w:id="14" w:name="__RefHeading___Toc6999_4090689648"/>
      <w:bookmarkStart w:id="15" w:name="_Toc147663409"/>
      <w:bookmarkEnd w:id="14"/>
      <w:r>
        <w:rPr>
          <w:rFonts w:ascii="宋体" w:hAnsi="宋体" w:eastAsia="宋体"/>
          <w:b/>
          <w:color w:themeColor="text1" w:val="000000"/>
          <w:sz w:val="28"/>
          <w:szCs w:val="28"/>
          <w:lang w:eastAsia="zh-TW"/>
        </w:rPr>
        <w:t>公民的權利與義務</w:t>
      </w:r>
      <w:bookmarkEnd w:id="15"/>
    </w:p>
    <w:p>
      <w:pPr>
        <w:pStyle w:val="11"/>
        <w:numPr>
          <w:ilvl w:val="0"/>
          <w:numId w:val="3"/>
        </w:numPr>
        <w:spacing w:lineRule="exact" w:line="300" w:before="0" w:after="156"/>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人自出生即是自由的、平等的、不受壓迫的，凡中華民族聯邦共和國公民，無論膚色、種族、民族、宗教、性別、地域、黨派、職業、性取向和健康狀況，其在法律上一律平等，且公民的人權大於國家的主權。</w:t>
      </w:r>
    </w:p>
    <w:p>
      <w:pPr>
        <w:pStyle w:val="11"/>
        <w:numPr>
          <w:ilvl w:val="0"/>
          <w:numId w:val="3"/>
        </w:numPr>
        <w:spacing w:lineRule="exact" w:line="300"/>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公民是指擁有本國國籍的自然人，本國國籍是指由中華民族聯邦共和國公安部頒發的中華民族聯邦共和國護照；年滿十六週歲的中華民族聯邦共和國公民為成年人，未滿十六週歲的為未成年人，未成年人的權利與義務由其監護人負責。</w:t>
      </w:r>
    </w:p>
    <w:p>
      <w:pPr>
        <w:pStyle w:val="11"/>
        <w:numPr>
          <w:ilvl w:val="0"/>
          <w:numId w:val="13"/>
        </w:numPr>
        <w:spacing w:lineRule="exact" w:line="300"/>
        <w:ind w:hanging="735" w:left="735"/>
        <w:rPr>
          <w:rFonts w:ascii="宋体" w:hAnsi="宋体" w:eastAsia="宋体"/>
          <w:color w:themeColor="text1" w:val="000000"/>
          <w:szCs w:val="21"/>
          <w:lang w:eastAsia="zh-TW"/>
        </w:rPr>
      </w:pPr>
      <w:r>
        <w:rPr>
          <w:rFonts w:ascii="宋体" w:hAnsi="宋体" w:eastAsia="宋体"/>
          <w:color w:themeColor="text1" w:val="000000"/>
          <w:szCs w:val="21"/>
          <w:lang w:eastAsia="zh-TW"/>
        </w:rPr>
        <w:t>取得中華民族聯邦共和國護照，需向中華民族聯邦共和國公安部下設的任意分支機構提出入籍申請，入籍後由公安部頒發中華民族聯邦共和國護照。</w:t>
      </w:r>
    </w:p>
    <w:p>
      <w:pPr>
        <w:pStyle w:val="11"/>
        <w:numPr>
          <w:ilvl w:val="0"/>
          <w:numId w:val="13"/>
        </w:numPr>
        <w:spacing w:lineRule="exact" w:line="300"/>
        <w:ind w:hanging="735" w:left="735"/>
        <w:rPr>
          <w:rFonts w:ascii="宋体" w:hAnsi="宋体" w:eastAsia="宋体"/>
          <w:color w:themeColor="text1" w:val="000000"/>
          <w:szCs w:val="21"/>
          <w:lang w:eastAsia="zh-TW"/>
        </w:rPr>
      </w:pPr>
      <w:r>
        <w:rPr>
          <w:rFonts w:ascii="宋体" w:hAnsi="宋体" w:eastAsia="宋体"/>
          <w:color w:themeColor="text1" w:val="000000"/>
          <w:szCs w:val="21"/>
          <w:lang w:eastAsia="zh-TW"/>
        </w:rPr>
        <w:t>出生在中華民族聯邦共和國領土上的自然人，出生即擁有本國國籍；出生在非中華民族聯邦共和國領土上的自然人，其親生父母有一方是中華民族聯邦共和國公民的，出生即擁有本國國籍。</w:t>
      </w:r>
    </w:p>
    <w:p>
      <w:pPr>
        <w:pStyle w:val="11"/>
        <w:numPr>
          <w:ilvl w:val="0"/>
          <w:numId w:val="13"/>
        </w:numPr>
        <w:spacing w:lineRule="exact" w:line="300"/>
        <w:ind w:hanging="735" w:left="735"/>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中華民族聯邦共和國公民享有自由選擇國籍和選擇多國國籍的權利，擁有本國國籍的，在入境本國及在本國境內時必須遵守本國法律和使用本國護照。</w:t>
      </w:r>
    </w:p>
    <w:p>
      <w:pPr>
        <w:pStyle w:val="11"/>
        <w:numPr>
          <w:ilvl w:val="0"/>
          <w:numId w:val="13"/>
        </w:numPr>
        <w:spacing w:lineRule="exact" w:line="300" w:before="0" w:after="156"/>
        <w:ind w:hanging="735" w:left="735"/>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公民入籍誓詞：我宣誓！完全遵守中華民族聯邦共和國憲法及其附屬法律、完全認同中華民族聯邦共和國之國家格言、完全認同先有人類後有國家，是公民建立國家，國家是公民的國家，是公民治理國家，而不是國家統治公民的國家理念、完全認同公民有依法納稅、依法服兵役、依法受教育和依法保護環境的義務。也完全認同，當法律要求時，我願意為自由民主而拿起武器、為捍衛正義而拿起武器、為平等人權而拿起武器、為保衛領土而拿起武器、為守護憲法而拿起武器。我在此宣誓，對以上誓言絕無藉口、謊言、障礙與保留！</w:t>
      </w:r>
    </w:p>
    <w:p>
      <w:pPr>
        <w:pStyle w:val="11"/>
        <w:numPr>
          <w:ilvl w:val="0"/>
          <w:numId w:val="3"/>
        </w:numPr>
        <w:spacing w:lineRule="exact" w:line="300"/>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公民依憲法享有言論自由、信仰自由、遷居自由、生育自由、結社自由、出版自由、隱私通信自由、免於恐懼的自由和不受飢餓的自由等自由的權利，非經司法院依照現行法律審判的，不得剝奪公民的上述權利。</w:t>
      </w:r>
    </w:p>
    <w:p>
      <w:pPr>
        <w:pStyle w:val="11"/>
        <w:numPr>
          <w:ilvl w:val="0"/>
          <w:numId w:val="14"/>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中華民族聯邦共和國公民享有生存權、工作權、財產權、訴訟權及考取公職權，非經聯邦司法院終審的，不得剝奪公民的上述權利。</w:t>
      </w:r>
    </w:p>
    <w:p>
      <w:pPr>
        <w:pStyle w:val="11"/>
        <w:numPr>
          <w:ilvl w:val="0"/>
          <w:numId w:val="14"/>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公民年滿十六週歲的，即擁有選舉權與被選舉權，即可依法參與公職人員的選舉與被選舉；公民參與選舉的投票權不得用於買賣交易，凡買賣交易投票權的，經聯邦司法院審判違憲的，參與投票權買賣交易的公民永久不得再參與公職人員的選舉與被選舉。</w:t>
      </w:r>
    </w:p>
    <w:p>
      <w:pPr>
        <w:pStyle w:val="11"/>
        <w:numPr>
          <w:ilvl w:val="0"/>
          <w:numId w:val="14"/>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中華民族聯邦共和國公民享有合法擁有財產的權利，包括但不限於土地、房屋、貨幣、股權、債券和知識產權等，非經聯邦司法院終審的，不得剝奪公民的上述權利。</w:t>
      </w:r>
    </w:p>
    <w:p>
      <w:pPr>
        <w:pStyle w:val="11"/>
        <w:numPr>
          <w:ilvl w:val="0"/>
          <w:numId w:val="14"/>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中華民族聯邦共和國公民，年滿二十二週歲且獲得公民義務教育結業證書的，沒有醫學精神類疾病的，具有獨立行為能力的，十年內沒有刑事犯罪記錄的，依憲法享有合法擁有槍彈武器的權利。</w:t>
      </w:r>
    </w:p>
    <w:p>
      <w:pPr>
        <w:pStyle w:val="11"/>
        <w:numPr>
          <w:ilvl w:val="0"/>
          <w:numId w:val="14"/>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中華民族聯邦共和國公民的病例資料、通信資料、徵信資料、銀行資料、檔案資料和家庭住址屬於公民的絕對隱私，非經公民本人同意或非經市司法院和省司法院雙重授權的，不得洩漏和使用公民的上述隱私。</w:t>
      </w:r>
    </w:p>
    <w:p>
      <w:pPr>
        <w:pStyle w:val="11"/>
        <w:numPr>
          <w:ilvl w:val="0"/>
          <w:numId w:val="14"/>
        </w:numPr>
        <w:spacing w:lineRule="exact" w:line="300" w:before="0" w:after="156"/>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中華民族聯邦共和國公民的其他自由權利，在不違反現行法律、不妨礙社會秩序及不損害公共利益時，均受憲法的保護。</w:t>
      </w:r>
    </w:p>
    <w:p>
      <w:pPr>
        <w:pStyle w:val="11"/>
        <w:numPr>
          <w:ilvl w:val="0"/>
          <w:numId w:val="3"/>
        </w:numPr>
        <w:spacing w:lineRule="exact" w:line="300" w:before="0" w:after="156"/>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公民非經司法院依照現行法律判定有罪的，不得被關押，且遭受非法逮捕、拘禁、審問、處罰的，公民有權予以拒絕。公民因違法嫌疑需要被臨時逮捕拘禁的，其執行機構需出示由監察院出具的《違法嫌疑人拘捕通知》。公民除依法服現役外，不受軍事法庭的審判，公民依法服現役的，除違憲和廉政違法外，不受司法院的審判。</w:t>
      </w:r>
    </w:p>
    <w:p>
      <w:pPr>
        <w:pStyle w:val="11"/>
        <w:numPr>
          <w:ilvl w:val="0"/>
          <w:numId w:val="3"/>
        </w:numPr>
        <w:spacing w:lineRule="exact" w:line="300" w:before="0" w:after="156"/>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公民應依法執行服兵役義務、依法執行納稅義務、依法執行保護環境義務和依法接受公民義務教育的權利與義務；非經現行法律認可的不可抗力因素的影響，拒不執行與接受前述義務的公民，經司法院審判可剝奪其本國國籍。</w:t>
      </w:r>
    </w:p>
    <w:p>
      <w:pPr>
        <w:pStyle w:val="11"/>
        <w:numPr>
          <w:ilvl w:val="0"/>
          <w:numId w:val="3"/>
        </w:numPr>
        <w:spacing w:lineRule="exact" w:line="300" w:before="0" w:after="156"/>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公民素質教育法》簡稱《公民素質教育法》，《公民素質教育法》是提升本國公民的人權意識、公民意識、民主意識、法律意識、維權意識、規則意識、責任意識、道德意識、環保意識和納稅意識的素質教育法案。</w:t>
      </w:r>
    </w:p>
    <w:p>
      <w:pPr>
        <w:pStyle w:val="11"/>
        <w:numPr>
          <w:ilvl w:val="0"/>
          <w:numId w:val="3"/>
        </w:numPr>
        <w:spacing w:lineRule="exact" w:line="300" w:before="0" w:after="156"/>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公民，因人生安全遭到非法威脅的，因財產安全遭到非法侵犯的，因個人無力保證個人合法人生安全和合法財產安全的，可依法向中華民族聯邦共和國公安部及其任意分支機構申請公民保護；且公民受到公權機構或公職人員的違法侵犯其權利的，受害公民有權依法向司法院申請國家賠償。</w:t>
      </w:r>
    </w:p>
    <w:p>
      <w:pPr>
        <w:pStyle w:val="11"/>
        <w:numPr>
          <w:ilvl w:val="0"/>
          <w:numId w:val="2"/>
        </w:numPr>
        <w:spacing w:lineRule="exact" w:line="300" w:before="156" w:after="0"/>
        <w:outlineLvl w:val="1"/>
        <w:rPr>
          <w:rFonts w:ascii="宋体" w:hAnsi="宋体" w:eastAsia="宋体"/>
          <w:b/>
          <w:color w:themeColor="text1" w:val="000000"/>
          <w:sz w:val="28"/>
          <w:szCs w:val="28"/>
        </w:rPr>
      </w:pPr>
      <w:bookmarkStart w:id="16" w:name="__RefHeading___Toc7001_4090689648"/>
      <w:bookmarkStart w:id="17" w:name="_Toc147663410"/>
      <w:bookmarkEnd w:id="16"/>
      <w:r>
        <w:rPr>
          <w:rFonts w:ascii="宋体" w:hAnsi="宋体" w:eastAsia="宋体"/>
          <w:b/>
          <w:color w:themeColor="text1" w:val="000000"/>
          <w:sz w:val="28"/>
          <w:szCs w:val="28"/>
          <w:lang w:eastAsia="zh-TW"/>
        </w:rPr>
        <w:t>憲法的特別條款</w:t>
      </w:r>
      <w:bookmarkEnd w:id="17"/>
    </w:p>
    <w:p>
      <w:pPr>
        <w:pStyle w:val="11"/>
        <w:numPr>
          <w:ilvl w:val="0"/>
          <w:numId w:val="3"/>
        </w:numPr>
        <w:spacing w:lineRule="exact" w:line="300" w:before="0" w:after="156"/>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中華民族聯邦共和國應以國家的名義維護海外華人、華僑同胞的人權與利益，在不侵犯他國公民人權的基礎上，中華民族聯邦共和國軍隊應以不低於保衛本國領土安全的重視程度維護海外華人、華僑同胞的人權。</w:t>
      </w:r>
    </w:p>
    <w:p>
      <w:pPr>
        <w:pStyle w:val="11"/>
        <w:numPr>
          <w:ilvl w:val="0"/>
          <w:numId w:val="3"/>
        </w:numPr>
        <w:spacing w:lineRule="exact" w:line="300"/>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中華民族聯邦共和國的執政黨隨總統選舉而產生，總統所在政黨即為執政黨，可以推選總統候選人參與總統選舉的政黨包括但不限於中國國民黨、中國民進黨、中國民主黨、中國五民黨和中國民建黨。</w:t>
      </w:r>
    </w:p>
    <w:p>
      <w:pPr>
        <w:pStyle w:val="11"/>
        <w:numPr>
          <w:ilvl w:val="0"/>
          <w:numId w:val="15"/>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中華民族聯邦共和國任何註冊政黨均可推舉所屬黨員參與民選公職人員競選，任意合法公民均可參與國聘公職人員競聘，除司法要求外，政黨及公民的前述權利不得被剝奪。</w:t>
      </w:r>
    </w:p>
    <w:p>
      <w:pPr>
        <w:pStyle w:val="11"/>
        <w:numPr>
          <w:ilvl w:val="0"/>
          <w:numId w:val="15"/>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中華民族聯邦共和國總統的選舉，每黨可推出</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名總統候選人參與由國家立法院選舉委員會組織的總統選舉活動；且同一政黨不得連續執政超過</w:t>
      </w:r>
      <w:r>
        <w:rPr>
          <w:rFonts w:eastAsia="宋体" w:ascii="宋体" w:hAnsi="宋体"/>
          <w:color w:themeColor="text1" w:val="000000"/>
          <w:szCs w:val="21"/>
          <w:lang w:eastAsia="zh-TW"/>
        </w:rPr>
        <w:t>6</w:t>
      </w:r>
      <w:r>
        <w:rPr>
          <w:rFonts w:ascii="宋体" w:hAnsi="宋体" w:eastAsia="宋体"/>
          <w:color w:themeColor="text1" w:val="000000"/>
          <w:szCs w:val="21"/>
          <w:lang w:eastAsia="zh-TW"/>
        </w:rPr>
        <w:t>屆，同一政黨連續執政</w:t>
      </w:r>
      <w:r>
        <w:rPr>
          <w:rFonts w:eastAsia="宋体" w:ascii="宋体" w:hAnsi="宋体"/>
          <w:color w:themeColor="text1" w:val="000000"/>
          <w:szCs w:val="21"/>
          <w:lang w:eastAsia="zh-TW"/>
        </w:rPr>
        <w:t>6</w:t>
      </w:r>
      <w:r>
        <w:rPr>
          <w:rFonts w:ascii="宋体" w:hAnsi="宋体" w:eastAsia="宋体"/>
          <w:color w:themeColor="text1" w:val="000000"/>
          <w:szCs w:val="21"/>
          <w:lang w:eastAsia="zh-TW"/>
        </w:rPr>
        <w:t>屆的，下一屆總統選舉該黨不得推出總統候選人參與總統選舉。</w:t>
      </w:r>
    </w:p>
    <w:p>
      <w:pPr>
        <w:pStyle w:val="11"/>
        <w:numPr>
          <w:ilvl w:val="0"/>
          <w:numId w:val="15"/>
        </w:numPr>
        <w:spacing w:lineRule="exact" w:line="300" w:before="0" w:after="156"/>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中華民族聯邦共和國總統每屆任期</w:t>
      </w:r>
      <w:r>
        <w:rPr>
          <w:rFonts w:eastAsia="宋体" w:ascii="宋体" w:hAnsi="宋体"/>
          <w:color w:themeColor="text1" w:val="000000"/>
          <w:szCs w:val="21"/>
          <w:lang w:eastAsia="zh-TW"/>
        </w:rPr>
        <w:t>5</w:t>
      </w:r>
      <w:r>
        <w:rPr>
          <w:rFonts w:ascii="宋体" w:hAnsi="宋体" w:eastAsia="宋体"/>
          <w:color w:themeColor="text1" w:val="000000"/>
          <w:szCs w:val="21"/>
          <w:lang w:eastAsia="zh-TW"/>
        </w:rPr>
        <w:t>年，任職不得超過</w:t>
      </w:r>
      <w:r>
        <w:rPr>
          <w:rFonts w:eastAsia="宋体" w:ascii="宋体" w:hAnsi="宋体"/>
          <w:color w:themeColor="text1" w:val="000000"/>
          <w:szCs w:val="21"/>
          <w:lang w:eastAsia="zh-TW"/>
        </w:rPr>
        <w:t>2</w:t>
      </w:r>
      <w:r>
        <w:rPr>
          <w:rFonts w:ascii="宋体" w:hAnsi="宋体" w:eastAsia="宋体"/>
          <w:color w:themeColor="text1" w:val="000000"/>
          <w:szCs w:val="21"/>
          <w:lang w:eastAsia="zh-TW"/>
        </w:rPr>
        <w:t>屆，且擔任過總統的公民不得再擔任副總統、國家立法院院長、國家司法院院長和國家監察院院長；擔任過國家立法院院長、國家司法院院長和國家監察院院長的公民，不得再擔任總統或副總統。</w:t>
      </w:r>
    </w:p>
    <w:p>
      <w:pPr>
        <w:pStyle w:val="11"/>
        <w:numPr>
          <w:ilvl w:val="0"/>
          <w:numId w:val="3"/>
        </w:numPr>
        <w:spacing w:lineRule="exact" w:line="300"/>
        <w:ind w:hanging="945" w:left="94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立法院參議會負責審議立法院法案草案，沒有發起法案草案的權力；立法院眾議會負責起草發起立法院除教育類法案草案以外的法案草案，沒有法案草案終審的權力；立法院參議會和眾議會表決程序由常規案表決、重要案表決、特別案表決和常規案二審表決共四種組成。</w:t>
      </w:r>
    </w:p>
    <w:p>
      <w:pPr>
        <w:pStyle w:val="11"/>
        <w:numPr>
          <w:ilvl w:val="0"/>
          <w:numId w:val="16"/>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常規案表決需超過</w:t>
      </w:r>
      <w:r>
        <w:rPr>
          <w:rFonts w:eastAsia="宋体" w:ascii="宋体" w:hAnsi="宋体"/>
          <w:color w:themeColor="text1" w:val="000000"/>
          <w:szCs w:val="21"/>
          <w:lang w:eastAsia="zh-TW"/>
        </w:rPr>
        <w:t>80%</w:t>
      </w:r>
      <w:r>
        <w:rPr>
          <w:rFonts w:ascii="宋体" w:hAnsi="宋体" w:eastAsia="宋体"/>
          <w:color w:themeColor="text1" w:val="000000"/>
          <w:szCs w:val="21"/>
          <w:lang w:eastAsia="zh-TW"/>
        </w:rPr>
        <w:t>以上的現任議員參與表決，並獲得</w:t>
      </w:r>
      <w:r>
        <w:rPr>
          <w:rFonts w:eastAsia="宋体" w:ascii="宋体" w:hAnsi="宋体"/>
          <w:color w:themeColor="text1" w:val="000000"/>
          <w:szCs w:val="21"/>
          <w:lang w:eastAsia="zh-TW"/>
        </w:rPr>
        <w:t>60%</w:t>
      </w:r>
      <w:r>
        <w:rPr>
          <w:rFonts w:ascii="宋体" w:hAnsi="宋体" w:eastAsia="宋体"/>
          <w:color w:themeColor="text1" w:val="000000"/>
          <w:szCs w:val="21"/>
          <w:lang w:eastAsia="zh-TW"/>
        </w:rPr>
        <w:t>以上參與表決的議員投贊成票即通過；重要案表決需超過</w:t>
      </w:r>
      <w:r>
        <w:rPr>
          <w:rFonts w:eastAsia="宋体" w:ascii="宋体" w:hAnsi="宋体"/>
          <w:color w:themeColor="text1" w:val="000000"/>
          <w:szCs w:val="21"/>
          <w:lang w:eastAsia="zh-TW"/>
        </w:rPr>
        <w:t>90%</w:t>
      </w:r>
      <w:r>
        <w:rPr>
          <w:rFonts w:ascii="宋体" w:hAnsi="宋体" w:eastAsia="宋体"/>
          <w:color w:themeColor="text1" w:val="000000"/>
          <w:szCs w:val="21"/>
          <w:lang w:eastAsia="zh-TW"/>
        </w:rPr>
        <w:t>以上的現任議員參與表決，並獲得</w:t>
      </w:r>
      <w:r>
        <w:rPr>
          <w:rFonts w:eastAsia="宋体" w:ascii="宋体" w:hAnsi="宋体"/>
          <w:color w:themeColor="text1" w:val="000000"/>
          <w:szCs w:val="21"/>
          <w:lang w:eastAsia="zh-TW"/>
        </w:rPr>
        <w:t>70%</w:t>
      </w:r>
      <w:r>
        <w:rPr>
          <w:rFonts w:ascii="宋体" w:hAnsi="宋体" w:eastAsia="宋体"/>
          <w:color w:themeColor="text1" w:val="000000"/>
          <w:szCs w:val="21"/>
          <w:lang w:eastAsia="zh-TW"/>
        </w:rPr>
        <w:t>以上參與表決的議員投贊成票即通過；常規案二審表決需全體現任議員參與表決，並獲得</w:t>
      </w:r>
      <w:r>
        <w:rPr>
          <w:rFonts w:eastAsia="宋体" w:ascii="宋体" w:hAnsi="宋体"/>
          <w:color w:themeColor="text1" w:val="000000"/>
          <w:szCs w:val="21"/>
          <w:lang w:eastAsia="zh-TW"/>
        </w:rPr>
        <w:t>50%</w:t>
      </w:r>
      <w:r>
        <w:rPr>
          <w:rFonts w:ascii="宋体" w:hAnsi="宋体" w:eastAsia="宋体"/>
          <w:color w:themeColor="text1" w:val="000000"/>
          <w:szCs w:val="21"/>
          <w:lang w:eastAsia="zh-TW"/>
        </w:rPr>
        <w:t>以上的贊成票，且反對票少於</w:t>
      </w:r>
      <w:r>
        <w:rPr>
          <w:rFonts w:eastAsia="宋体" w:ascii="宋体" w:hAnsi="宋体"/>
          <w:color w:themeColor="text1" w:val="000000"/>
          <w:szCs w:val="21"/>
          <w:lang w:eastAsia="zh-TW"/>
        </w:rPr>
        <w:t>20%</w:t>
      </w:r>
      <w:r>
        <w:rPr>
          <w:rFonts w:ascii="宋体" w:hAnsi="宋体" w:eastAsia="宋体"/>
          <w:color w:themeColor="text1" w:val="000000"/>
          <w:szCs w:val="21"/>
          <w:lang w:eastAsia="zh-TW"/>
        </w:rPr>
        <w:t>，表決即通過。</w:t>
      </w:r>
    </w:p>
    <w:p>
      <w:pPr>
        <w:pStyle w:val="11"/>
        <w:numPr>
          <w:ilvl w:val="0"/>
          <w:numId w:val="16"/>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立法院特別案表決的通過必須同時滿足以下兩個條件：一是需全體議員參與投票表決，並獲得</w:t>
      </w:r>
      <w:r>
        <w:rPr>
          <w:rFonts w:eastAsia="宋体" w:ascii="宋体" w:hAnsi="宋体"/>
          <w:color w:themeColor="text1" w:val="000000"/>
          <w:szCs w:val="21"/>
          <w:lang w:eastAsia="zh-TW"/>
        </w:rPr>
        <w:t>70%</w:t>
      </w:r>
      <w:r>
        <w:rPr>
          <w:rFonts w:ascii="宋体" w:hAnsi="宋体" w:eastAsia="宋体"/>
          <w:color w:themeColor="text1" w:val="000000"/>
          <w:szCs w:val="21"/>
          <w:lang w:eastAsia="zh-TW"/>
        </w:rPr>
        <w:t>以上的贊成票；二是舉行公民投票，其特別案表決為國家立法院的，需佔全國</w:t>
      </w:r>
      <w:r>
        <w:rPr>
          <w:rFonts w:eastAsia="宋体" w:ascii="宋体" w:hAnsi="宋体"/>
          <w:color w:themeColor="text1" w:val="000000"/>
          <w:szCs w:val="21"/>
          <w:lang w:eastAsia="zh-TW"/>
        </w:rPr>
        <w:t>70%</w:t>
      </w:r>
      <w:r>
        <w:rPr>
          <w:rFonts w:ascii="宋体" w:hAnsi="宋体" w:eastAsia="宋体"/>
          <w:color w:themeColor="text1" w:val="000000"/>
          <w:szCs w:val="21"/>
          <w:lang w:eastAsia="zh-TW"/>
        </w:rPr>
        <w:t>以上擁有投票權的公民參與投票，並獲得</w:t>
      </w:r>
      <w:r>
        <w:rPr>
          <w:rFonts w:eastAsia="宋体" w:ascii="宋体" w:hAnsi="宋体"/>
          <w:color w:themeColor="text1" w:val="000000"/>
          <w:szCs w:val="21"/>
          <w:lang w:eastAsia="zh-TW"/>
        </w:rPr>
        <w:t>70%</w:t>
      </w:r>
      <w:r>
        <w:rPr>
          <w:rFonts w:ascii="宋体" w:hAnsi="宋体" w:eastAsia="宋体"/>
          <w:color w:themeColor="text1" w:val="000000"/>
          <w:szCs w:val="21"/>
          <w:lang w:eastAsia="zh-TW"/>
        </w:rPr>
        <w:t>以上參與投票的公民投贊成票；其特別案表決為省立法院的，需佔該省</w:t>
      </w:r>
      <w:r>
        <w:rPr>
          <w:rFonts w:eastAsia="宋体" w:ascii="宋体" w:hAnsi="宋体"/>
          <w:color w:themeColor="text1" w:val="000000"/>
          <w:szCs w:val="21"/>
          <w:lang w:eastAsia="zh-TW"/>
        </w:rPr>
        <w:t>70%</w:t>
      </w:r>
      <w:r>
        <w:rPr>
          <w:rFonts w:ascii="宋体" w:hAnsi="宋体" w:eastAsia="宋体"/>
          <w:color w:themeColor="text1" w:val="000000"/>
          <w:szCs w:val="21"/>
          <w:lang w:eastAsia="zh-TW"/>
        </w:rPr>
        <w:t>以上擁有投票權的公民參與投票，並獲得</w:t>
      </w:r>
      <w:r>
        <w:rPr>
          <w:rFonts w:eastAsia="宋体" w:ascii="宋体" w:hAnsi="宋体"/>
          <w:color w:themeColor="text1" w:val="000000"/>
          <w:szCs w:val="21"/>
          <w:lang w:eastAsia="zh-TW"/>
        </w:rPr>
        <w:t>70%</w:t>
      </w:r>
      <w:r>
        <w:rPr>
          <w:rFonts w:ascii="宋体" w:hAnsi="宋体" w:eastAsia="宋体"/>
          <w:color w:themeColor="text1" w:val="000000"/>
          <w:szCs w:val="21"/>
          <w:lang w:eastAsia="zh-TW"/>
        </w:rPr>
        <w:t>以上參與投票的公民投贊成票。</w:t>
      </w:r>
    </w:p>
    <w:p>
      <w:pPr>
        <w:pStyle w:val="11"/>
        <w:numPr>
          <w:ilvl w:val="0"/>
          <w:numId w:val="16"/>
        </w:numPr>
        <w:spacing w:lineRule="exact" w:line="300" w:before="0" w:after="156"/>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國家教委會負責起草發起國家立法院教育類法案草案，立法院的常規案表決、重要案表決和常規案二審表決程序適用於國家教委會。</w:t>
      </w:r>
    </w:p>
    <w:p>
      <w:pPr>
        <w:pStyle w:val="11"/>
        <w:numPr>
          <w:ilvl w:val="0"/>
          <w:numId w:val="3"/>
        </w:numPr>
        <w:spacing w:lineRule="exact" w:line="300"/>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市立法會的法案草案由該市自治會委員、該市立法會委員、該市轄區任意公民和該市所屬鎮自治會委員提交，市立法會的表決程序由常規案表決、重要案表決、特別案表決和常規案二審表決共四種組成。</w:t>
      </w:r>
    </w:p>
    <w:p>
      <w:pPr>
        <w:pStyle w:val="11"/>
        <w:numPr>
          <w:ilvl w:val="0"/>
          <w:numId w:val="17"/>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由該市公民提交的法案草案，滿足以下兩點其一的，市立法會必須接受表決：一是該法案草案獲得該市一千名以上公民和五個以上公民團體聯署的；二是為提交該法案草案表決而組織的公民集會活動單日內參與人數超過該市總人口數</w:t>
      </w:r>
      <w:r>
        <w:rPr>
          <w:rFonts w:eastAsia="宋体" w:ascii="宋体" w:hAnsi="宋体"/>
          <w:color w:themeColor="text1" w:val="000000"/>
          <w:szCs w:val="21"/>
          <w:lang w:eastAsia="zh-TW"/>
        </w:rPr>
        <w:t>10%</w:t>
      </w:r>
      <w:r>
        <w:rPr>
          <w:rFonts w:ascii="宋体" w:hAnsi="宋体" w:eastAsia="宋体"/>
          <w:color w:themeColor="text1" w:val="000000"/>
          <w:szCs w:val="21"/>
          <w:lang w:eastAsia="zh-TW"/>
        </w:rPr>
        <w:t>的。</w:t>
      </w:r>
    </w:p>
    <w:p>
      <w:pPr>
        <w:pStyle w:val="11"/>
        <w:numPr>
          <w:ilvl w:val="0"/>
          <w:numId w:val="17"/>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市立法會的常規案表決需超過</w:t>
      </w:r>
      <w:r>
        <w:rPr>
          <w:rFonts w:eastAsia="宋体" w:ascii="宋体" w:hAnsi="宋体"/>
          <w:color w:themeColor="text1" w:val="000000"/>
          <w:szCs w:val="21"/>
          <w:lang w:eastAsia="zh-TW"/>
        </w:rPr>
        <w:t>80%</w:t>
      </w:r>
      <w:r>
        <w:rPr>
          <w:rFonts w:ascii="宋体" w:hAnsi="宋体" w:eastAsia="宋体"/>
          <w:color w:themeColor="text1" w:val="000000"/>
          <w:szCs w:val="21"/>
          <w:lang w:eastAsia="zh-TW"/>
        </w:rPr>
        <w:t>以上的市立法會現任委員參與表決，並獲得</w:t>
      </w:r>
      <w:r>
        <w:rPr>
          <w:rFonts w:eastAsia="宋体" w:ascii="宋体" w:hAnsi="宋体"/>
          <w:color w:themeColor="text1" w:val="000000"/>
          <w:szCs w:val="21"/>
          <w:lang w:eastAsia="zh-TW"/>
        </w:rPr>
        <w:t>60%</w:t>
      </w:r>
      <w:r>
        <w:rPr>
          <w:rFonts w:ascii="宋体" w:hAnsi="宋体" w:eastAsia="宋体"/>
          <w:color w:themeColor="text1" w:val="000000"/>
          <w:szCs w:val="21"/>
          <w:lang w:eastAsia="zh-TW"/>
        </w:rPr>
        <w:t>以上參與表決的委員投贊成票即通過；重要案表決需超過</w:t>
      </w:r>
      <w:r>
        <w:rPr>
          <w:rFonts w:eastAsia="宋体" w:ascii="宋体" w:hAnsi="宋体"/>
          <w:color w:themeColor="text1" w:val="000000"/>
          <w:szCs w:val="21"/>
          <w:lang w:eastAsia="zh-TW"/>
        </w:rPr>
        <w:t>90%</w:t>
      </w:r>
      <w:r>
        <w:rPr>
          <w:rFonts w:ascii="宋体" w:hAnsi="宋体" w:eastAsia="宋体"/>
          <w:color w:themeColor="text1" w:val="000000"/>
          <w:szCs w:val="21"/>
          <w:lang w:eastAsia="zh-TW"/>
        </w:rPr>
        <w:t>以上的市立法會現任委員參與表決，並獲得</w:t>
      </w:r>
      <w:r>
        <w:rPr>
          <w:rFonts w:eastAsia="宋体" w:ascii="宋体" w:hAnsi="宋体"/>
          <w:color w:themeColor="text1" w:val="000000"/>
          <w:szCs w:val="21"/>
          <w:lang w:eastAsia="zh-TW"/>
        </w:rPr>
        <w:t>70%</w:t>
      </w:r>
      <w:r>
        <w:rPr>
          <w:rFonts w:ascii="宋体" w:hAnsi="宋体" w:eastAsia="宋体"/>
          <w:color w:themeColor="text1" w:val="000000"/>
          <w:szCs w:val="21"/>
          <w:lang w:eastAsia="zh-TW"/>
        </w:rPr>
        <w:t>以上參與表決的委員投贊成票即通過；常規案二審表決需全體市立法會現任委員參與表決，並獲得</w:t>
      </w:r>
      <w:r>
        <w:rPr>
          <w:rFonts w:eastAsia="宋体" w:ascii="宋体" w:hAnsi="宋体"/>
          <w:color w:themeColor="text1" w:val="000000"/>
          <w:szCs w:val="21"/>
          <w:lang w:eastAsia="zh-TW"/>
        </w:rPr>
        <w:t>50%</w:t>
      </w:r>
      <w:r>
        <w:rPr>
          <w:rFonts w:ascii="宋体" w:hAnsi="宋体" w:eastAsia="宋体"/>
          <w:color w:themeColor="text1" w:val="000000"/>
          <w:szCs w:val="21"/>
          <w:lang w:eastAsia="zh-TW"/>
        </w:rPr>
        <w:t>以上的贊成票，且反對票少於</w:t>
      </w:r>
      <w:r>
        <w:rPr>
          <w:rFonts w:eastAsia="宋体" w:ascii="宋体" w:hAnsi="宋体"/>
          <w:color w:themeColor="text1" w:val="000000"/>
          <w:szCs w:val="21"/>
          <w:lang w:eastAsia="zh-TW"/>
        </w:rPr>
        <w:t>20%</w:t>
      </w:r>
      <w:r>
        <w:rPr>
          <w:rFonts w:ascii="宋体" w:hAnsi="宋体" w:eastAsia="宋体"/>
          <w:color w:themeColor="text1" w:val="000000"/>
          <w:szCs w:val="21"/>
          <w:lang w:eastAsia="zh-TW"/>
        </w:rPr>
        <w:t>，表決即通過。</w:t>
      </w:r>
    </w:p>
    <w:p>
      <w:pPr>
        <w:pStyle w:val="11"/>
        <w:numPr>
          <w:ilvl w:val="0"/>
          <w:numId w:val="17"/>
        </w:numPr>
        <w:spacing w:lineRule="exact" w:line="300" w:before="0" w:after="156"/>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市立法會特別案表決的通過必須同時滿足以下兩個條件：一是需全體市立法會現任委員參與表決，並獲得</w:t>
      </w:r>
      <w:r>
        <w:rPr>
          <w:rFonts w:eastAsia="宋体" w:ascii="宋体" w:hAnsi="宋体"/>
          <w:color w:themeColor="text1" w:val="000000"/>
          <w:szCs w:val="21"/>
          <w:lang w:eastAsia="zh-TW"/>
        </w:rPr>
        <w:t>70%</w:t>
      </w:r>
      <w:r>
        <w:rPr>
          <w:rFonts w:ascii="宋体" w:hAnsi="宋体" w:eastAsia="宋体"/>
          <w:color w:themeColor="text1" w:val="000000"/>
          <w:szCs w:val="21"/>
          <w:lang w:eastAsia="zh-TW"/>
        </w:rPr>
        <w:t>以上的贊成票；二是舉行公民投票，需佔該市</w:t>
      </w:r>
      <w:r>
        <w:rPr>
          <w:rFonts w:eastAsia="宋体" w:ascii="宋体" w:hAnsi="宋体"/>
          <w:color w:themeColor="text1" w:val="000000"/>
          <w:szCs w:val="21"/>
          <w:lang w:eastAsia="zh-TW"/>
        </w:rPr>
        <w:t>70%</w:t>
      </w:r>
      <w:r>
        <w:rPr>
          <w:rFonts w:ascii="宋体" w:hAnsi="宋体" w:eastAsia="宋体"/>
          <w:color w:themeColor="text1" w:val="000000"/>
          <w:szCs w:val="21"/>
          <w:lang w:eastAsia="zh-TW"/>
        </w:rPr>
        <w:t>以上擁有投票權的公民參與投票，並獲得</w:t>
      </w:r>
      <w:r>
        <w:rPr>
          <w:rFonts w:eastAsia="宋体" w:ascii="宋体" w:hAnsi="宋体"/>
          <w:color w:themeColor="text1" w:val="000000"/>
          <w:szCs w:val="21"/>
          <w:lang w:eastAsia="zh-TW"/>
        </w:rPr>
        <w:t>70%</w:t>
      </w:r>
      <w:r>
        <w:rPr>
          <w:rFonts w:ascii="宋体" w:hAnsi="宋体" w:eastAsia="宋体"/>
          <w:color w:themeColor="text1" w:val="000000"/>
          <w:szCs w:val="21"/>
          <w:lang w:eastAsia="zh-TW"/>
        </w:rPr>
        <w:t>以上參與投票的公民投贊成票。</w:t>
      </w:r>
    </w:p>
    <w:p>
      <w:pPr>
        <w:pStyle w:val="11"/>
        <w:numPr>
          <w:ilvl w:val="0"/>
          <w:numId w:val="3"/>
        </w:numPr>
        <w:spacing w:lineRule="exact" w:line="300" w:before="0" w:after="156"/>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在總統出現違憲違法時，國家眾議會有權有義務發起總統彈劾案，國家眾議會和參議會以重要案表決通過的，總統彈劾案即成立；國家眾議會表決未通過或國家參議會表決未通過的，總統彈劾案即駁回。</w:t>
      </w:r>
    </w:p>
    <w:p>
      <w:pPr>
        <w:pStyle w:val="11"/>
        <w:numPr>
          <w:ilvl w:val="0"/>
          <w:numId w:val="3"/>
        </w:numPr>
        <w:spacing w:lineRule="exact" w:line="300" w:before="0" w:after="156"/>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在軍隊軍人出現違憲時，聯邦司法院有權有義務發起軍隊軍人違憲指控聽證會，軍隊軍人有義務出席違憲指控聽證會，根據聽證會結論，聯邦司法院可升級軍隊軍人違憲指控為軍隊軍人違憲審查。</w:t>
      </w:r>
    </w:p>
    <w:p>
      <w:pPr>
        <w:pStyle w:val="11"/>
        <w:numPr>
          <w:ilvl w:val="0"/>
          <w:numId w:val="3"/>
        </w:numPr>
        <w:spacing w:lineRule="exact" w:line="300" w:before="0" w:after="156"/>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在公職人員或軍隊軍人出現廉政違法時，聯邦廉政署有權有義務發起廉政違法調查及廉政違法訴訟，聯邦廉政署發起廉政違法訴訟經司法院審判罪名成立的，其公職人員或軍隊軍人權責立即失效。</w:t>
      </w:r>
    </w:p>
    <w:p>
      <w:pPr>
        <w:pStyle w:val="11"/>
        <w:numPr>
          <w:ilvl w:val="0"/>
          <w:numId w:val="3"/>
        </w:numPr>
        <w:spacing w:lineRule="exact" w:line="300"/>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禁止設立國家宗教、禁止推崇領袖崇拜主義、禁止從事共產主義活動、禁止從事法西斯主義活動、禁止從事軍國主義活動、禁止從事恐怖主義活動、禁止從事反人類活動、禁止從事極端宗教活動，在中華民族聯邦共和國的領土上，上述組織、活動與行為均屬於違憲違法。</w:t>
      </w:r>
    </w:p>
    <w:p>
      <w:pPr>
        <w:pStyle w:val="11"/>
        <w:numPr>
          <w:ilvl w:val="0"/>
          <w:numId w:val="18"/>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國家允許存在多個合法的宗教，合法宗教的原則在於其教義非排他性和遵守人權自由的基本原則，合法的宗教其教義應以推崇真善美、應以不限制公民的人權自由為基礎。</w:t>
      </w:r>
    </w:p>
    <w:p>
      <w:pPr>
        <w:pStyle w:val="11"/>
        <w:numPr>
          <w:ilvl w:val="0"/>
          <w:numId w:val="18"/>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公民的宗教信仰自由，但宗教信仰不能限制公民的人權自由、不能違反現行法律、不得妨礙社會秩序及不得損害公共利益，且公民的人權始終大於宗教及宗教教義。</w:t>
      </w:r>
    </w:p>
    <w:p>
      <w:pPr>
        <w:pStyle w:val="11"/>
        <w:numPr>
          <w:ilvl w:val="0"/>
          <w:numId w:val="18"/>
        </w:numPr>
        <w:spacing w:lineRule="exact" w:line="300" w:before="0" w:after="156"/>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禁止一切形式的政教合一、軍政合一、黨政合一的組織機構和結社活動，宗教不具有強制約束性，政黨不具有國家公權權力；且具有領袖崇拜主義、共產主義、法西斯主義、軍國主義、恐怖主義、極端宗教主義和反人類行為的公民，不得任職公職人員，不得加入軍隊。</w:t>
      </w:r>
    </w:p>
    <w:p>
      <w:pPr>
        <w:pStyle w:val="11"/>
        <w:numPr>
          <w:ilvl w:val="0"/>
          <w:numId w:val="3"/>
        </w:numPr>
        <w:spacing w:lineRule="exact" w:line="300"/>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中華民族聯邦共和國的公職人員分為民選公職人員、民聘公職人員和國聘公職人員三種類型，民選公職人員由公民普選產生，民聘公職人員由民選公職人員或民選自治委員提名聘用產生，其他為國聘公職人員。</w:t>
      </w:r>
    </w:p>
    <w:p>
      <w:pPr>
        <w:pStyle w:val="11"/>
        <w:numPr>
          <w:ilvl w:val="0"/>
          <w:numId w:val="19"/>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公職人員中由公民普選產生的有市公民立法委員會委員、市公民教育委員會委員、省參議會參議員、省眾議會眾議員、護憲大法官和總統府總統；中華民族聯邦共和國民選自治委員有鎮公民自治委員會委員和市公民自治委員會委員。</w:t>
      </w:r>
    </w:p>
    <w:p>
      <w:pPr>
        <w:pStyle w:val="11"/>
        <w:numPr>
          <w:ilvl w:val="0"/>
          <w:numId w:val="19"/>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通過鎮級行政區所轄公民的投票，可罷免由該鎮公民選舉產生的鎮自治會委員、市自治會委員和市立法會委員的任職；通過市級行政區所轄公民的投票，可罷免由該市公民選舉產生的市教委會委員、省參議會參議員和省眾議會眾議員的任職。</w:t>
      </w:r>
    </w:p>
    <w:p>
      <w:pPr>
        <w:pStyle w:val="11"/>
        <w:numPr>
          <w:ilvl w:val="0"/>
          <w:numId w:val="19"/>
        </w:numPr>
        <w:spacing w:lineRule="exact" w:line="300" w:before="0" w:after="156"/>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中華民族聯邦共和國的所有公職人員必須對外公開個人財產、家庭財產和直系親屬關係，且本人及其法定配偶、未成年子女和生育子女尚未成年的生育配偶必須是擁有中華民族聯邦共和國唯一國籍的公民。</w:t>
      </w:r>
    </w:p>
    <w:p>
      <w:pPr>
        <w:pStyle w:val="11"/>
        <w:numPr>
          <w:ilvl w:val="0"/>
          <w:numId w:val="3"/>
        </w:numPr>
        <w:spacing w:lineRule="exact" w:line="300" w:before="0" w:after="156"/>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在中華民族聯邦共和國境內，記者和律師是維護社會自由和公平的根基所在，除總統府、府務部、國防部、各軍事管轄區以及國家司法院另行規定的公權機構和區域外，任何公權機構不得阻止記者和律師的工作自由。</w:t>
      </w:r>
    </w:p>
    <w:p>
      <w:pPr>
        <w:pStyle w:val="11"/>
        <w:numPr>
          <w:ilvl w:val="0"/>
          <w:numId w:val="3"/>
        </w:numPr>
        <w:spacing w:lineRule="exact" w:line="300" w:before="0" w:after="156"/>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在中華民族聯邦共和國境內的任何公共場所，除獲得音視頻設備安裝所在市市立法會授權安裝的，任何機構和個人不得在公共場所安裝音視頻設備；且任何機構任何人需要調用公共場所音視頻資料的，必須獲得音視頻設備所在市市監察院和所在省省監察院的雙重授權許可。</w:t>
      </w:r>
    </w:p>
    <w:p>
      <w:pPr>
        <w:pStyle w:val="11"/>
        <w:numPr>
          <w:ilvl w:val="0"/>
          <w:numId w:val="3"/>
        </w:numPr>
        <w:spacing w:lineRule="exact" w:line="300" w:before="0" w:after="156"/>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凡中華民族聯邦共和國的法人，未經聯邦司法院審判定罪的，任何機構和個人不得對其進行違法限制自由、不得違法要求其提供協助、不得違法沒收其財產、不得違法獲得其資料。任何行權機構因公職需要法人配合行權行為的，必須獲得監察院的依法授權許可，未獲得監察院授權許可的，法人有權予以拒絕。</w:t>
      </w:r>
    </w:p>
    <w:p>
      <w:pPr>
        <w:pStyle w:val="11"/>
        <w:numPr>
          <w:ilvl w:val="0"/>
          <w:numId w:val="3"/>
        </w:numPr>
        <w:spacing w:lineRule="exact" w:line="300" w:before="0" w:after="156"/>
        <w:ind w:hanging="945" w:left="94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中華民族聯邦共和國的國家意志之一，便是推動人類實現普世價值、實現人人平等、實現人權自由；凡作為中華民族聯邦共和國的公民，均有義務捍衛自由民主與普世價值，並與一切迫害人權的現象作鬥爭。</w:t>
      </w:r>
    </w:p>
    <w:p>
      <w:pPr>
        <w:pStyle w:val="11"/>
        <w:numPr>
          <w:ilvl w:val="0"/>
          <w:numId w:val="3"/>
        </w:numPr>
        <w:spacing w:lineRule="exact" w:line="300" w:before="0" w:after="156"/>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中華民族聯邦共和國禁止一切形式的政治迫害，禁止訂立政治迫害類法律，在中華民族聯邦共和國的領土上沒有政治犯罪的概念、沒有政治犯罪的行為和沒有政治犯罪的法律。</w:t>
      </w:r>
    </w:p>
    <w:p>
      <w:pPr>
        <w:pStyle w:val="11"/>
        <w:numPr>
          <w:ilvl w:val="0"/>
          <w:numId w:val="3"/>
        </w:numPr>
        <w:spacing w:lineRule="exact" w:line="300" w:before="0" w:after="156"/>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中華民族聯邦共和國憲法允許公民通過合法的行為表達訴求，任何公權機構和公職人員不得阻止公民合法的表達訴求，合法的行為包括但不限於遊行、結社、示威、靜坐等方式。</w:t>
      </w:r>
    </w:p>
    <w:p>
      <w:pPr>
        <w:pStyle w:val="11"/>
        <w:numPr>
          <w:ilvl w:val="0"/>
          <w:numId w:val="1"/>
        </w:numPr>
        <w:spacing w:lineRule="exact" w:line="400" w:before="156" w:after="156"/>
        <w:jc w:val="center"/>
        <w:outlineLvl w:val="0"/>
        <w:rPr>
          <w:rFonts w:ascii="宋体" w:hAnsi="宋体" w:eastAsia="宋体" w:cs="Times New Roman (正文 CS 字体)"/>
          <w:b/>
          <w:color w:themeColor="text1" w:val="000000"/>
          <w:sz w:val="32"/>
          <w:szCs w:val="32"/>
        </w:rPr>
      </w:pPr>
      <w:bookmarkStart w:id="18" w:name="__RefHeading___Toc7003_4090689648"/>
      <w:bookmarkStart w:id="19" w:name="_Toc147663411"/>
      <w:bookmarkEnd w:id="18"/>
      <w:r>
        <w:rPr>
          <w:rFonts w:ascii="宋体" w:hAnsi="宋体" w:cs="Times New Roman (正文 CS 字体)" w:eastAsia="宋体"/>
          <w:b/>
          <w:color w:themeColor="text1" w:val="000000"/>
          <w:sz w:val="32"/>
          <w:szCs w:val="32"/>
        </w:rPr>
        <w:t>政府</w:t>
      </w:r>
      <w:bookmarkEnd w:id="19"/>
    </w:p>
    <w:p>
      <w:pPr>
        <w:pStyle w:val="11"/>
        <w:numPr>
          <w:ilvl w:val="0"/>
          <w:numId w:val="20"/>
        </w:numPr>
        <w:spacing w:lineRule="exact" w:line="300" w:before="156" w:after="0"/>
        <w:outlineLvl w:val="1"/>
        <w:rPr>
          <w:rFonts w:ascii="宋体" w:hAnsi="宋体" w:eastAsia="宋体"/>
          <w:b/>
          <w:color w:themeColor="text1" w:val="000000"/>
          <w:sz w:val="28"/>
          <w:szCs w:val="28"/>
        </w:rPr>
      </w:pPr>
      <w:bookmarkStart w:id="20" w:name="__RefHeading___Toc7005_4090689648"/>
      <w:bookmarkStart w:id="21" w:name="_Toc147663412"/>
      <w:bookmarkEnd w:id="20"/>
      <w:r>
        <w:rPr>
          <w:rFonts w:ascii="宋体" w:hAnsi="宋体" w:eastAsia="宋体"/>
          <w:b/>
          <w:color w:themeColor="text1" w:val="000000"/>
          <w:sz w:val="28"/>
          <w:szCs w:val="28"/>
          <w:lang w:eastAsia="zh-TW"/>
        </w:rPr>
        <w:t>總統府</w:t>
      </w:r>
      <w:bookmarkEnd w:id="21"/>
    </w:p>
    <w:p>
      <w:pPr>
        <w:pStyle w:val="11"/>
        <w:numPr>
          <w:ilvl w:val="0"/>
          <w:numId w:val="3"/>
        </w:numPr>
        <w:spacing w:lineRule="exact" w:line="300"/>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中華民族聯邦共和國設國家聯邦政府，即總統府，總統府設總統職位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個，由擁有選舉權的公民選舉產生，設副總統職位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個，由總統提名。</w:t>
      </w:r>
    </w:p>
    <w:p>
      <w:pPr>
        <w:pStyle w:val="11"/>
        <w:numPr>
          <w:ilvl w:val="0"/>
          <w:numId w:val="21"/>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總統提名的副總統，由國家參議會以常規案表決任免產生，常規案表決未通過的，總統可發起常規案二審表決，常規案二審表決未通過的，該提名即駁回，並由總統另選被提名人；總統提名的副總統，經國家參議會三次常規案二審表決仍未通過的，總統可直接提名並任免副總統。</w:t>
      </w:r>
    </w:p>
    <w:p>
      <w:pPr>
        <w:pStyle w:val="11"/>
        <w:numPr>
          <w:ilvl w:val="0"/>
          <w:numId w:val="21"/>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總統和副總統必須是年滿</w:t>
      </w:r>
      <w:r>
        <w:rPr>
          <w:rFonts w:eastAsia="宋体" w:ascii="宋体" w:hAnsi="宋体"/>
          <w:color w:themeColor="text1" w:val="000000"/>
          <w:szCs w:val="21"/>
          <w:lang w:eastAsia="zh-TW"/>
        </w:rPr>
        <w:t>35</w:t>
      </w:r>
      <w:r>
        <w:rPr>
          <w:rFonts w:ascii="宋体" w:hAnsi="宋体" w:eastAsia="宋体"/>
          <w:color w:themeColor="text1" w:val="000000"/>
          <w:szCs w:val="21"/>
          <w:lang w:eastAsia="zh-TW"/>
        </w:rPr>
        <w:t>週歲的中華民族聯邦共和國公民，且必須是出生在中華民族聯邦共和國境內，並在境內生活</w:t>
      </w:r>
      <w:r>
        <w:rPr>
          <w:rFonts w:eastAsia="宋体" w:ascii="宋体" w:hAnsi="宋体"/>
          <w:color w:themeColor="text1" w:val="000000"/>
          <w:szCs w:val="21"/>
          <w:lang w:eastAsia="zh-TW"/>
        </w:rPr>
        <w:t>15</w:t>
      </w:r>
      <w:r>
        <w:rPr>
          <w:rFonts w:ascii="宋体" w:hAnsi="宋体" w:eastAsia="宋体"/>
          <w:color w:themeColor="text1" w:val="000000"/>
          <w:szCs w:val="21"/>
          <w:lang w:eastAsia="zh-TW"/>
        </w:rPr>
        <w:t>年以上的公民。</w:t>
      </w:r>
    </w:p>
    <w:p>
      <w:pPr>
        <w:pStyle w:val="11"/>
        <w:numPr>
          <w:ilvl w:val="0"/>
          <w:numId w:val="21"/>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總統在不能履職的情況下的替任順序為副總統、府務部部長、外交部部長、國防部部長、國安部部長、公安部部長、民生部部長、住建部部長、農業部部長、商貿部部長、財稅部部長、能源部部長、交通部部長。</w:t>
      </w:r>
    </w:p>
    <w:p>
      <w:pPr>
        <w:pStyle w:val="11"/>
        <w:numPr>
          <w:ilvl w:val="0"/>
          <w:numId w:val="21"/>
        </w:numPr>
        <w:spacing w:lineRule="exact" w:line="300" w:before="0" w:after="156"/>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在被替任總統無法恢復其任職的情況下，替任總統的任期為被替任總統任期的剩餘任期，其替任任期不計入選舉總統任期，在被替任總統恢復其任職的情況下，替任總統任職資格失效。</w:t>
      </w:r>
    </w:p>
    <w:p>
      <w:pPr>
        <w:pStyle w:val="11"/>
        <w:numPr>
          <w:ilvl w:val="0"/>
          <w:numId w:val="3"/>
        </w:numPr>
        <w:spacing w:lineRule="exact" w:line="300" w:before="0" w:after="156"/>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總統府下設府務部（總統府事務部）、外交部（外事交流部）、國防部（國家防務部）、國安部（國土安全部）、公安部（公民安全部）、民生部（公民生活保障部）、住建部（住房與城鎮建設部）、農業部（農業與農村發展部）、商貿部（商務與市場貿易部）、財稅部（財政與稅務部）、能源部（能源與環保發展部）、交通部（交通運輸部）共十二個直屬部級機構。</w:t>
      </w:r>
    </w:p>
    <w:p>
      <w:pPr>
        <w:pStyle w:val="11"/>
        <w:numPr>
          <w:ilvl w:val="0"/>
          <w:numId w:val="3"/>
        </w:numPr>
        <w:spacing w:lineRule="exact" w:line="300"/>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總統府直屬部，每部設部長職位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個，由總統提名，設副部長職位</w:t>
      </w:r>
      <w:r>
        <w:rPr>
          <w:rFonts w:eastAsia="宋体" w:ascii="宋体" w:hAnsi="宋体"/>
          <w:color w:themeColor="text1" w:val="000000"/>
          <w:szCs w:val="21"/>
          <w:lang w:eastAsia="zh-TW"/>
        </w:rPr>
        <w:t>3</w:t>
      </w:r>
      <w:r>
        <w:rPr>
          <w:rFonts w:ascii="宋体" w:hAnsi="宋体" w:eastAsia="宋体"/>
          <w:color w:themeColor="text1" w:val="000000"/>
          <w:szCs w:val="21"/>
          <w:lang w:eastAsia="zh-TW"/>
        </w:rPr>
        <w:t>個以下，由部長提名，部長和副部長每屆任期</w:t>
      </w:r>
      <w:r>
        <w:rPr>
          <w:rFonts w:eastAsia="宋体" w:ascii="宋体" w:hAnsi="宋体"/>
          <w:color w:themeColor="text1" w:val="000000"/>
          <w:szCs w:val="21"/>
          <w:lang w:eastAsia="zh-TW"/>
        </w:rPr>
        <w:t>5</w:t>
      </w:r>
      <w:r>
        <w:rPr>
          <w:rFonts w:ascii="宋体" w:hAnsi="宋体" w:eastAsia="宋体"/>
          <w:color w:themeColor="text1" w:val="000000"/>
          <w:szCs w:val="21"/>
          <w:lang w:eastAsia="zh-TW"/>
        </w:rPr>
        <w:t>年，任職不得超過</w:t>
      </w:r>
      <w:r>
        <w:rPr>
          <w:rFonts w:eastAsia="宋体" w:ascii="宋体" w:hAnsi="宋体"/>
          <w:color w:themeColor="text1" w:val="000000"/>
          <w:szCs w:val="21"/>
          <w:lang w:eastAsia="zh-TW"/>
        </w:rPr>
        <w:t>2</w:t>
      </w:r>
      <w:r>
        <w:rPr>
          <w:rFonts w:ascii="宋体" w:hAnsi="宋体" w:eastAsia="宋体"/>
          <w:color w:themeColor="text1" w:val="000000"/>
          <w:szCs w:val="21"/>
          <w:lang w:eastAsia="zh-TW"/>
        </w:rPr>
        <w:t>屆。</w:t>
      </w:r>
    </w:p>
    <w:p>
      <w:pPr>
        <w:pStyle w:val="11"/>
        <w:numPr>
          <w:ilvl w:val="0"/>
          <w:numId w:val="22"/>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總統提名的部長或部長提名的副部長，由國家參議會以常規案表決任免產生，常規案表決未通過的，提名人可發起常規案二審表決，常規案二審表決未通過的，該提名即駁回，並由提名人另選被提名人。</w:t>
      </w:r>
    </w:p>
    <w:p>
      <w:pPr>
        <w:pStyle w:val="11"/>
        <w:numPr>
          <w:ilvl w:val="0"/>
          <w:numId w:val="22"/>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在國家參議會三次常規案二審表決駁回總統提名的部長或部長提名的副部長後，由國家眾議會提名，經國家立法院以重要案表決通過，國家立法院有權獨立形成部長或副部長的任免職決議。</w:t>
      </w:r>
    </w:p>
    <w:p>
      <w:pPr>
        <w:pStyle w:val="11"/>
        <w:numPr>
          <w:ilvl w:val="0"/>
          <w:numId w:val="22"/>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在國家立法院獨立形成部長或副部長的任免職決議時，經三次重要案表決均未通過部長或副部長任免職決議的，由總統直接提名並任免部長，由部長直接提名並任免副部長。</w:t>
      </w:r>
    </w:p>
    <w:p>
      <w:pPr>
        <w:pStyle w:val="11"/>
        <w:numPr>
          <w:ilvl w:val="0"/>
          <w:numId w:val="22"/>
        </w:numPr>
        <w:spacing w:lineRule="exact" w:line="300" w:before="0" w:after="156"/>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總統府直屬部部長和副部長必須是年滿</w:t>
      </w:r>
      <w:r>
        <w:rPr>
          <w:rFonts w:eastAsia="宋体" w:ascii="宋体" w:hAnsi="宋体"/>
          <w:color w:themeColor="text1" w:val="000000"/>
          <w:szCs w:val="21"/>
          <w:lang w:eastAsia="zh-TW"/>
        </w:rPr>
        <w:t>30</w:t>
      </w:r>
      <w:r>
        <w:rPr>
          <w:rFonts w:ascii="宋体" w:hAnsi="宋体" w:eastAsia="宋体"/>
          <w:color w:themeColor="text1" w:val="000000"/>
          <w:szCs w:val="21"/>
          <w:lang w:eastAsia="zh-TW"/>
        </w:rPr>
        <w:t>週歲的中華民族聯邦共和國公民，且必須是出生在中華民族聯邦共和國境內，並在境內生活</w:t>
      </w:r>
      <w:r>
        <w:rPr>
          <w:rFonts w:eastAsia="宋体" w:ascii="宋体" w:hAnsi="宋体"/>
          <w:color w:themeColor="text1" w:val="000000"/>
          <w:szCs w:val="21"/>
          <w:lang w:eastAsia="zh-TW"/>
        </w:rPr>
        <w:t>15</w:t>
      </w:r>
      <w:r>
        <w:rPr>
          <w:rFonts w:ascii="宋体" w:hAnsi="宋体" w:eastAsia="宋体"/>
          <w:color w:themeColor="text1" w:val="000000"/>
          <w:szCs w:val="21"/>
          <w:lang w:eastAsia="zh-TW"/>
        </w:rPr>
        <w:t>年以上的公民。</w:t>
      </w:r>
    </w:p>
    <w:p>
      <w:pPr>
        <w:pStyle w:val="11"/>
        <w:numPr>
          <w:ilvl w:val="0"/>
          <w:numId w:val="3"/>
        </w:numPr>
        <w:spacing w:lineRule="exact" w:line="300" w:before="0" w:after="156"/>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總統是國家元首，對外代表中國；總統依憲法統領國家軍隊，對外簽署條約及行使宣戰、媾和的權力；總統依法簽署法律，簽署總統令，行使大赦、特赦的復核權，依法對內發佈國家戰爭動員令和緊急狀態令，依法任免文武官員，依法授予國家級榮譽稱號及頒發證書。</w:t>
      </w:r>
    </w:p>
    <w:p>
      <w:pPr>
        <w:pStyle w:val="11"/>
        <w:numPr>
          <w:ilvl w:val="0"/>
          <w:numId w:val="20"/>
        </w:numPr>
        <w:spacing w:lineRule="exact" w:line="300" w:before="156" w:after="0"/>
        <w:outlineLvl w:val="1"/>
        <w:rPr>
          <w:rFonts w:ascii="宋体" w:hAnsi="宋体" w:eastAsia="宋体"/>
          <w:b/>
          <w:color w:themeColor="text1" w:val="000000"/>
          <w:sz w:val="28"/>
          <w:szCs w:val="28"/>
        </w:rPr>
      </w:pPr>
      <w:bookmarkStart w:id="22" w:name="__RefHeading___Toc7007_4090689648"/>
      <w:bookmarkStart w:id="23" w:name="_Toc147663413"/>
      <w:bookmarkEnd w:id="22"/>
      <w:r>
        <w:rPr>
          <w:rFonts w:ascii="宋体" w:hAnsi="宋体" w:eastAsia="宋体"/>
          <w:b/>
          <w:color w:themeColor="text1" w:val="000000"/>
          <w:sz w:val="28"/>
          <w:szCs w:val="28"/>
        </w:rPr>
        <w:t>省政府</w:t>
      </w:r>
      <w:bookmarkEnd w:id="23"/>
    </w:p>
    <w:p>
      <w:pPr>
        <w:pStyle w:val="11"/>
        <w:numPr>
          <w:ilvl w:val="0"/>
          <w:numId w:val="3"/>
        </w:numPr>
        <w:spacing w:lineRule="exact" w:line="300"/>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中華民族聯邦共和國省級行政區設省聯邦政府，簡稱省政府，省政府是總統府派駐省級行政區的行政權行權機構，省政府隸屬於總統府；省政府設省長職位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個，由總統提名，設副省長職位</w:t>
      </w:r>
      <w:r>
        <w:rPr>
          <w:rFonts w:eastAsia="宋体" w:ascii="宋体" w:hAnsi="宋体"/>
          <w:color w:themeColor="text1" w:val="000000"/>
          <w:szCs w:val="21"/>
          <w:lang w:eastAsia="zh-TW"/>
        </w:rPr>
        <w:t>2</w:t>
      </w:r>
      <w:r>
        <w:rPr>
          <w:rFonts w:ascii="宋体" w:hAnsi="宋体" w:eastAsia="宋体"/>
          <w:color w:themeColor="text1" w:val="000000"/>
          <w:szCs w:val="21"/>
          <w:lang w:eastAsia="zh-TW"/>
        </w:rPr>
        <w:t>個，由省長提名，省長和副省長每屆任期</w:t>
      </w:r>
      <w:r>
        <w:rPr>
          <w:rFonts w:eastAsia="宋体" w:ascii="宋体" w:hAnsi="宋体"/>
          <w:color w:themeColor="text1" w:val="000000"/>
          <w:szCs w:val="21"/>
          <w:lang w:eastAsia="zh-TW"/>
        </w:rPr>
        <w:t>5</w:t>
      </w:r>
      <w:r>
        <w:rPr>
          <w:rFonts w:ascii="宋体" w:hAnsi="宋体" w:eastAsia="宋体"/>
          <w:color w:themeColor="text1" w:val="000000"/>
          <w:szCs w:val="21"/>
          <w:lang w:eastAsia="zh-TW"/>
        </w:rPr>
        <w:t>年，任職不得超過</w:t>
      </w:r>
      <w:r>
        <w:rPr>
          <w:rFonts w:eastAsia="宋体" w:ascii="宋体" w:hAnsi="宋体"/>
          <w:color w:themeColor="text1" w:val="000000"/>
          <w:szCs w:val="21"/>
          <w:lang w:eastAsia="zh-TW"/>
        </w:rPr>
        <w:t>2</w:t>
      </w:r>
      <w:r>
        <w:rPr>
          <w:rFonts w:ascii="宋体" w:hAnsi="宋体" w:eastAsia="宋体"/>
          <w:color w:themeColor="text1" w:val="000000"/>
          <w:szCs w:val="21"/>
          <w:lang w:eastAsia="zh-TW"/>
        </w:rPr>
        <w:t>屆。</w:t>
      </w:r>
    </w:p>
    <w:p>
      <w:pPr>
        <w:pStyle w:val="11"/>
        <w:numPr>
          <w:ilvl w:val="0"/>
          <w:numId w:val="23"/>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總統提名的省長或省長提名的副省長，由省參議會以常規案表決任免產生，常規案表決未通過的，提名人可發起常規案二審表決，常規案二審表決未通過的，該提名即駁回，並由提名人另選被提名人。</w:t>
      </w:r>
    </w:p>
    <w:p>
      <w:pPr>
        <w:pStyle w:val="11"/>
        <w:numPr>
          <w:ilvl w:val="0"/>
          <w:numId w:val="23"/>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在省參議會三次常規案二審表決駁回總統提名的省長或省長提名的副省長後，由省眾議會提名，經省立法院以重要案表決通過，省立法院有權獨立形成省長或副省長的任免職決議。</w:t>
      </w:r>
    </w:p>
    <w:p>
      <w:pPr>
        <w:pStyle w:val="11"/>
        <w:numPr>
          <w:ilvl w:val="0"/>
          <w:numId w:val="23"/>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在省立法院獨立形成省長或副省長的任免職決議時，經三次重要案表決均未通過省長或副省長任免職決議的，由總統直接提名並任免省長，由省長直接提名並任免副省長。</w:t>
      </w:r>
    </w:p>
    <w:p>
      <w:pPr>
        <w:pStyle w:val="11"/>
        <w:numPr>
          <w:ilvl w:val="0"/>
          <w:numId w:val="23"/>
        </w:numPr>
        <w:spacing w:lineRule="exact" w:line="300" w:before="0" w:after="156"/>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省政府省長和副省長必須是年滿</w:t>
      </w:r>
      <w:r>
        <w:rPr>
          <w:rFonts w:eastAsia="宋体" w:ascii="宋体" w:hAnsi="宋体"/>
          <w:color w:themeColor="text1" w:val="000000"/>
          <w:szCs w:val="21"/>
          <w:lang w:eastAsia="zh-TW"/>
        </w:rPr>
        <w:t>30</w:t>
      </w:r>
      <w:r>
        <w:rPr>
          <w:rFonts w:ascii="宋体" w:hAnsi="宋体" w:eastAsia="宋体"/>
          <w:color w:themeColor="text1" w:val="000000"/>
          <w:szCs w:val="21"/>
          <w:lang w:eastAsia="zh-TW"/>
        </w:rPr>
        <w:t>週歲的中華民族聯邦共和國公民，且必須是出生在中華民族聯邦共和國境內，並在該省轄區內生活</w:t>
      </w:r>
      <w:r>
        <w:rPr>
          <w:rFonts w:eastAsia="宋体" w:ascii="宋体" w:hAnsi="宋体"/>
          <w:color w:themeColor="text1" w:val="000000"/>
          <w:szCs w:val="21"/>
          <w:lang w:eastAsia="zh-TW"/>
        </w:rPr>
        <w:t>10</w:t>
      </w:r>
      <w:r>
        <w:rPr>
          <w:rFonts w:ascii="宋体" w:hAnsi="宋体" w:eastAsia="宋体"/>
          <w:color w:themeColor="text1" w:val="000000"/>
          <w:szCs w:val="21"/>
          <w:lang w:eastAsia="zh-TW"/>
        </w:rPr>
        <w:t>年以上的公民。</w:t>
      </w:r>
    </w:p>
    <w:p>
      <w:pPr>
        <w:pStyle w:val="11"/>
        <w:numPr>
          <w:ilvl w:val="0"/>
          <w:numId w:val="3"/>
        </w:numPr>
        <w:spacing w:lineRule="exact" w:line="300" w:before="0" w:after="156"/>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省政府下設省務廳（省政府事務廳）、國防廳（國家防務廳）、國安廳（國土安全廳）、公安廳（公民安全廳）、民生廳（公民生活保障廳）、住建廳（住房與城鎮建設廳）、農業廳（農業與農村發展廳）、商貿廳（商務與市場貿易廳）、財稅廳（財政與稅務廳）、能源廳（能源與環保發展廳）、交通廳（交通運輸廳）共十一個直屬廳級機構。</w:t>
      </w:r>
    </w:p>
    <w:p>
      <w:pPr>
        <w:pStyle w:val="11"/>
        <w:numPr>
          <w:ilvl w:val="0"/>
          <w:numId w:val="3"/>
        </w:numPr>
        <w:spacing w:lineRule="exact" w:line="300"/>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省政府直屬廳，每廳設廳長職位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個，由省長提名，設副廳長職位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個，由廳長提名，廳長和副廳長每屆任期</w:t>
      </w:r>
      <w:r>
        <w:rPr>
          <w:rFonts w:eastAsia="宋体" w:ascii="宋体" w:hAnsi="宋体"/>
          <w:color w:themeColor="text1" w:val="000000"/>
          <w:szCs w:val="21"/>
          <w:lang w:eastAsia="zh-TW"/>
        </w:rPr>
        <w:t>5</w:t>
      </w:r>
      <w:r>
        <w:rPr>
          <w:rFonts w:ascii="宋体" w:hAnsi="宋体" w:eastAsia="宋体"/>
          <w:color w:themeColor="text1" w:val="000000"/>
          <w:szCs w:val="21"/>
          <w:lang w:eastAsia="zh-TW"/>
        </w:rPr>
        <w:t>年，任職不得超過</w:t>
      </w:r>
      <w:r>
        <w:rPr>
          <w:rFonts w:eastAsia="宋体" w:ascii="宋体" w:hAnsi="宋体"/>
          <w:color w:themeColor="text1" w:val="000000"/>
          <w:szCs w:val="21"/>
          <w:lang w:eastAsia="zh-TW"/>
        </w:rPr>
        <w:t>2</w:t>
      </w:r>
      <w:r>
        <w:rPr>
          <w:rFonts w:ascii="宋体" w:hAnsi="宋体" w:eastAsia="宋体"/>
          <w:color w:themeColor="text1" w:val="000000"/>
          <w:szCs w:val="21"/>
          <w:lang w:eastAsia="zh-TW"/>
        </w:rPr>
        <w:t>屆。</w:t>
      </w:r>
    </w:p>
    <w:p>
      <w:pPr>
        <w:pStyle w:val="11"/>
        <w:numPr>
          <w:ilvl w:val="0"/>
          <w:numId w:val="24"/>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省長提名的廳長或廳長提名的副廳長，由省參議會以常規案表決任免產生，常規案表決未通過的，提名人可發起常規案二審表決，常規案二審表決未通過的，該提名即駁回，並由提名人另選被提名人。</w:t>
      </w:r>
    </w:p>
    <w:p>
      <w:pPr>
        <w:pStyle w:val="11"/>
        <w:numPr>
          <w:ilvl w:val="0"/>
          <w:numId w:val="24"/>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在省參議會三次常規案二審表決駁回省長提名的廳長或廳長提名的副廳長後，由省眾議會提名，經省立法院以重要案表決通過，省立法院有權獨立形成廳長或副廳長的任免職決議。</w:t>
      </w:r>
    </w:p>
    <w:p>
      <w:pPr>
        <w:pStyle w:val="11"/>
        <w:numPr>
          <w:ilvl w:val="0"/>
          <w:numId w:val="24"/>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在省立法院獨立形成廳長或副廳長的任免職決議時，經三次重要案表決均未通過廳長或副廳長任免職決議的，由省長直接提名並任免廳長，由廳長直接提名並任免副廳長。</w:t>
      </w:r>
    </w:p>
    <w:p>
      <w:pPr>
        <w:pStyle w:val="11"/>
        <w:numPr>
          <w:ilvl w:val="0"/>
          <w:numId w:val="24"/>
        </w:numPr>
        <w:spacing w:lineRule="exact" w:line="300" w:before="0" w:after="156"/>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省政府直屬廳廳長和副廳長必須是年滿</w:t>
      </w:r>
      <w:r>
        <w:rPr>
          <w:rFonts w:eastAsia="宋体" w:ascii="宋体" w:hAnsi="宋体"/>
          <w:color w:themeColor="text1" w:val="000000"/>
          <w:szCs w:val="21"/>
          <w:lang w:eastAsia="zh-TW"/>
        </w:rPr>
        <w:t>25</w:t>
      </w:r>
      <w:r>
        <w:rPr>
          <w:rFonts w:ascii="宋体" w:hAnsi="宋体" w:eastAsia="宋体"/>
          <w:color w:themeColor="text1" w:val="000000"/>
          <w:szCs w:val="21"/>
          <w:lang w:eastAsia="zh-TW"/>
        </w:rPr>
        <w:t>週歲的中華民族聯邦共和國公民，且必須是出生在中華民族聯邦共和國境內，並在該省轄區內生活</w:t>
      </w:r>
      <w:r>
        <w:rPr>
          <w:rFonts w:eastAsia="宋体" w:ascii="宋体" w:hAnsi="宋体"/>
          <w:color w:themeColor="text1" w:val="000000"/>
          <w:szCs w:val="21"/>
          <w:lang w:eastAsia="zh-TW"/>
        </w:rPr>
        <w:t>10</w:t>
      </w:r>
      <w:r>
        <w:rPr>
          <w:rFonts w:ascii="宋体" w:hAnsi="宋体" w:eastAsia="宋体"/>
          <w:color w:themeColor="text1" w:val="000000"/>
          <w:szCs w:val="21"/>
          <w:lang w:eastAsia="zh-TW"/>
        </w:rPr>
        <w:t>年以上的公民。</w:t>
      </w:r>
    </w:p>
    <w:p>
      <w:pPr>
        <w:pStyle w:val="11"/>
        <w:numPr>
          <w:ilvl w:val="0"/>
          <w:numId w:val="20"/>
        </w:numPr>
        <w:spacing w:lineRule="exact" w:line="300" w:before="156" w:after="0"/>
        <w:outlineLvl w:val="1"/>
        <w:rPr>
          <w:rFonts w:ascii="宋体" w:hAnsi="宋体" w:eastAsia="宋体"/>
          <w:b/>
          <w:color w:themeColor="text1" w:val="000000"/>
          <w:sz w:val="28"/>
          <w:szCs w:val="28"/>
        </w:rPr>
      </w:pPr>
      <w:bookmarkStart w:id="24" w:name="__RefHeading___Toc7009_4090689648"/>
      <w:bookmarkStart w:id="25" w:name="_Toc147663414"/>
      <w:bookmarkEnd w:id="24"/>
      <w:r>
        <w:rPr>
          <w:rFonts w:ascii="宋体" w:hAnsi="宋体" w:eastAsia="宋体"/>
          <w:b/>
          <w:color w:themeColor="text1" w:val="000000"/>
          <w:sz w:val="28"/>
          <w:szCs w:val="28"/>
        </w:rPr>
        <w:t>市政府</w:t>
      </w:r>
      <w:bookmarkEnd w:id="25"/>
    </w:p>
    <w:p>
      <w:pPr>
        <w:pStyle w:val="11"/>
        <w:numPr>
          <w:ilvl w:val="0"/>
          <w:numId w:val="3"/>
        </w:numPr>
        <w:spacing w:lineRule="exact" w:line="300" w:before="0" w:after="156"/>
        <w:ind w:hanging="945" w:left="94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市級行政區設市自治政府，簡稱市政府，市政府是市級行政區的行政權行權機構；市政府與聯邦政府之間沒有隸屬關係，聯邦政府在市政府轄區內行使的權力與義務由憲法賦予市政府，再由市政府依法授予聯邦政府行權。</w:t>
      </w:r>
    </w:p>
    <w:p>
      <w:pPr>
        <w:pStyle w:val="11"/>
        <w:numPr>
          <w:ilvl w:val="0"/>
          <w:numId w:val="3"/>
        </w:numPr>
        <w:spacing w:lineRule="exact" w:line="300" w:before="0" w:after="156"/>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市政府設市公民自治委員會，簡稱市自治會，市自治會委員每屆任期</w:t>
      </w:r>
      <w:r>
        <w:rPr>
          <w:rFonts w:eastAsia="宋体" w:ascii="宋体" w:hAnsi="宋体"/>
          <w:color w:themeColor="text1" w:val="000000"/>
          <w:szCs w:val="21"/>
          <w:lang w:eastAsia="zh-TW"/>
        </w:rPr>
        <w:t>3</w:t>
      </w:r>
      <w:r>
        <w:rPr>
          <w:rFonts w:ascii="宋体" w:hAnsi="宋体" w:eastAsia="宋体"/>
          <w:color w:themeColor="text1" w:val="000000"/>
          <w:szCs w:val="21"/>
          <w:lang w:eastAsia="zh-TW"/>
        </w:rPr>
        <w:t>年，任職不得超過</w:t>
      </w:r>
      <w:r>
        <w:rPr>
          <w:rFonts w:eastAsia="宋体" w:ascii="宋体" w:hAnsi="宋体"/>
          <w:color w:themeColor="text1" w:val="000000"/>
          <w:szCs w:val="21"/>
          <w:lang w:eastAsia="zh-TW"/>
        </w:rPr>
        <w:t>2</w:t>
      </w:r>
      <w:r>
        <w:rPr>
          <w:rFonts w:ascii="宋体" w:hAnsi="宋体" w:eastAsia="宋体"/>
          <w:color w:themeColor="text1" w:val="000000"/>
          <w:szCs w:val="21"/>
          <w:lang w:eastAsia="zh-TW"/>
        </w:rPr>
        <w:t>屆；市自治會委員由該市所轄每個鎮級行政區的公民從該鎮現任鎮自治會委員當中選舉產生，每個鎮級行政區限選舉產生</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名市自治會委員。</w:t>
      </w:r>
    </w:p>
    <w:p>
      <w:pPr>
        <w:pStyle w:val="11"/>
        <w:numPr>
          <w:ilvl w:val="0"/>
          <w:numId w:val="3"/>
        </w:numPr>
        <w:spacing w:lineRule="exact" w:line="300" w:before="0" w:after="156"/>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市自治會設主席職位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個，設副主席職位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個，由該市自治會現任委員互選產生，主席和副主席每屆任期</w:t>
      </w:r>
      <w:r>
        <w:rPr>
          <w:rFonts w:eastAsia="宋体" w:ascii="宋体" w:hAnsi="宋体"/>
          <w:color w:themeColor="text1" w:val="000000"/>
          <w:szCs w:val="21"/>
          <w:lang w:eastAsia="zh-TW"/>
        </w:rPr>
        <w:t>3</w:t>
      </w:r>
      <w:r>
        <w:rPr>
          <w:rFonts w:ascii="宋体" w:hAnsi="宋体" w:eastAsia="宋体"/>
          <w:color w:themeColor="text1" w:val="000000"/>
          <w:szCs w:val="21"/>
          <w:lang w:eastAsia="zh-TW"/>
        </w:rPr>
        <w:t>年，任職不得超過</w:t>
      </w:r>
      <w:r>
        <w:rPr>
          <w:rFonts w:eastAsia="宋体" w:ascii="宋体" w:hAnsi="宋体"/>
          <w:color w:themeColor="text1" w:val="000000"/>
          <w:szCs w:val="21"/>
          <w:lang w:eastAsia="zh-TW"/>
        </w:rPr>
        <w:t>2</w:t>
      </w:r>
      <w:r>
        <w:rPr>
          <w:rFonts w:ascii="宋体" w:hAnsi="宋体" w:eastAsia="宋体"/>
          <w:color w:themeColor="text1" w:val="000000"/>
          <w:szCs w:val="21"/>
          <w:lang w:eastAsia="zh-TW"/>
        </w:rPr>
        <w:t>屆，且委員任期屆滿的，不得繼續任職主席或副主席。</w:t>
      </w:r>
    </w:p>
    <w:p>
      <w:pPr>
        <w:pStyle w:val="11"/>
        <w:numPr>
          <w:ilvl w:val="0"/>
          <w:numId w:val="3"/>
        </w:numPr>
        <w:spacing w:lineRule="exact" w:line="300"/>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市自治會委員不屬於在編公職人員，但必須受相關公職人員法律法規要求的約束，且不享受公職人員的薪酬待遇；市自治會委員可兼職除公職人員以外的其他任何合法工作，以及從事除公權機構外包事務以外的任何合法事務。</w:t>
      </w:r>
    </w:p>
    <w:p>
      <w:pPr>
        <w:pStyle w:val="11"/>
        <w:numPr>
          <w:ilvl w:val="0"/>
          <w:numId w:val="25"/>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市自治會委員有權對該市級行政區轄區內任意一名公職人員發起履職盡責聽證會，市自治會委員發起公職人員履職盡責聽證會的，被聽證公職人員必須參與聽證會。</w:t>
      </w:r>
    </w:p>
    <w:p>
      <w:pPr>
        <w:pStyle w:val="11"/>
        <w:numPr>
          <w:ilvl w:val="0"/>
          <w:numId w:val="25"/>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市自治會委員發起公職人員履職盡責聽證會的，其他現任委員必須參與聽證會，且該市轄區內公民均有權要求旁聽聽證會，除司法要求外，不得拒絕公民的旁聽要求。</w:t>
      </w:r>
    </w:p>
    <w:p>
      <w:pPr>
        <w:pStyle w:val="11"/>
        <w:numPr>
          <w:ilvl w:val="0"/>
          <w:numId w:val="25"/>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該市轄區內公民有權要求市自治會任意委員組織召開市自治會履職盡責聽證會，被要求組織召開聽證會的委員及其他委員，非不可抗力的因素，不得拒絕公民的要求。</w:t>
      </w:r>
    </w:p>
    <w:p>
      <w:pPr>
        <w:pStyle w:val="11"/>
        <w:numPr>
          <w:ilvl w:val="0"/>
          <w:numId w:val="25"/>
        </w:numPr>
        <w:spacing w:lineRule="exact" w:line="300" w:before="0" w:after="156"/>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公民要求召開市自治會履職盡責聽證會的，要求召開聽證會的公民有權有義務邀請任意</w:t>
      </w:r>
      <w:r>
        <w:rPr>
          <w:rFonts w:eastAsia="宋体" w:ascii="宋体" w:hAnsi="宋体"/>
          <w:color w:themeColor="text1" w:val="000000"/>
          <w:szCs w:val="21"/>
          <w:lang w:eastAsia="zh-TW"/>
        </w:rPr>
        <w:t>50</w:t>
      </w:r>
      <w:r>
        <w:rPr>
          <w:rFonts w:ascii="宋体" w:hAnsi="宋体" w:eastAsia="宋体"/>
          <w:color w:themeColor="text1" w:val="000000"/>
          <w:szCs w:val="21"/>
          <w:lang w:eastAsia="zh-TW"/>
        </w:rPr>
        <w:t>名以上本市公民參與聽證會；且該市轄區內其他公民均有權要求旁聽聽證會，除司法要求外，市自治會不得拒絕公民的旁聽要求。</w:t>
      </w:r>
    </w:p>
    <w:p>
      <w:pPr>
        <w:pStyle w:val="11"/>
        <w:numPr>
          <w:ilvl w:val="0"/>
          <w:numId w:val="3"/>
        </w:numPr>
        <w:spacing w:lineRule="exact" w:line="300"/>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市政府設市長職位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個，設副市長職位</w:t>
      </w:r>
      <w:r>
        <w:rPr>
          <w:rFonts w:eastAsia="宋体" w:ascii="宋体" w:hAnsi="宋体"/>
          <w:color w:themeColor="text1" w:val="000000"/>
          <w:szCs w:val="21"/>
          <w:lang w:eastAsia="zh-TW"/>
        </w:rPr>
        <w:t>5</w:t>
      </w:r>
      <w:r>
        <w:rPr>
          <w:rFonts w:ascii="宋体" w:hAnsi="宋体" w:eastAsia="宋体"/>
          <w:color w:themeColor="text1" w:val="000000"/>
          <w:szCs w:val="21"/>
          <w:lang w:eastAsia="zh-TW"/>
        </w:rPr>
        <w:t>個以下，由市自治會提名聘用，市長和副市長每屆任期</w:t>
      </w:r>
      <w:r>
        <w:rPr>
          <w:rFonts w:eastAsia="宋体" w:ascii="宋体" w:hAnsi="宋体"/>
          <w:color w:themeColor="text1" w:val="000000"/>
          <w:szCs w:val="21"/>
          <w:lang w:eastAsia="zh-TW"/>
        </w:rPr>
        <w:t>5</w:t>
      </w:r>
      <w:r>
        <w:rPr>
          <w:rFonts w:ascii="宋体" w:hAnsi="宋体" w:eastAsia="宋体"/>
          <w:color w:themeColor="text1" w:val="000000"/>
          <w:szCs w:val="21"/>
          <w:lang w:eastAsia="zh-TW"/>
        </w:rPr>
        <w:t>年，可連任。</w:t>
      </w:r>
    </w:p>
    <w:p>
      <w:pPr>
        <w:pStyle w:val="11"/>
        <w:numPr>
          <w:ilvl w:val="0"/>
          <w:numId w:val="26"/>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市自治會提名聘用的市長或副市長，由市立法會以常規案表決任免產生，常規案表決未通過的，市自治會可發起常規案二審表決，常規案二審表決未通過的，該市長或副市長提名即駁回，並由市自治會另選被提名人。</w:t>
      </w:r>
    </w:p>
    <w:p>
      <w:pPr>
        <w:pStyle w:val="11"/>
        <w:numPr>
          <w:ilvl w:val="0"/>
          <w:numId w:val="26"/>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在市立法會三次常規案二審表決駁回市自治會提名聘用的市長或副市長後，由市立法會提名，經市立法會以重要案表決通過，市立法會有權獨立形成市長或副市長的任免職決議。</w:t>
      </w:r>
    </w:p>
    <w:p>
      <w:pPr>
        <w:pStyle w:val="11"/>
        <w:numPr>
          <w:ilvl w:val="0"/>
          <w:numId w:val="26"/>
        </w:numPr>
        <w:spacing w:lineRule="exact" w:line="300" w:before="0" w:after="156"/>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在市立法會獨立形成市長或副市長的任免職決議時，經三次重要案表決均未通過市長或副市長任免職決議的，由市自治會直接提名聘用並任免市長或副市長。</w:t>
      </w:r>
    </w:p>
    <w:p>
      <w:pPr>
        <w:pStyle w:val="11"/>
        <w:numPr>
          <w:ilvl w:val="0"/>
          <w:numId w:val="3"/>
        </w:numPr>
        <w:spacing w:lineRule="exact" w:line="300" w:before="0" w:after="156"/>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市政府下設市務局（市政府事務局）、國防局（國家防務局）、國安局（國土安全局）、公安局（公民安全局）、民生局（公民生活保障局）、住建局（住房與城鎮建設局）、農業局（農業與農村發展局）、商貿局（商務與市場貿易局）、財稅局（財政與稅務局）、能源局（能源與環保發展局）、交通局（交通運輸局）共十一個直屬局級機構。</w:t>
      </w:r>
    </w:p>
    <w:p>
      <w:pPr>
        <w:pStyle w:val="11"/>
        <w:numPr>
          <w:ilvl w:val="0"/>
          <w:numId w:val="3"/>
        </w:numPr>
        <w:spacing w:lineRule="exact" w:line="300"/>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市政府直屬局，每局設局長職位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個，由市長提名聘用，設副局長職位</w:t>
      </w:r>
      <w:r>
        <w:rPr>
          <w:rFonts w:eastAsia="宋体" w:ascii="宋体" w:hAnsi="宋体"/>
          <w:color w:themeColor="text1" w:val="000000"/>
          <w:szCs w:val="21"/>
          <w:lang w:eastAsia="zh-TW"/>
        </w:rPr>
        <w:t>3</w:t>
      </w:r>
      <w:r>
        <w:rPr>
          <w:rFonts w:ascii="宋体" w:hAnsi="宋体" w:eastAsia="宋体"/>
          <w:color w:themeColor="text1" w:val="000000"/>
          <w:szCs w:val="21"/>
          <w:lang w:eastAsia="zh-TW"/>
        </w:rPr>
        <w:t>個以下，由局長提名聘用，局長和副局長每屆任期</w:t>
      </w:r>
      <w:r>
        <w:rPr>
          <w:rFonts w:eastAsia="宋体" w:ascii="宋体" w:hAnsi="宋体"/>
          <w:color w:themeColor="text1" w:val="000000"/>
          <w:szCs w:val="21"/>
          <w:lang w:eastAsia="zh-TW"/>
        </w:rPr>
        <w:t>5</w:t>
      </w:r>
      <w:r>
        <w:rPr>
          <w:rFonts w:ascii="宋体" w:hAnsi="宋体" w:eastAsia="宋体"/>
          <w:color w:themeColor="text1" w:val="000000"/>
          <w:szCs w:val="21"/>
          <w:lang w:eastAsia="zh-TW"/>
        </w:rPr>
        <w:t>年，可連任。</w:t>
      </w:r>
    </w:p>
    <w:p>
      <w:pPr>
        <w:pStyle w:val="11"/>
        <w:numPr>
          <w:ilvl w:val="0"/>
          <w:numId w:val="27"/>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市長提名的局長或局長提名的副局長，由市立法會以常規案表決任免產生，常規案表決未通過的，提名人可發起常規案二審表決，常規案二審表決未通過的，該提名即駁回，並由提名人另選被提名人。</w:t>
      </w:r>
    </w:p>
    <w:p>
      <w:pPr>
        <w:pStyle w:val="11"/>
        <w:numPr>
          <w:ilvl w:val="0"/>
          <w:numId w:val="27"/>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在市立法會三次常規案二審表決駁回市長提名的局長或局長提名的副局長後，由市立法會提名，經市立法會以重要案表決通過，市立法會有權獨立形成局長或副局長的任免職決議。</w:t>
      </w:r>
    </w:p>
    <w:p>
      <w:pPr>
        <w:pStyle w:val="11"/>
        <w:numPr>
          <w:ilvl w:val="0"/>
          <w:numId w:val="27"/>
        </w:numPr>
        <w:spacing w:lineRule="exact" w:line="300" w:before="0" w:after="156"/>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在市立法會獨立形成局長或副局長的任免職決議時，經三次重要案表決均未通過局長或副局長任免職決議的，由市長提名局長，局長提名副局長，經市自治會決議任免。</w:t>
      </w:r>
    </w:p>
    <w:p>
      <w:pPr>
        <w:pStyle w:val="11"/>
        <w:numPr>
          <w:ilvl w:val="0"/>
          <w:numId w:val="20"/>
        </w:numPr>
        <w:spacing w:lineRule="exact" w:line="300" w:before="156" w:after="0"/>
        <w:outlineLvl w:val="1"/>
        <w:rPr>
          <w:rFonts w:ascii="宋体" w:hAnsi="宋体" w:eastAsia="宋体"/>
          <w:b/>
          <w:color w:themeColor="text1" w:val="000000"/>
          <w:sz w:val="28"/>
          <w:szCs w:val="28"/>
        </w:rPr>
      </w:pPr>
      <w:bookmarkStart w:id="26" w:name="__RefHeading___Toc7011_4090689648"/>
      <w:bookmarkStart w:id="27" w:name="_Toc147663415"/>
      <w:bookmarkEnd w:id="26"/>
      <w:r>
        <w:rPr>
          <w:rFonts w:ascii="宋体" w:hAnsi="宋体" w:eastAsia="宋体"/>
          <w:b/>
          <w:color w:themeColor="text1" w:val="000000"/>
          <w:sz w:val="28"/>
          <w:szCs w:val="28"/>
          <w:lang w:eastAsia="zh-TW"/>
        </w:rPr>
        <w:t>鎮</w:t>
      </w:r>
      <w:r>
        <w:rPr>
          <w:rFonts w:ascii="宋体" w:hAnsi="宋体" w:eastAsia="宋体"/>
          <w:b/>
          <w:color w:themeColor="text1" w:val="000000"/>
          <w:sz w:val="28"/>
          <w:szCs w:val="28"/>
        </w:rPr>
        <w:t>政府</w:t>
      </w:r>
      <w:bookmarkEnd w:id="27"/>
    </w:p>
    <w:p>
      <w:pPr>
        <w:pStyle w:val="11"/>
        <w:numPr>
          <w:ilvl w:val="0"/>
          <w:numId w:val="3"/>
        </w:numPr>
        <w:spacing w:lineRule="exact" w:line="300" w:before="0" w:after="156"/>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中華民族聯邦共和國鎮級行政區設鎮自治政府，簡稱鎮政府，鎮政府是市政府派駐鎮級行政區的自治政府機構，鎮政府與聯邦政府之間沒有隸屬關係。</w:t>
      </w:r>
    </w:p>
    <w:p>
      <w:pPr>
        <w:pStyle w:val="11"/>
        <w:numPr>
          <w:ilvl w:val="0"/>
          <w:numId w:val="3"/>
        </w:numPr>
        <w:spacing w:lineRule="exact" w:line="300" w:before="0" w:after="156"/>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鎮政府設鎮公民自治委員會，簡稱鎮自治會，鎮自治會由</w:t>
      </w:r>
      <w:r>
        <w:rPr>
          <w:rFonts w:eastAsia="宋体" w:ascii="宋体" w:hAnsi="宋体"/>
          <w:color w:themeColor="text1" w:val="000000"/>
          <w:szCs w:val="21"/>
          <w:lang w:eastAsia="zh-TW"/>
        </w:rPr>
        <w:t>11</w:t>
      </w:r>
      <w:r>
        <w:rPr>
          <w:rFonts w:ascii="宋体" w:hAnsi="宋体" w:eastAsia="宋体"/>
          <w:color w:themeColor="text1" w:val="000000"/>
          <w:szCs w:val="21"/>
          <w:lang w:eastAsia="zh-TW"/>
        </w:rPr>
        <w:t>名委員組成，委員由該鎮轄區內的公民選舉產生；鎮自治會委員每屆任期</w:t>
      </w:r>
      <w:r>
        <w:rPr>
          <w:rFonts w:eastAsia="宋体" w:ascii="宋体" w:hAnsi="宋体"/>
          <w:color w:themeColor="text1" w:val="000000"/>
          <w:szCs w:val="21"/>
          <w:lang w:eastAsia="zh-TW"/>
        </w:rPr>
        <w:t>3</w:t>
      </w:r>
      <w:r>
        <w:rPr>
          <w:rFonts w:ascii="宋体" w:hAnsi="宋体" w:eastAsia="宋体"/>
          <w:color w:themeColor="text1" w:val="000000"/>
          <w:szCs w:val="21"/>
          <w:lang w:eastAsia="zh-TW"/>
        </w:rPr>
        <w:t>年，任職不得超過</w:t>
      </w:r>
      <w:r>
        <w:rPr>
          <w:rFonts w:eastAsia="宋体" w:ascii="宋体" w:hAnsi="宋体"/>
          <w:color w:themeColor="text1" w:val="000000"/>
          <w:szCs w:val="21"/>
          <w:lang w:eastAsia="zh-TW"/>
        </w:rPr>
        <w:t>2</w:t>
      </w:r>
      <w:r>
        <w:rPr>
          <w:rFonts w:ascii="宋体" w:hAnsi="宋体" w:eastAsia="宋体"/>
          <w:color w:themeColor="text1" w:val="000000"/>
          <w:szCs w:val="21"/>
          <w:lang w:eastAsia="zh-TW"/>
        </w:rPr>
        <w:t>屆，且必須是出生在該鎮級行政區轄區內，並在該鎮轄區內生活</w:t>
      </w:r>
      <w:r>
        <w:rPr>
          <w:rFonts w:eastAsia="宋体" w:ascii="宋体" w:hAnsi="宋体"/>
          <w:color w:themeColor="text1" w:val="000000"/>
          <w:szCs w:val="21"/>
          <w:lang w:eastAsia="zh-TW"/>
        </w:rPr>
        <w:t>10</w:t>
      </w:r>
      <w:r>
        <w:rPr>
          <w:rFonts w:ascii="宋体" w:hAnsi="宋体" w:eastAsia="宋体"/>
          <w:color w:themeColor="text1" w:val="000000"/>
          <w:szCs w:val="21"/>
          <w:lang w:eastAsia="zh-TW"/>
        </w:rPr>
        <w:t>年以上的公民。</w:t>
      </w:r>
    </w:p>
    <w:p>
      <w:pPr>
        <w:pStyle w:val="11"/>
        <w:numPr>
          <w:ilvl w:val="0"/>
          <w:numId w:val="3"/>
        </w:numPr>
        <w:spacing w:lineRule="exact" w:line="300" w:before="0" w:after="156"/>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鎮自治會設主席職位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個，設副主席職位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個，由該鎮自治會現任委員互選產生，主席和副主席每屆任期</w:t>
      </w:r>
      <w:r>
        <w:rPr>
          <w:rFonts w:eastAsia="宋体" w:ascii="宋体" w:hAnsi="宋体"/>
          <w:color w:themeColor="text1" w:val="000000"/>
          <w:szCs w:val="21"/>
          <w:lang w:eastAsia="zh-TW"/>
        </w:rPr>
        <w:t>3</w:t>
      </w:r>
      <w:r>
        <w:rPr>
          <w:rFonts w:ascii="宋体" w:hAnsi="宋体" w:eastAsia="宋体"/>
          <w:color w:themeColor="text1" w:val="000000"/>
          <w:szCs w:val="21"/>
          <w:lang w:eastAsia="zh-TW"/>
        </w:rPr>
        <w:t>年，任職不得超過</w:t>
      </w:r>
      <w:r>
        <w:rPr>
          <w:rFonts w:eastAsia="宋体" w:ascii="宋体" w:hAnsi="宋体"/>
          <w:color w:themeColor="text1" w:val="000000"/>
          <w:szCs w:val="21"/>
          <w:lang w:eastAsia="zh-TW"/>
        </w:rPr>
        <w:t>2</w:t>
      </w:r>
      <w:r>
        <w:rPr>
          <w:rFonts w:ascii="宋体" w:hAnsi="宋体" w:eastAsia="宋体"/>
          <w:color w:themeColor="text1" w:val="000000"/>
          <w:szCs w:val="21"/>
          <w:lang w:eastAsia="zh-TW"/>
        </w:rPr>
        <w:t>屆，且委員任期屆滿的，不得繼續任職主席或副主席。</w:t>
      </w:r>
    </w:p>
    <w:p>
      <w:pPr>
        <w:pStyle w:val="11"/>
        <w:numPr>
          <w:ilvl w:val="0"/>
          <w:numId w:val="3"/>
        </w:numPr>
        <w:spacing w:lineRule="exact" w:line="300"/>
        <w:ind w:hanging="945" w:left="94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鎮自治會委員不屬於在編公職人員，但必須受相關公職人員法律法規要求的約束，且不享受公職人員的薪酬待遇；鎮自治會委員可兼職除公職人員以外的其他任何合法工作，以及從事除公權機構外包事務以外的任何合法事務。</w:t>
      </w:r>
    </w:p>
    <w:p>
      <w:pPr>
        <w:pStyle w:val="11"/>
        <w:numPr>
          <w:ilvl w:val="0"/>
          <w:numId w:val="28"/>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鎮自治會委員有權對該鎮級行政區轄區內任意一名公職人員發起履職盡責聽證會，鎮自治會委員發起公職人員履職盡責聽證會的，被聽證公職人員必須參與聽證會。</w:t>
      </w:r>
    </w:p>
    <w:p>
      <w:pPr>
        <w:pStyle w:val="11"/>
        <w:numPr>
          <w:ilvl w:val="0"/>
          <w:numId w:val="28"/>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鎮自治會委員發起公職人員履職盡責聽證會的，其他現任委員必須參與聽證會，且該鎮轄區內公民均有權要求旁聽聽證會，除司法要求外，不得拒絕公民的旁聽要求。</w:t>
      </w:r>
    </w:p>
    <w:p>
      <w:pPr>
        <w:pStyle w:val="11"/>
        <w:numPr>
          <w:ilvl w:val="0"/>
          <w:numId w:val="28"/>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該鎮轄區內公民有權要求鎮自治會任意委員組織召開鎮自治會履職盡責聽證會，被要求組織召開聽證會的委員及其他委員，非不可抗力的因素，不得拒絕公民的要求。</w:t>
      </w:r>
    </w:p>
    <w:p>
      <w:pPr>
        <w:pStyle w:val="11"/>
        <w:numPr>
          <w:ilvl w:val="0"/>
          <w:numId w:val="28"/>
        </w:numPr>
        <w:spacing w:lineRule="exact" w:line="300" w:before="0" w:after="156"/>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公民要求召開鎮自治會履職盡責聽證會的，要求召開聽證會的公民有權有義務邀請任意</w:t>
      </w:r>
      <w:r>
        <w:rPr>
          <w:rFonts w:eastAsia="宋体" w:ascii="宋体" w:hAnsi="宋体"/>
          <w:color w:themeColor="text1" w:val="000000"/>
          <w:szCs w:val="21"/>
          <w:lang w:eastAsia="zh-TW"/>
        </w:rPr>
        <w:t>30</w:t>
      </w:r>
      <w:r>
        <w:rPr>
          <w:rFonts w:ascii="宋体" w:hAnsi="宋体" w:eastAsia="宋体"/>
          <w:color w:themeColor="text1" w:val="000000"/>
          <w:szCs w:val="21"/>
          <w:lang w:eastAsia="zh-TW"/>
        </w:rPr>
        <w:t>名以上本鎮公民參與聽證會；且該鎮轄區內其他公民均有權要求旁聽聽證會，除司法要求外，鎮自治會不得拒絕公民的旁聽要求。</w:t>
      </w:r>
    </w:p>
    <w:p>
      <w:pPr>
        <w:pStyle w:val="11"/>
        <w:numPr>
          <w:ilvl w:val="0"/>
          <w:numId w:val="3"/>
        </w:numPr>
        <w:spacing w:lineRule="exact" w:line="300" w:before="0" w:after="156"/>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鎮政府設鎮長職位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個，設副鎮長職位</w:t>
      </w:r>
      <w:r>
        <w:rPr>
          <w:rFonts w:eastAsia="宋体" w:ascii="宋体" w:hAnsi="宋体"/>
          <w:color w:themeColor="text1" w:val="000000"/>
          <w:szCs w:val="21"/>
          <w:lang w:eastAsia="zh-TW"/>
        </w:rPr>
        <w:t>2</w:t>
      </w:r>
      <w:r>
        <w:rPr>
          <w:rFonts w:ascii="宋体" w:hAnsi="宋体" w:eastAsia="宋体"/>
          <w:color w:themeColor="text1" w:val="000000"/>
          <w:szCs w:val="21"/>
          <w:lang w:eastAsia="zh-TW"/>
        </w:rPr>
        <w:t>個以下，由鎮自治會提名聘用並任免產生，鎮長和副鎮長每屆任期</w:t>
      </w:r>
      <w:r>
        <w:rPr>
          <w:rFonts w:eastAsia="宋体" w:ascii="宋体" w:hAnsi="宋体"/>
          <w:color w:themeColor="text1" w:val="000000"/>
          <w:szCs w:val="21"/>
          <w:lang w:eastAsia="zh-TW"/>
        </w:rPr>
        <w:t>5</w:t>
      </w:r>
      <w:r>
        <w:rPr>
          <w:rFonts w:ascii="宋体" w:hAnsi="宋体" w:eastAsia="宋体"/>
          <w:color w:themeColor="text1" w:val="000000"/>
          <w:szCs w:val="21"/>
          <w:lang w:eastAsia="zh-TW"/>
        </w:rPr>
        <w:t>年，可連任；鎮政府下設科級公權機構，每科設科長職位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個，設副科長職位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個，由鎮自治會提名聘用並任免產生，科長和副科長每屆任期</w:t>
      </w:r>
      <w:r>
        <w:rPr>
          <w:rFonts w:eastAsia="宋体" w:ascii="宋体" w:hAnsi="宋体"/>
          <w:color w:themeColor="text1" w:val="000000"/>
          <w:szCs w:val="21"/>
          <w:lang w:eastAsia="zh-TW"/>
        </w:rPr>
        <w:t>5</w:t>
      </w:r>
      <w:r>
        <w:rPr>
          <w:rFonts w:ascii="宋体" w:hAnsi="宋体" w:eastAsia="宋体"/>
          <w:color w:themeColor="text1" w:val="000000"/>
          <w:szCs w:val="21"/>
          <w:lang w:eastAsia="zh-TW"/>
        </w:rPr>
        <w:t>年，可連任。</w:t>
      </w:r>
    </w:p>
    <w:p>
      <w:pPr>
        <w:pStyle w:val="11"/>
        <w:numPr>
          <w:ilvl w:val="0"/>
          <w:numId w:val="1"/>
        </w:numPr>
        <w:spacing w:lineRule="exact" w:line="400" w:before="156" w:after="156"/>
        <w:jc w:val="center"/>
        <w:outlineLvl w:val="0"/>
        <w:rPr>
          <w:rFonts w:ascii="宋体" w:hAnsi="宋体" w:eastAsia="宋体" w:cs="Times New Roman (正文 CS 字体)"/>
          <w:b/>
          <w:color w:themeColor="text1" w:val="000000"/>
          <w:sz w:val="32"/>
          <w:szCs w:val="32"/>
        </w:rPr>
      </w:pPr>
      <w:bookmarkStart w:id="28" w:name="__RefHeading___Toc7013_4090689648"/>
      <w:bookmarkStart w:id="29" w:name="_Toc147663416"/>
      <w:bookmarkEnd w:id="28"/>
      <w:r>
        <w:rPr>
          <w:rFonts w:ascii="宋体" w:hAnsi="宋体" w:cs="Times New Roman (正文 CS 字体)" w:eastAsia="宋体"/>
          <w:b/>
          <w:color w:themeColor="text1" w:val="000000"/>
          <w:sz w:val="32"/>
          <w:szCs w:val="32"/>
        </w:rPr>
        <w:t>立法院</w:t>
      </w:r>
      <w:bookmarkEnd w:id="29"/>
    </w:p>
    <w:p>
      <w:pPr>
        <w:pStyle w:val="11"/>
        <w:numPr>
          <w:ilvl w:val="0"/>
          <w:numId w:val="29"/>
        </w:numPr>
        <w:spacing w:lineRule="exact" w:line="300" w:before="156" w:after="0"/>
        <w:outlineLvl w:val="1"/>
        <w:rPr>
          <w:rFonts w:ascii="宋体" w:hAnsi="宋体" w:eastAsia="宋体"/>
          <w:b/>
          <w:color w:themeColor="text1" w:val="000000"/>
          <w:sz w:val="28"/>
          <w:szCs w:val="28"/>
        </w:rPr>
      </w:pPr>
      <w:bookmarkStart w:id="30" w:name="__RefHeading___Toc7015_4090689648"/>
      <w:bookmarkStart w:id="31" w:name="_Toc147663417"/>
      <w:bookmarkEnd w:id="30"/>
      <w:r>
        <w:rPr>
          <w:rFonts w:ascii="宋体" w:hAnsi="宋体" w:eastAsia="宋体"/>
          <w:b/>
          <w:color w:themeColor="text1" w:val="000000"/>
          <w:sz w:val="28"/>
          <w:szCs w:val="28"/>
          <w:lang w:eastAsia="zh-TW"/>
        </w:rPr>
        <w:t>國家立法院</w:t>
      </w:r>
      <w:bookmarkEnd w:id="31"/>
    </w:p>
    <w:p>
      <w:pPr>
        <w:pStyle w:val="11"/>
        <w:numPr>
          <w:ilvl w:val="0"/>
          <w:numId w:val="3"/>
        </w:numPr>
        <w:spacing w:lineRule="exact" w:line="300" w:before="0" w:after="156"/>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中華民族聯邦共和國設立法院，簡稱國家立法院，國家立法院設院長職位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個，由國家參議會現任參議員互選產生，每屆任期</w:t>
      </w:r>
      <w:r>
        <w:rPr>
          <w:rFonts w:eastAsia="宋体" w:ascii="宋体" w:hAnsi="宋体"/>
          <w:color w:themeColor="text1" w:val="000000"/>
          <w:szCs w:val="21"/>
          <w:lang w:eastAsia="zh-TW"/>
        </w:rPr>
        <w:t>5</w:t>
      </w:r>
      <w:r>
        <w:rPr>
          <w:rFonts w:ascii="宋体" w:hAnsi="宋体" w:eastAsia="宋体"/>
          <w:color w:themeColor="text1" w:val="000000"/>
          <w:szCs w:val="21"/>
          <w:lang w:eastAsia="zh-TW"/>
        </w:rPr>
        <w:t>年，任職不得超過</w:t>
      </w:r>
      <w:r>
        <w:rPr>
          <w:rFonts w:eastAsia="宋体" w:ascii="宋体" w:hAnsi="宋体"/>
          <w:color w:themeColor="text1" w:val="000000"/>
          <w:szCs w:val="21"/>
          <w:lang w:eastAsia="zh-TW"/>
        </w:rPr>
        <w:t>2</w:t>
      </w:r>
      <w:r>
        <w:rPr>
          <w:rFonts w:ascii="宋体" w:hAnsi="宋体" w:eastAsia="宋体"/>
          <w:color w:themeColor="text1" w:val="000000"/>
          <w:szCs w:val="21"/>
          <w:lang w:eastAsia="zh-TW"/>
        </w:rPr>
        <w:t>屆；國家立法院設副院長職位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個，由國家眾議會現任眾議員互選產生，每屆任期</w:t>
      </w:r>
      <w:r>
        <w:rPr>
          <w:rFonts w:eastAsia="宋体" w:ascii="宋体" w:hAnsi="宋体"/>
          <w:color w:themeColor="text1" w:val="000000"/>
          <w:szCs w:val="21"/>
          <w:lang w:eastAsia="zh-TW"/>
        </w:rPr>
        <w:t>3</w:t>
      </w:r>
      <w:r>
        <w:rPr>
          <w:rFonts w:ascii="宋体" w:hAnsi="宋体" w:eastAsia="宋体"/>
          <w:color w:themeColor="text1" w:val="000000"/>
          <w:szCs w:val="21"/>
          <w:lang w:eastAsia="zh-TW"/>
        </w:rPr>
        <w:t>年，任職不得超過</w:t>
      </w:r>
      <w:r>
        <w:rPr>
          <w:rFonts w:eastAsia="宋体" w:ascii="宋体" w:hAnsi="宋体"/>
          <w:color w:themeColor="text1" w:val="000000"/>
          <w:szCs w:val="21"/>
          <w:lang w:eastAsia="zh-TW"/>
        </w:rPr>
        <w:t>2</w:t>
      </w:r>
      <w:r>
        <w:rPr>
          <w:rFonts w:ascii="宋体" w:hAnsi="宋体" w:eastAsia="宋体"/>
          <w:color w:themeColor="text1" w:val="000000"/>
          <w:szCs w:val="21"/>
          <w:lang w:eastAsia="zh-TW"/>
        </w:rPr>
        <w:t>屆。</w:t>
      </w:r>
    </w:p>
    <w:p>
      <w:pPr>
        <w:pStyle w:val="11"/>
        <w:numPr>
          <w:ilvl w:val="0"/>
          <w:numId w:val="3"/>
        </w:numPr>
        <w:spacing w:lineRule="exact" w:line="300" w:before="0" w:after="156"/>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國家參議會設參議長職位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個，設副參議長職位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個，由國家參議會現任參議員互選產生，參議長和副參議長每屆任期</w:t>
      </w:r>
      <w:r>
        <w:rPr>
          <w:rFonts w:eastAsia="宋体" w:ascii="宋体" w:hAnsi="宋体"/>
          <w:color w:themeColor="text1" w:val="000000"/>
          <w:szCs w:val="21"/>
          <w:lang w:eastAsia="zh-TW"/>
        </w:rPr>
        <w:t>5</w:t>
      </w:r>
      <w:r>
        <w:rPr>
          <w:rFonts w:ascii="宋体" w:hAnsi="宋体" w:eastAsia="宋体"/>
          <w:color w:themeColor="text1" w:val="000000"/>
          <w:szCs w:val="21"/>
          <w:lang w:eastAsia="zh-TW"/>
        </w:rPr>
        <w:t>年，任職不得超過</w:t>
      </w:r>
      <w:r>
        <w:rPr>
          <w:rFonts w:eastAsia="宋体" w:ascii="宋体" w:hAnsi="宋体"/>
          <w:color w:themeColor="text1" w:val="000000"/>
          <w:szCs w:val="21"/>
          <w:lang w:eastAsia="zh-TW"/>
        </w:rPr>
        <w:t>2</w:t>
      </w:r>
      <w:r>
        <w:rPr>
          <w:rFonts w:ascii="宋体" w:hAnsi="宋体" w:eastAsia="宋体"/>
          <w:color w:themeColor="text1" w:val="000000"/>
          <w:szCs w:val="21"/>
          <w:lang w:eastAsia="zh-TW"/>
        </w:rPr>
        <w:t>屆。</w:t>
      </w:r>
    </w:p>
    <w:p>
      <w:pPr>
        <w:pStyle w:val="11"/>
        <w:numPr>
          <w:ilvl w:val="0"/>
          <w:numId w:val="3"/>
        </w:numPr>
        <w:spacing w:lineRule="exact" w:line="300"/>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國家參議會無權起草國家立法院法案草案，參議會有權力有義務審議眾議會提交的法案草案和國家教委會提交的教育類法案草案以及公職人員提交的人事任免職書。</w:t>
      </w:r>
    </w:p>
    <w:p>
      <w:pPr>
        <w:pStyle w:val="11"/>
        <w:numPr>
          <w:ilvl w:val="0"/>
          <w:numId w:val="30"/>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國家眾議會提交的常規案表決的法案草案，由國家參議會以常規案表決，常規案表決未通過的，眾議會可提交對該法案草案進行常規案二審表決，常規案二審表決未通過的即駁回。</w:t>
      </w:r>
    </w:p>
    <w:p>
      <w:pPr>
        <w:pStyle w:val="11"/>
        <w:numPr>
          <w:ilvl w:val="0"/>
          <w:numId w:val="30"/>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國家眾議會提交的重要案表決的法案草案，由國家參議會以重要案表決，重要案表決未通過的即駁回；國家眾議會提交的特別案表決的法案草案，由國家參議會以特別案表決，特別案表決未通過的即駁回。</w:t>
      </w:r>
    </w:p>
    <w:p>
      <w:pPr>
        <w:pStyle w:val="11"/>
        <w:numPr>
          <w:ilvl w:val="0"/>
          <w:numId w:val="30"/>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國家教委會提交的常規案表決的教育類法案草案，由國家參議會以常規案表決，常規案表決未通過的，教委會可提交對該法案草案進行常規案二審表決，常規案二審表決未通過的即駁回。</w:t>
      </w:r>
    </w:p>
    <w:p>
      <w:pPr>
        <w:pStyle w:val="11"/>
        <w:numPr>
          <w:ilvl w:val="0"/>
          <w:numId w:val="30"/>
        </w:numPr>
        <w:spacing w:lineRule="exact" w:line="300" w:before="0" w:after="156"/>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國家教委會提交的重要案表決的教育類法案草案，由國家參議會以重要案表決，重要案表決未通過的即駁回，教育類法案草案不適用於特別案表決程序。</w:t>
      </w:r>
    </w:p>
    <w:p>
      <w:pPr>
        <w:pStyle w:val="11"/>
        <w:numPr>
          <w:ilvl w:val="0"/>
          <w:numId w:val="3"/>
        </w:numPr>
        <w:spacing w:lineRule="exact" w:line="300" w:before="0" w:after="156"/>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國家眾議會設眾議長職位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個，設副眾議長職位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個，由國家眾議會現任眾議員互選產生，眾議長和副眾議長每屆任期</w:t>
      </w:r>
      <w:r>
        <w:rPr>
          <w:rFonts w:eastAsia="宋体" w:ascii="宋体" w:hAnsi="宋体"/>
          <w:color w:themeColor="text1" w:val="000000"/>
          <w:szCs w:val="21"/>
          <w:lang w:eastAsia="zh-TW"/>
        </w:rPr>
        <w:t>3</w:t>
      </w:r>
      <w:r>
        <w:rPr>
          <w:rFonts w:ascii="宋体" w:hAnsi="宋体" w:eastAsia="宋体"/>
          <w:color w:themeColor="text1" w:val="000000"/>
          <w:szCs w:val="21"/>
          <w:lang w:eastAsia="zh-TW"/>
        </w:rPr>
        <w:t>年，任職不得超過</w:t>
      </w:r>
      <w:r>
        <w:rPr>
          <w:rFonts w:eastAsia="宋体" w:ascii="宋体" w:hAnsi="宋体"/>
          <w:color w:themeColor="text1" w:val="000000"/>
          <w:szCs w:val="21"/>
          <w:lang w:eastAsia="zh-TW"/>
        </w:rPr>
        <w:t>2</w:t>
      </w:r>
      <w:r>
        <w:rPr>
          <w:rFonts w:ascii="宋体" w:hAnsi="宋体" w:eastAsia="宋体"/>
          <w:color w:themeColor="text1" w:val="000000"/>
          <w:szCs w:val="21"/>
          <w:lang w:eastAsia="zh-TW"/>
        </w:rPr>
        <w:t>屆。</w:t>
      </w:r>
    </w:p>
    <w:p>
      <w:pPr>
        <w:pStyle w:val="11"/>
        <w:numPr>
          <w:ilvl w:val="0"/>
          <w:numId w:val="3"/>
        </w:numPr>
        <w:spacing w:lineRule="exact" w:line="300"/>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國家眾議會負責起草全部特別案表決的國家立法院法案草案，並負責起草除教育類法案草案以外的重要案表決和常規案表決的國家立法院法案草案，眾議會無權對法案草案終審。</w:t>
      </w:r>
    </w:p>
    <w:p>
      <w:pPr>
        <w:pStyle w:val="11"/>
        <w:numPr>
          <w:ilvl w:val="0"/>
          <w:numId w:val="31"/>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國家眾議會眾議員提交的常規案表決的法案草案，由國家眾議會以常規案表決，常規案表決未通過的，眾議員可提交對該法案草案進行常規案二審表決，常規案二審表決未通過的即駁回。</w:t>
      </w:r>
    </w:p>
    <w:p>
      <w:pPr>
        <w:pStyle w:val="11"/>
        <w:numPr>
          <w:ilvl w:val="0"/>
          <w:numId w:val="31"/>
        </w:numPr>
        <w:spacing w:lineRule="exact" w:line="300" w:before="0" w:after="156"/>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國家眾議會眾議員提交的重要案表決的法案草案，由國家眾議會以重要案表決，重要案表決未通過的即駁回；國家眾議會眾議員提交的特別案表決的法案草案，由國家眾議會以特別案表決，特別案表決未通過的即駁回。</w:t>
      </w:r>
    </w:p>
    <w:p>
      <w:pPr>
        <w:pStyle w:val="11"/>
        <w:numPr>
          <w:ilvl w:val="0"/>
          <w:numId w:val="3"/>
        </w:numPr>
        <w:spacing w:lineRule="exact" w:line="300" w:before="0" w:after="156"/>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國家立法院議員，由各省級行政區改選，國家立法院院長、副院長、參議長、副參議長、參議員、眾議長、副眾議長和眾議員，任期內不得兼任除國家立法院所屬職位以外的其他職位。</w:t>
      </w:r>
    </w:p>
    <w:p>
      <w:pPr>
        <w:pStyle w:val="11"/>
        <w:numPr>
          <w:ilvl w:val="0"/>
          <w:numId w:val="29"/>
        </w:numPr>
        <w:spacing w:lineRule="exact" w:line="300" w:before="156" w:after="0"/>
        <w:outlineLvl w:val="1"/>
        <w:rPr>
          <w:rFonts w:ascii="宋体" w:hAnsi="宋体" w:eastAsia="宋体"/>
          <w:b/>
          <w:color w:themeColor="text1" w:val="000000"/>
          <w:sz w:val="28"/>
          <w:szCs w:val="28"/>
        </w:rPr>
      </w:pPr>
      <w:bookmarkStart w:id="32" w:name="__RefHeading___Toc7017_4090689648"/>
      <w:bookmarkStart w:id="33" w:name="_Toc147663418"/>
      <w:bookmarkEnd w:id="32"/>
      <w:r>
        <w:rPr>
          <w:rFonts w:ascii="宋体" w:hAnsi="宋体" w:eastAsia="宋体"/>
          <w:b/>
          <w:color w:themeColor="text1" w:val="000000"/>
          <w:sz w:val="28"/>
          <w:szCs w:val="28"/>
        </w:rPr>
        <w:t>省立法院</w:t>
      </w:r>
      <w:bookmarkEnd w:id="33"/>
    </w:p>
    <w:p>
      <w:pPr>
        <w:pStyle w:val="11"/>
        <w:numPr>
          <w:ilvl w:val="0"/>
          <w:numId w:val="3"/>
        </w:numPr>
        <w:spacing w:lineRule="exact" w:line="300" w:before="0" w:after="156"/>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中華民族聯邦共和國省級行政區設立法院，簡稱省立法院，省立法院設院長職位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個，由省參議會現任參議員互選產生，每屆任期</w:t>
      </w:r>
      <w:r>
        <w:rPr>
          <w:rFonts w:eastAsia="宋体" w:ascii="宋体" w:hAnsi="宋体"/>
          <w:color w:themeColor="text1" w:val="000000"/>
          <w:szCs w:val="21"/>
          <w:lang w:eastAsia="zh-TW"/>
        </w:rPr>
        <w:t>5</w:t>
      </w:r>
      <w:r>
        <w:rPr>
          <w:rFonts w:ascii="宋体" w:hAnsi="宋体" w:eastAsia="宋体"/>
          <w:color w:themeColor="text1" w:val="000000"/>
          <w:szCs w:val="21"/>
          <w:lang w:eastAsia="zh-TW"/>
        </w:rPr>
        <w:t>年，任職不得超過</w:t>
      </w:r>
      <w:r>
        <w:rPr>
          <w:rFonts w:eastAsia="宋体" w:ascii="宋体" w:hAnsi="宋体"/>
          <w:color w:themeColor="text1" w:val="000000"/>
          <w:szCs w:val="21"/>
          <w:lang w:eastAsia="zh-TW"/>
        </w:rPr>
        <w:t>2</w:t>
      </w:r>
      <w:r>
        <w:rPr>
          <w:rFonts w:ascii="宋体" w:hAnsi="宋体" w:eastAsia="宋体"/>
          <w:color w:themeColor="text1" w:val="000000"/>
          <w:szCs w:val="21"/>
          <w:lang w:eastAsia="zh-TW"/>
        </w:rPr>
        <w:t>屆；省立法院設副院長職位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個，由省眾議會現任眾議員互選產生，每屆任期</w:t>
      </w:r>
      <w:r>
        <w:rPr>
          <w:rFonts w:eastAsia="宋体" w:ascii="宋体" w:hAnsi="宋体"/>
          <w:color w:themeColor="text1" w:val="000000"/>
          <w:szCs w:val="21"/>
          <w:lang w:eastAsia="zh-TW"/>
        </w:rPr>
        <w:t>3</w:t>
      </w:r>
      <w:r>
        <w:rPr>
          <w:rFonts w:ascii="宋体" w:hAnsi="宋体" w:eastAsia="宋体"/>
          <w:color w:themeColor="text1" w:val="000000"/>
          <w:szCs w:val="21"/>
          <w:lang w:eastAsia="zh-TW"/>
        </w:rPr>
        <w:t>年，任職不得超過</w:t>
      </w:r>
      <w:r>
        <w:rPr>
          <w:rFonts w:eastAsia="宋体" w:ascii="宋体" w:hAnsi="宋体"/>
          <w:color w:themeColor="text1" w:val="000000"/>
          <w:szCs w:val="21"/>
          <w:lang w:eastAsia="zh-TW"/>
        </w:rPr>
        <w:t>2</w:t>
      </w:r>
      <w:r>
        <w:rPr>
          <w:rFonts w:ascii="宋体" w:hAnsi="宋体" w:eastAsia="宋体"/>
          <w:color w:themeColor="text1" w:val="000000"/>
          <w:szCs w:val="21"/>
          <w:lang w:eastAsia="zh-TW"/>
        </w:rPr>
        <w:t>屆。</w:t>
      </w:r>
    </w:p>
    <w:p>
      <w:pPr>
        <w:pStyle w:val="11"/>
        <w:numPr>
          <w:ilvl w:val="0"/>
          <w:numId w:val="3"/>
        </w:numPr>
        <w:spacing w:lineRule="exact" w:line="300" w:before="0" w:after="156"/>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省立法院下設參議員議政會，簡稱省參議會，省參議會設參議長職位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個，設副參議長職位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個，參議長、副參議長和參議員每屆任期</w:t>
      </w:r>
      <w:r>
        <w:rPr>
          <w:rFonts w:eastAsia="宋体" w:ascii="宋体" w:hAnsi="宋体"/>
          <w:color w:themeColor="text1" w:val="000000"/>
          <w:szCs w:val="21"/>
          <w:lang w:eastAsia="zh-TW"/>
        </w:rPr>
        <w:t>5</w:t>
      </w:r>
      <w:r>
        <w:rPr>
          <w:rFonts w:ascii="宋体" w:hAnsi="宋体" w:eastAsia="宋体"/>
          <w:color w:themeColor="text1" w:val="000000"/>
          <w:szCs w:val="21"/>
          <w:lang w:eastAsia="zh-TW"/>
        </w:rPr>
        <w:t>年，任職不得超過</w:t>
      </w:r>
      <w:r>
        <w:rPr>
          <w:rFonts w:eastAsia="宋体" w:ascii="宋体" w:hAnsi="宋体"/>
          <w:color w:themeColor="text1" w:val="000000"/>
          <w:szCs w:val="21"/>
          <w:lang w:eastAsia="zh-TW"/>
        </w:rPr>
        <w:t>2</w:t>
      </w:r>
      <w:r>
        <w:rPr>
          <w:rFonts w:ascii="宋体" w:hAnsi="宋体" w:eastAsia="宋体"/>
          <w:color w:themeColor="text1" w:val="000000"/>
          <w:szCs w:val="21"/>
          <w:lang w:eastAsia="zh-TW"/>
        </w:rPr>
        <w:t>屆；省參議會參議長和副參議長由省參議會現任參議員互選產生，參議員由該省所轄每個市級行政區的公民從該市現任市自治會委員當中選舉產生，每個市級行政區限選舉產生</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名省參議會參議員。</w:t>
      </w:r>
    </w:p>
    <w:p>
      <w:pPr>
        <w:pStyle w:val="11"/>
        <w:numPr>
          <w:ilvl w:val="0"/>
          <w:numId w:val="3"/>
        </w:numPr>
        <w:spacing w:lineRule="exact" w:line="300"/>
        <w:ind w:hanging="945" w:left="94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省參議會無權起草省立法院法案草案，省參議會有權力有義務審議省眾議會提交的省立法院法案草案以及公職人員提交的人事任免職書。</w:t>
      </w:r>
    </w:p>
    <w:p>
      <w:pPr>
        <w:pStyle w:val="11"/>
        <w:numPr>
          <w:ilvl w:val="0"/>
          <w:numId w:val="32"/>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省眾議會提交的常規案表決的法案草案，由省參議會以常規案表決，常規案表決未通過的，眾議會可提交對該法案草案進行常規案二審表決，常規案二審表決未通過的即駁回。</w:t>
      </w:r>
    </w:p>
    <w:p>
      <w:pPr>
        <w:pStyle w:val="11"/>
        <w:numPr>
          <w:ilvl w:val="0"/>
          <w:numId w:val="32"/>
        </w:numPr>
        <w:spacing w:lineRule="exact" w:line="300" w:before="0" w:after="156"/>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省眾議會提交的重要案表決的法案草案，由省參議會以重要案表決，重要案表決未通過的即駁回；省眾議會提交的特別案表決的法案草案，由省參議會以特別案表決，特別案表決未通過的即駁回。</w:t>
      </w:r>
    </w:p>
    <w:p>
      <w:pPr>
        <w:pStyle w:val="11"/>
        <w:numPr>
          <w:ilvl w:val="0"/>
          <w:numId w:val="3"/>
        </w:numPr>
        <w:spacing w:lineRule="exact" w:line="300" w:before="0" w:after="156"/>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省立法院下設眾議員議政會，簡稱省眾議會，省眾議會設眾議長職位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個，設副眾議長職位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個，眾議長、副眾議長和眾議員每屆任期</w:t>
      </w:r>
      <w:r>
        <w:rPr>
          <w:rFonts w:eastAsia="宋体" w:ascii="宋体" w:hAnsi="宋体"/>
          <w:color w:themeColor="text1" w:val="000000"/>
          <w:szCs w:val="21"/>
          <w:lang w:eastAsia="zh-TW"/>
        </w:rPr>
        <w:t>3</w:t>
      </w:r>
      <w:r>
        <w:rPr>
          <w:rFonts w:ascii="宋体" w:hAnsi="宋体" w:eastAsia="宋体"/>
          <w:color w:themeColor="text1" w:val="000000"/>
          <w:szCs w:val="21"/>
          <w:lang w:eastAsia="zh-TW"/>
        </w:rPr>
        <w:t>年，任職不得超過</w:t>
      </w:r>
      <w:r>
        <w:rPr>
          <w:rFonts w:eastAsia="宋体" w:ascii="宋体" w:hAnsi="宋体"/>
          <w:color w:themeColor="text1" w:val="000000"/>
          <w:szCs w:val="21"/>
          <w:lang w:eastAsia="zh-TW"/>
        </w:rPr>
        <w:t>2</w:t>
      </w:r>
      <w:r>
        <w:rPr>
          <w:rFonts w:ascii="宋体" w:hAnsi="宋体" w:eastAsia="宋体"/>
          <w:color w:themeColor="text1" w:val="000000"/>
          <w:szCs w:val="21"/>
          <w:lang w:eastAsia="zh-TW"/>
        </w:rPr>
        <w:t>屆；省眾議會眾議長和副眾議長由省眾議會現任眾議員互選產生，眾議員由該省所轄每個市級行政區的公民從該市現任市立法會委員當中選舉產生；該市轄區內人口在</w:t>
      </w:r>
      <w:r>
        <w:rPr>
          <w:rFonts w:eastAsia="宋体" w:ascii="宋体" w:hAnsi="宋体"/>
          <w:color w:themeColor="text1" w:val="000000"/>
          <w:szCs w:val="21"/>
          <w:lang w:eastAsia="zh-TW"/>
        </w:rPr>
        <w:t>100</w:t>
      </w:r>
      <w:r>
        <w:rPr>
          <w:rFonts w:ascii="宋体" w:hAnsi="宋体" w:eastAsia="宋体"/>
          <w:color w:themeColor="text1" w:val="000000"/>
          <w:szCs w:val="21"/>
          <w:lang w:eastAsia="zh-TW"/>
        </w:rPr>
        <w:t>萬人以下的，限選舉產生</w:t>
      </w:r>
      <w:r>
        <w:rPr>
          <w:rFonts w:eastAsia="宋体" w:ascii="宋体" w:hAnsi="宋体"/>
          <w:color w:themeColor="text1" w:val="000000"/>
          <w:szCs w:val="21"/>
          <w:lang w:eastAsia="zh-TW"/>
        </w:rPr>
        <w:t>3</w:t>
      </w:r>
      <w:r>
        <w:rPr>
          <w:rFonts w:ascii="宋体" w:hAnsi="宋体" w:eastAsia="宋体"/>
          <w:color w:themeColor="text1" w:val="000000"/>
          <w:szCs w:val="21"/>
          <w:lang w:eastAsia="zh-TW"/>
        </w:rPr>
        <w:t>名省眾議會眾議員，該市轄區內人口超過</w:t>
      </w:r>
      <w:r>
        <w:rPr>
          <w:rFonts w:eastAsia="宋体" w:ascii="宋体" w:hAnsi="宋体"/>
          <w:color w:themeColor="text1" w:val="000000"/>
          <w:szCs w:val="21"/>
          <w:lang w:eastAsia="zh-TW"/>
        </w:rPr>
        <w:t>100</w:t>
      </w:r>
      <w:r>
        <w:rPr>
          <w:rFonts w:ascii="宋体" w:hAnsi="宋体" w:eastAsia="宋体"/>
          <w:color w:themeColor="text1" w:val="000000"/>
          <w:szCs w:val="21"/>
          <w:lang w:eastAsia="zh-TW"/>
        </w:rPr>
        <w:t>萬人的，後每滿</w:t>
      </w:r>
      <w:r>
        <w:rPr>
          <w:rFonts w:eastAsia="宋体" w:ascii="宋体" w:hAnsi="宋体"/>
          <w:color w:themeColor="text1" w:val="000000"/>
          <w:szCs w:val="21"/>
          <w:lang w:eastAsia="zh-TW"/>
        </w:rPr>
        <w:t>100</w:t>
      </w:r>
      <w:r>
        <w:rPr>
          <w:rFonts w:ascii="宋体" w:hAnsi="宋体" w:eastAsia="宋体"/>
          <w:color w:themeColor="text1" w:val="000000"/>
          <w:szCs w:val="21"/>
          <w:lang w:eastAsia="zh-TW"/>
        </w:rPr>
        <w:t>萬人增選</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名省眾議會眾議員，最多可增選至</w:t>
      </w:r>
      <w:r>
        <w:rPr>
          <w:rFonts w:eastAsia="宋体" w:ascii="宋体" w:hAnsi="宋体"/>
          <w:color w:themeColor="text1" w:val="000000"/>
          <w:szCs w:val="21"/>
          <w:lang w:eastAsia="zh-TW"/>
        </w:rPr>
        <w:t>7</w:t>
      </w:r>
      <w:r>
        <w:rPr>
          <w:rFonts w:ascii="宋体" w:hAnsi="宋体" w:eastAsia="宋体"/>
          <w:color w:themeColor="text1" w:val="000000"/>
          <w:szCs w:val="21"/>
          <w:lang w:eastAsia="zh-TW"/>
        </w:rPr>
        <w:t>名。</w:t>
      </w:r>
    </w:p>
    <w:p>
      <w:pPr>
        <w:pStyle w:val="11"/>
        <w:numPr>
          <w:ilvl w:val="0"/>
          <w:numId w:val="3"/>
        </w:numPr>
        <w:spacing w:lineRule="exact" w:line="300"/>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省眾議會負責起草全部特別案表決、重要案表決和常規案表決的省立法院法案草案，省眾議會無權對省立法院法案草案終審。</w:t>
      </w:r>
    </w:p>
    <w:p>
      <w:pPr>
        <w:pStyle w:val="11"/>
        <w:numPr>
          <w:ilvl w:val="0"/>
          <w:numId w:val="33"/>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省眾議會眾議員提交的常規案表決的法案草案，由省眾議會以常規案表決，常規案表決未通過的，眾議員可提交對該法案草案進行常規案二審表決，常規案二審表決未通過的即駁回。</w:t>
      </w:r>
    </w:p>
    <w:p>
      <w:pPr>
        <w:pStyle w:val="11"/>
        <w:numPr>
          <w:ilvl w:val="0"/>
          <w:numId w:val="33"/>
        </w:numPr>
        <w:spacing w:lineRule="exact" w:line="300" w:before="0" w:after="156"/>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省眾議會眾議員提交的重要案表決的法案草案，由省眾議會以重要案表決，重要案表決未通過的即駁回；省眾議會眾議員提交的特別案表決的法案草案，由省眾議會以特別案表決，特別案表決未通過的即駁回。</w:t>
      </w:r>
    </w:p>
    <w:p>
      <w:pPr>
        <w:pStyle w:val="11"/>
        <w:numPr>
          <w:ilvl w:val="0"/>
          <w:numId w:val="3"/>
        </w:numPr>
        <w:spacing w:lineRule="exact" w:line="300" w:before="0" w:after="156"/>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省立法院議員，由所屬各市級行政區改選，省立法院院長、副院長、參議長、副參議長、參議員、眾議長、副眾議長和眾議員，任期內不得兼任除該省立法院所屬職位以外的其他職位。</w:t>
      </w:r>
    </w:p>
    <w:p>
      <w:pPr>
        <w:pStyle w:val="11"/>
        <w:numPr>
          <w:ilvl w:val="0"/>
          <w:numId w:val="29"/>
        </w:numPr>
        <w:spacing w:lineRule="exact" w:line="300" w:before="156" w:after="0"/>
        <w:outlineLvl w:val="1"/>
        <w:rPr>
          <w:rFonts w:ascii="宋体" w:hAnsi="宋体" w:eastAsia="宋体"/>
          <w:b/>
          <w:color w:themeColor="text1" w:val="000000"/>
          <w:sz w:val="28"/>
          <w:szCs w:val="28"/>
        </w:rPr>
      </w:pPr>
      <w:bookmarkStart w:id="34" w:name="__RefHeading___Toc7019_4090689648"/>
      <w:bookmarkStart w:id="35" w:name="_Toc147663419"/>
      <w:bookmarkEnd w:id="34"/>
      <w:r>
        <w:rPr>
          <w:rFonts w:ascii="宋体" w:hAnsi="宋体" w:eastAsia="宋体"/>
          <w:b/>
          <w:color w:themeColor="text1" w:val="000000"/>
          <w:sz w:val="28"/>
          <w:szCs w:val="28"/>
        </w:rPr>
        <w:t>市立法</w:t>
      </w:r>
      <w:r>
        <w:rPr>
          <w:rFonts w:ascii="宋体" w:hAnsi="宋体" w:eastAsia="宋体"/>
          <w:b/>
          <w:color w:themeColor="text1" w:val="000000"/>
          <w:sz w:val="28"/>
          <w:szCs w:val="28"/>
          <w:lang w:eastAsia="zh-TW"/>
        </w:rPr>
        <w:t>會</w:t>
      </w:r>
      <w:bookmarkEnd w:id="35"/>
    </w:p>
    <w:p>
      <w:pPr>
        <w:pStyle w:val="11"/>
        <w:numPr>
          <w:ilvl w:val="0"/>
          <w:numId w:val="3"/>
        </w:numPr>
        <w:spacing w:lineRule="exact" w:line="300" w:before="0" w:after="156"/>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中華民族聯邦共和國市級行政區設市公民立法委員會，簡稱市立法會，市立法會委員由該市所轄每個鎮級行政區的公民從該鎮現任鎮自治會委員當中選舉產生，該鎮轄區內人口在</w:t>
      </w:r>
      <w:r>
        <w:rPr>
          <w:rFonts w:eastAsia="宋体" w:ascii="宋体" w:hAnsi="宋体"/>
          <w:color w:themeColor="text1" w:val="000000"/>
          <w:szCs w:val="21"/>
          <w:lang w:eastAsia="zh-TW"/>
        </w:rPr>
        <w:t>10</w:t>
      </w:r>
      <w:r>
        <w:rPr>
          <w:rFonts w:ascii="宋体" w:hAnsi="宋体" w:eastAsia="宋体"/>
          <w:color w:themeColor="text1" w:val="000000"/>
          <w:szCs w:val="21"/>
          <w:lang w:eastAsia="zh-TW"/>
        </w:rPr>
        <w:t>萬人以下的，限選舉產生</w:t>
      </w:r>
      <w:r>
        <w:rPr>
          <w:rFonts w:eastAsia="宋体" w:ascii="宋体" w:hAnsi="宋体"/>
          <w:color w:themeColor="text1" w:val="000000"/>
          <w:szCs w:val="21"/>
          <w:lang w:eastAsia="zh-TW"/>
        </w:rPr>
        <w:t>3</w:t>
      </w:r>
      <w:r>
        <w:rPr>
          <w:rFonts w:ascii="宋体" w:hAnsi="宋体" w:eastAsia="宋体"/>
          <w:color w:themeColor="text1" w:val="000000"/>
          <w:szCs w:val="21"/>
          <w:lang w:eastAsia="zh-TW"/>
        </w:rPr>
        <w:t>名市立法會委員；該鎮轄區內人口超過</w:t>
      </w:r>
      <w:r>
        <w:rPr>
          <w:rFonts w:eastAsia="宋体" w:ascii="宋体" w:hAnsi="宋体"/>
          <w:color w:themeColor="text1" w:val="000000"/>
          <w:szCs w:val="21"/>
          <w:lang w:eastAsia="zh-TW"/>
        </w:rPr>
        <w:t>10</w:t>
      </w:r>
      <w:r>
        <w:rPr>
          <w:rFonts w:ascii="宋体" w:hAnsi="宋体" w:eastAsia="宋体"/>
          <w:color w:themeColor="text1" w:val="000000"/>
          <w:szCs w:val="21"/>
          <w:lang w:eastAsia="zh-TW"/>
        </w:rPr>
        <w:t>萬人的，後每滿</w:t>
      </w:r>
      <w:r>
        <w:rPr>
          <w:rFonts w:eastAsia="宋体" w:ascii="宋体" w:hAnsi="宋体"/>
          <w:color w:themeColor="text1" w:val="000000"/>
          <w:szCs w:val="21"/>
          <w:lang w:eastAsia="zh-TW"/>
        </w:rPr>
        <w:t>10</w:t>
      </w:r>
      <w:r>
        <w:rPr>
          <w:rFonts w:ascii="宋体" w:hAnsi="宋体" w:eastAsia="宋体"/>
          <w:color w:themeColor="text1" w:val="000000"/>
          <w:szCs w:val="21"/>
          <w:lang w:eastAsia="zh-TW"/>
        </w:rPr>
        <w:t>萬人增選</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名市立法會委員，最多可增選至</w:t>
      </w:r>
      <w:r>
        <w:rPr>
          <w:rFonts w:eastAsia="宋体" w:ascii="宋体" w:hAnsi="宋体"/>
          <w:color w:themeColor="text1" w:val="000000"/>
          <w:szCs w:val="21"/>
          <w:lang w:eastAsia="zh-TW"/>
        </w:rPr>
        <w:t>7</w:t>
      </w:r>
      <w:r>
        <w:rPr>
          <w:rFonts w:ascii="宋体" w:hAnsi="宋体" w:eastAsia="宋体"/>
          <w:color w:themeColor="text1" w:val="000000"/>
          <w:szCs w:val="21"/>
          <w:lang w:eastAsia="zh-TW"/>
        </w:rPr>
        <w:t>名。</w:t>
      </w:r>
    </w:p>
    <w:p>
      <w:pPr>
        <w:pStyle w:val="11"/>
        <w:numPr>
          <w:ilvl w:val="0"/>
          <w:numId w:val="3"/>
        </w:numPr>
        <w:spacing w:lineRule="exact" w:line="300" w:before="0" w:after="156"/>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市立法會設主席職位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個，設副主席職位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個，由該市立法會現任委員互選產生；市立法會主席、副主席和委員每屆任期</w:t>
      </w:r>
      <w:r>
        <w:rPr>
          <w:rFonts w:eastAsia="宋体" w:ascii="宋体" w:hAnsi="宋体"/>
          <w:color w:themeColor="text1" w:val="000000"/>
          <w:szCs w:val="21"/>
          <w:lang w:eastAsia="zh-TW"/>
        </w:rPr>
        <w:t>3</w:t>
      </w:r>
      <w:r>
        <w:rPr>
          <w:rFonts w:ascii="宋体" w:hAnsi="宋体" w:eastAsia="宋体"/>
          <w:color w:themeColor="text1" w:val="000000"/>
          <w:szCs w:val="21"/>
          <w:lang w:eastAsia="zh-TW"/>
        </w:rPr>
        <w:t>年，任職不得超過</w:t>
      </w:r>
      <w:r>
        <w:rPr>
          <w:rFonts w:eastAsia="宋体" w:ascii="宋体" w:hAnsi="宋体"/>
          <w:color w:themeColor="text1" w:val="000000"/>
          <w:szCs w:val="21"/>
          <w:lang w:eastAsia="zh-TW"/>
        </w:rPr>
        <w:t>2</w:t>
      </w:r>
      <w:r>
        <w:rPr>
          <w:rFonts w:ascii="宋体" w:hAnsi="宋体" w:eastAsia="宋体"/>
          <w:color w:themeColor="text1" w:val="000000"/>
          <w:szCs w:val="21"/>
          <w:lang w:eastAsia="zh-TW"/>
        </w:rPr>
        <w:t>屆。</w:t>
      </w:r>
    </w:p>
    <w:p>
      <w:pPr>
        <w:pStyle w:val="11"/>
        <w:numPr>
          <w:ilvl w:val="0"/>
          <w:numId w:val="3"/>
        </w:numPr>
        <w:spacing w:lineRule="exact" w:line="300"/>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護憲大法官有權對市立法會發起違憲指控聽證會，護憲大法官發起市立法會違憲指控聽證會的，全體委員必須參與聽證會，違憲指控聽證會期間，市立法會暫時失去一切職權。</w:t>
      </w:r>
    </w:p>
    <w:p>
      <w:pPr>
        <w:pStyle w:val="11"/>
        <w:numPr>
          <w:ilvl w:val="0"/>
          <w:numId w:val="34"/>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市立法會違憲指控聽證會後，護憲大法官放棄發起違憲司法審查的，其市立法會的職權恢復；市立法會違憲指控聽證會後，護憲大法官發起違憲司法審查的，立即解散該屆市立法會，並由公民選舉重組。</w:t>
      </w:r>
    </w:p>
    <w:p>
      <w:pPr>
        <w:pStyle w:val="11"/>
        <w:numPr>
          <w:ilvl w:val="0"/>
          <w:numId w:val="34"/>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護憲大法官有權對市立法會任意委員發起違憲指控聽證會，違憲指控聽證會期間，受違憲指控的委員暫時失去委員職權；違憲指控聽證會後護憲大法官放棄發起違憲司法審查的，其市立法會委員的職權恢復；違憲指控聽證會後護憲大法官發起違憲司法審查的，其市立法會委員的權責立即失效，並由公民重新選舉。</w:t>
      </w:r>
    </w:p>
    <w:p>
      <w:pPr>
        <w:pStyle w:val="11"/>
        <w:numPr>
          <w:ilvl w:val="0"/>
          <w:numId w:val="34"/>
        </w:numPr>
        <w:spacing w:lineRule="exact" w:line="300" w:before="0" w:after="156"/>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由護憲大法官發起的市立法會違憲司法審查及市立法會委員違憲司法審查由國家司法院負責審查，經國家司法院審判後，市立法會委員違憲罪名成立的，立即永久剝奪其任職公職人員的資格，其違憲罪名不成立的，恢復其自由公民。經國家司法院審判後，該市該屆市立法會違憲罪名成立的，立即永久剝奪該市該屆市立法會所有委員任職公職人員的資格。</w:t>
      </w:r>
    </w:p>
    <w:p>
      <w:pPr>
        <w:pStyle w:val="11"/>
        <w:numPr>
          <w:ilvl w:val="0"/>
          <w:numId w:val="3"/>
        </w:numPr>
        <w:spacing w:lineRule="exact" w:line="300"/>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市立法會委員，由所屬各鎮級行政區改選，市立法會主席、副主席和委員，任期內不得兼任除該市立法會所屬職位以外的其他職位。</w:t>
      </w:r>
    </w:p>
    <w:p>
      <w:pPr>
        <w:pStyle w:val="11"/>
        <w:numPr>
          <w:ilvl w:val="0"/>
          <w:numId w:val="1"/>
        </w:numPr>
        <w:spacing w:lineRule="exact" w:line="400" w:before="156" w:after="156"/>
        <w:jc w:val="center"/>
        <w:outlineLvl w:val="0"/>
        <w:rPr>
          <w:rFonts w:ascii="宋体" w:hAnsi="宋体" w:eastAsia="宋体" w:cs="Times New Roman (正文 CS 字体)"/>
          <w:b/>
          <w:color w:themeColor="text1" w:val="000000"/>
          <w:sz w:val="32"/>
          <w:szCs w:val="32"/>
        </w:rPr>
      </w:pPr>
      <w:bookmarkStart w:id="36" w:name="__RefHeading___Toc7021_4090689648"/>
      <w:bookmarkStart w:id="37" w:name="_Toc147663420"/>
      <w:bookmarkEnd w:id="36"/>
      <w:r>
        <w:rPr>
          <w:rFonts w:ascii="宋体" w:hAnsi="宋体" w:cs="Times New Roman (正文 CS 字体)" w:eastAsia="宋体"/>
          <w:b/>
          <w:color w:themeColor="text1" w:val="000000"/>
          <w:sz w:val="32"/>
          <w:szCs w:val="32"/>
        </w:rPr>
        <w:t>司法院</w:t>
      </w:r>
      <w:bookmarkEnd w:id="37"/>
    </w:p>
    <w:p>
      <w:pPr>
        <w:pStyle w:val="11"/>
        <w:numPr>
          <w:ilvl w:val="0"/>
          <w:numId w:val="35"/>
        </w:numPr>
        <w:spacing w:lineRule="exact" w:line="300" w:before="156" w:after="0"/>
        <w:outlineLvl w:val="1"/>
        <w:rPr>
          <w:rFonts w:ascii="宋体" w:hAnsi="宋体" w:eastAsia="宋体"/>
          <w:b/>
          <w:color w:themeColor="text1" w:val="000000"/>
          <w:sz w:val="28"/>
          <w:szCs w:val="28"/>
        </w:rPr>
      </w:pPr>
      <w:bookmarkStart w:id="38" w:name="__RefHeading___Toc7023_4090689648"/>
      <w:bookmarkStart w:id="39" w:name="_Toc147663421"/>
      <w:bookmarkEnd w:id="38"/>
      <w:r>
        <w:rPr>
          <w:rFonts w:ascii="宋体" w:hAnsi="宋体" w:eastAsia="宋体"/>
          <w:b/>
          <w:color w:themeColor="text1" w:val="000000"/>
          <w:sz w:val="28"/>
          <w:szCs w:val="28"/>
          <w:lang w:eastAsia="zh-TW"/>
        </w:rPr>
        <w:t>國家司法院</w:t>
      </w:r>
      <w:bookmarkEnd w:id="39"/>
    </w:p>
    <w:p>
      <w:pPr>
        <w:pStyle w:val="11"/>
        <w:numPr>
          <w:ilvl w:val="0"/>
          <w:numId w:val="3"/>
        </w:numPr>
        <w:spacing w:lineRule="exact" w:line="300"/>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中華民族聯邦共和國設司法院，簡稱國家司法院，國家司法院設院長職位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個，設副院長職位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個，由護憲大法官提名，院長和副院長每屆任期</w:t>
      </w:r>
      <w:r>
        <w:rPr>
          <w:rFonts w:eastAsia="宋体" w:ascii="宋体" w:hAnsi="宋体"/>
          <w:color w:themeColor="text1" w:val="000000"/>
          <w:szCs w:val="21"/>
          <w:lang w:eastAsia="zh-TW"/>
        </w:rPr>
        <w:t>5</w:t>
      </w:r>
      <w:r>
        <w:rPr>
          <w:rFonts w:ascii="宋体" w:hAnsi="宋体" w:eastAsia="宋体"/>
          <w:color w:themeColor="text1" w:val="000000"/>
          <w:szCs w:val="21"/>
          <w:lang w:eastAsia="zh-TW"/>
        </w:rPr>
        <w:t>年，任職不得超過</w:t>
      </w:r>
      <w:r>
        <w:rPr>
          <w:rFonts w:eastAsia="宋体" w:ascii="宋体" w:hAnsi="宋体"/>
          <w:color w:themeColor="text1" w:val="000000"/>
          <w:szCs w:val="21"/>
          <w:lang w:eastAsia="zh-TW"/>
        </w:rPr>
        <w:t>2</w:t>
      </w:r>
      <w:r>
        <w:rPr>
          <w:rFonts w:ascii="宋体" w:hAnsi="宋体" w:eastAsia="宋体"/>
          <w:color w:themeColor="text1" w:val="000000"/>
          <w:szCs w:val="21"/>
          <w:lang w:eastAsia="zh-TW"/>
        </w:rPr>
        <w:t>屆。</w:t>
      </w:r>
    </w:p>
    <w:p>
      <w:pPr>
        <w:pStyle w:val="11"/>
        <w:numPr>
          <w:ilvl w:val="0"/>
          <w:numId w:val="36"/>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護憲大法官提名的國家司法院院長和副院長，由國家參議會以常規案表決任免產生，常規案表決未通過的由提名人發起常規案二審表決，常規案二審表決未通過的即駁回，駁回的由提名人另選被提名人。</w:t>
      </w:r>
    </w:p>
    <w:p>
      <w:pPr>
        <w:pStyle w:val="11"/>
        <w:numPr>
          <w:ilvl w:val="0"/>
          <w:numId w:val="36"/>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護憲大法官提名的國家司法院院長和副院長，經國家參議會三次常規案二審表決仍未通過的，護憲大法官可直接提名並任免國家司法院院長和副院長。</w:t>
      </w:r>
    </w:p>
    <w:p>
      <w:pPr>
        <w:pStyle w:val="11"/>
        <w:numPr>
          <w:ilvl w:val="0"/>
          <w:numId w:val="36"/>
        </w:numPr>
        <w:spacing w:lineRule="exact" w:line="300" w:before="0" w:after="156"/>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國家司法院院長和副院長必須是年滿</w:t>
      </w:r>
      <w:r>
        <w:rPr>
          <w:rFonts w:eastAsia="宋体" w:ascii="宋体" w:hAnsi="宋体"/>
          <w:color w:themeColor="text1" w:val="000000"/>
          <w:szCs w:val="21"/>
          <w:lang w:eastAsia="zh-TW"/>
        </w:rPr>
        <w:t>35</w:t>
      </w:r>
      <w:r>
        <w:rPr>
          <w:rFonts w:ascii="宋体" w:hAnsi="宋体" w:eastAsia="宋体"/>
          <w:color w:themeColor="text1" w:val="000000"/>
          <w:szCs w:val="21"/>
          <w:lang w:eastAsia="zh-TW"/>
        </w:rPr>
        <w:t>週歲的中華民族聯邦共和國公民，且必須是出生在中華民族聯邦共和國境內，並在境內生活</w:t>
      </w:r>
      <w:r>
        <w:rPr>
          <w:rFonts w:eastAsia="宋体" w:ascii="宋体" w:hAnsi="宋体"/>
          <w:color w:themeColor="text1" w:val="000000"/>
          <w:szCs w:val="21"/>
          <w:lang w:eastAsia="zh-TW"/>
        </w:rPr>
        <w:t>15</w:t>
      </w:r>
      <w:r>
        <w:rPr>
          <w:rFonts w:ascii="宋体" w:hAnsi="宋体" w:eastAsia="宋体"/>
          <w:color w:themeColor="text1" w:val="000000"/>
          <w:szCs w:val="21"/>
          <w:lang w:eastAsia="zh-TW"/>
        </w:rPr>
        <w:t>年以上的公民。</w:t>
      </w:r>
    </w:p>
    <w:p>
      <w:pPr>
        <w:pStyle w:val="11"/>
        <w:numPr>
          <w:ilvl w:val="0"/>
          <w:numId w:val="3"/>
        </w:numPr>
        <w:spacing w:lineRule="exact" w:line="300"/>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國家司法院設首席大法官職位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個，設次席大法官職位</w:t>
      </w:r>
      <w:r>
        <w:rPr>
          <w:rFonts w:eastAsia="宋体" w:ascii="宋体" w:hAnsi="宋体"/>
          <w:color w:themeColor="text1" w:val="000000"/>
          <w:szCs w:val="21"/>
          <w:lang w:eastAsia="zh-TW"/>
        </w:rPr>
        <w:t>3</w:t>
      </w:r>
      <w:r>
        <w:rPr>
          <w:rFonts w:ascii="宋体" w:hAnsi="宋体" w:eastAsia="宋体"/>
          <w:color w:themeColor="text1" w:val="000000"/>
          <w:szCs w:val="21"/>
          <w:lang w:eastAsia="zh-TW"/>
        </w:rPr>
        <w:t>個，設大法官職位</w:t>
      </w:r>
      <w:r>
        <w:rPr>
          <w:rFonts w:eastAsia="宋体" w:ascii="宋体" w:hAnsi="宋体"/>
          <w:color w:themeColor="text1" w:val="000000"/>
          <w:szCs w:val="21"/>
          <w:lang w:eastAsia="zh-TW"/>
        </w:rPr>
        <w:t>7</w:t>
      </w:r>
      <w:r>
        <w:rPr>
          <w:rFonts w:ascii="宋体" w:hAnsi="宋体" w:eastAsia="宋体"/>
          <w:color w:themeColor="text1" w:val="000000"/>
          <w:szCs w:val="21"/>
          <w:lang w:eastAsia="zh-TW"/>
        </w:rPr>
        <w:t>個，由國家司法院院長提名；國家司法院首席大法官、次席大法官和大法官每屆任期</w:t>
      </w:r>
      <w:r>
        <w:rPr>
          <w:rFonts w:eastAsia="宋体" w:ascii="宋体" w:hAnsi="宋体"/>
          <w:color w:themeColor="text1" w:val="000000"/>
          <w:szCs w:val="21"/>
          <w:lang w:eastAsia="zh-TW"/>
        </w:rPr>
        <w:t>5</w:t>
      </w:r>
      <w:r>
        <w:rPr>
          <w:rFonts w:ascii="宋体" w:hAnsi="宋体" w:eastAsia="宋体"/>
          <w:color w:themeColor="text1" w:val="000000"/>
          <w:szCs w:val="21"/>
          <w:lang w:eastAsia="zh-TW"/>
        </w:rPr>
        <w:t>年，任職不得超過</w:t>
      </w:r>
      <w:r>
        <w:rPr>
          <w:rFonts w:eastAsia="宋体" w:ascii="宋体" w:hAnsi="宋体"/>
          <w:color w:themeColor="text1" w:val="000000"/>
          <w:szCs w:val="21"/>
          <w:lang w:eastAsia="zh-TW"/>
        </w:rPr>
        <w:t>4</w:t>
      </w:r>
      <w:r>
        <w:rPr>
          <w:rFonts w:ascii="宋体" w:hAnsi="宋体" w:eastAsia="宋体"/>
          <w:color w:themeColor="text1" w:val="000000"/>
          <w:szCs w:val="21"/>
          <w:lang w:eastAsia="zh-TW"/>
        </w:rPr>
        <w:t>屆。</w:t>
      </w:r>
    </w:p>
    <w:p>
      <w:pPr>
        <w:pStyle w:val="11"/>
        <w:numPr>
          <w:ilvl w:val="0"/>
          <w:numId w:val="37"/>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國家司法院首席大法官、次席大法官和大法官的任免由國家參議會以常規案表決任免產生，常規案表決未通過的由提名人發起常規案二審表決，常規案二審表決未通過的即駁回，駁回的由提名人另選被提名人。</w:t>
      </w:r>
    </w:p>
    <w:p>
      <w:pPr>
        <w:pStyle w:val="11"/>
        <w:numPr>
          <w:ilvl w:val="0"/>
          <w:numId w:val="37"/>
        </w:numPr>
        <w:spacing w:lineRule="exact" w:line="300" w:before="0" w:after="156"/>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國家司法院首席大法官、次席大法官和大法官必須是年滿</w:t>
      </w:r>
      <w:r>
        <w:rPr>
          <w:rFonts w:eastAsia="宋体" w:ascii="宋体" w:hAnsi="宋体"/>
          <w:color w:themeColor="text1" w:val="000000"/>
          <w:szCs w:val="21"/>
          <w:lang w:eastAsia="zh-TW"/>
        </w:rPr>
        <w:t>35</w:t>
      </w:r>
      <w:r>
        <w:rPr>
          <w:rFonts w:ascii="宋体" w:hAnsi="宋体" w:eastAsia="宋体"/>
          <w:color w:themeColor="text1" w:val="000000"/>
          <w:szCs w:val="21"/>
          <w:lang w:eastAsia="zh-TW"/>
        </w:rPr>
        <w:t>週歲的中華民族聯邦共和國公民，且必須是出生在中華民族聯邦共和國境內，並在境內生活</w:t>
      </w:r>
      <w:r>
        <w:rPr>
          <w:rFonts w:eastAsia="宋体" w:ascii="宋体" w:hAnsi="宋体"/>
          <w:color w:themeColor="text1" w:val="000000"/>
          <w:szCs w:val="21"/>
          <w:lang w:eastAsia="zh-TW"/>
        </w:rPr>
        <w:t>10</w:t>
      </w:r>
      <w:r>
        <w:rPr>
          <w:rFonts w:ascii="宋体" w:hAnsi="宋体" w:eastAsia="宋体"/>
          <w:color w:themeColor="text1" w:val="000000"/>
          <w:szCs w:val="21"/>
          <w:lang w:eastAsia="zh-TW"/>
        </w:rPr>
        <w:t>年以上的公民。</w:t>
      </w:r>
    </w:p>
    <w:p>
      <w:pPr>
        <w:pStyle w:val="11"/>
        <w:numPr>
          <w:ilvl w:val="0"/>
          <w:numId w:val="3"/>
        </w:numPr>
        <w:spacing w:lineRule="exact" w:line="300" w:before="0" w:after="156"/>
        <w:ind w:hanging="945" w:left="94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國家司法院設終審法庭，終審法庭是中華民族聯邦共和國法律的最終解釋法庭，負責審議省司法院復審法庭審判後，當事人不滿復審法庭的審判結果，併發起終審的司法案件，及審判管轄權屬於國家司法院的司法案件，對於國家司法院終審法庭的審判結果，當事人必須執行。</w:t>
      </w:r>
    </w:p>
    <w:p>
      <w:pPr>
        <w:pStyle w:val="11"/>
        <w:numPr>
          <w:ilvl w:val="0"/>
          <w:numId w:val="35"/>
        </w:numPr>
        <w:spacing w:lineRule="exact" w:line="300" w:before="156" w:after="0"/>
        <w:outlineLvl w:val="1"/>
        <w:rPr>
          <w:rFonts w:ascii="宋体" w:hAnsi="宋体" w:eastAsia="宋体"/>
          <w:b/>
          <w:color w:themeColor="text1" w:val="000000"/>
          <w:sz w:val="28"/>
          <w:szCs w:val="28"/>
        </w:rPr>
      </w:pPr>
      <w:bookmarkStart w:id="40" w:name="__RefHeading___Toc7025_4090689648"/>
      <w:bookmarkStart w:id="41" w:name="_Toc147663422"/>
      <w:bookmarkEnd w:id="40"/>
      <w:r>
        <w:rPr>
          <w:rFonts w:ascii="宋体" w:hAnsi="宋体" w:eastAsia="宋体"/>
          <w:b/>
          <w:color w:themeColor="text1" w:val="000000"/>
          <w:sz w:val="28"/>
          <w:szCs w:val="28"/>
        </w:rPr>
        <w:t>省司法院</w:t>
      </w:r>
      <w:bookmarkEnd w:id="41"/>
    </w:p>
    <w:p>
      <w:pPr>
        <w:pStyle w:val="11"/>
        <w:numPr>
          <w:ilvl w:val="0"/>
          <w:numId w:val="3"/>
        </w:numPr>
        <w:spacing w:lineRule="exact" w:line="300" w:before="0" w:after="156"/>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中華民族聯邦共和國省級行政區設司法院，簡稱省司法院，省司法院是國家司法院派駐省級行政區的聯邦司法機構；省司法院設院長職位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個，由國家司法院院長提名，設副院長職位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個，由省司法院院長提名，院長和副院長每屆任期</w:t>
      </w:r>
      <w:r>
        <w:rPr>
          <w:rFonts w:eastAsia="宋体" w:ascii="宋体" w:hAnsi="宋体"/>
          <w:color w:themeColor="text1" w:val="000000"/>
          <w:szCs w:val="21"/>
          <w:lang w:eastAsia="zh-TW"/>
        </w:rPr>
        <w:t>5</w:t>
      </w:r>
      <w:r>
        <w:rPr>
          <w:rFonts w:ascii="宋体" w:hAnsi="宋体" w:eastAsia="宋体"/>
          <w:color w:themeColor="text1" w:val="000000"/>
          <w:szCs w:val="21"/>
          <w:lang w:eastAsia="zh-TW"/>
        </w:rPr>
        <w:t>年，任職不得超過</w:t>
      </w:r>
      <w:r>
        <w:rPr>
          <w:rFonts w:eastAsia="宋体" w:ascii="宋体" w:hAnsi="宋体"/>
          <w:color w:themeColor="text1" w:val="000000"/>
          <w:szCs w:val="21"/>
          <w:lang w:eastAsia="zh-TW"/>
        </w:rPr>
        <w:t>2</w:t>
      </w:r>
      <w:r>
        <w:rPr>
          <w:rFonts w:ascii="宋体" w:hAnsi="宋体" w:eastAsia="宋体"/>
          <w:color w:themeColor="text1" w:val="000000"/>
          <w:szCs w:val="21"/>
          <w:lang w:eastAsia="zh-TW"/>
        </w:rPr>
        <w:t>屆。</w:t>
      </w:r>
    </w:p>
    <w:p>
      <w:pPr>
        <w:pStyle w:val="11"/>
        <w:numPr>
          <w:ilvl w:val="0"/>
          <w:numId w:val="3"/>
        </w:numPr>
        <w:spacing w:lineRule="exact" w:line="300" w:before="0" w:after="156"/>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省司法院設首席大法官職位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個，設次席大法官職位</w:t>
      </w:r>
      <w:r>
        <w:rPr>
          <w:rFonts w:eastAsia="宋体" w:ascii="宋体" w:hAnsi="宋体"/>
          <w:color w:themeColor="text1" w:val="000000"/>
          <w:szCs w:val="21"/>
          <w:lang w:eastAsia="zh-TW"/>
        </w:rPr>
        <w:t>3</w:t>
      </w:r>
      <w:r>
        <w:rPr>
          <w:rFonts w:ascii="宋体" w:hAnsi="宋体" w:eastAsia="宋体"/>
          <w:color w:themeColor="text1" w:val="000000"/>
          <w:szCs w:val="21"/>
          <w:lang w:eastAsia="zh-TW"/>
        </w:rPr>
        <w:t>個，設大法官職位</w:t>
      </w:r>
      <w:r>
        <w:rPr>
          <w:rFonts w:eastAsia="宋体" w:ascii="宋体" w:hAnsi="宋体"/>
          <w:color w:themeColor="text1" w:val="000000"/>
          <w:szCs w:val="21"/>
          <w:lang w:eastAsia="zh-TW"/>
        </w:rPr>
        <w:t>5</w:t>
      </w:r>
      <w:r>
        <w:rPr>
          <w:rFonts w:ascii="宋体" w:hAnsi="宋体" w:eastAsia="宋体"/>
          <w:color w:themeColor="text1" w:val="000000"/>
          <w:szCs w:val="21"/>
          <w:lang w:eastAsia="zh-TW"/>
        </w:rPr>
        <w:t>個，由省司法院院長提名；省司法院首席大法官、次席大法官和大法官每屆任期</w:t>
      </w:r>
      <w:r>
        <w:rPr>
          <w:rFonts w:eastAsia="宋体" w:ascii="宋体" w:hAnsi="宋体"/>
          <w:color w:themeColor="text1" w:val="000000"/>
          <w:szCs w:val="21"/>
          <w:lang w:eastAsia="zh-TW"/>
        </w:rPr>
        <w:t>5</w:t>
      </w:r>
      <w:r>
        <w:rPr>
          <w:rFonts w:ascii="宋体" w:hAnsi="宋体" w:eastAsia="宋体"/>
          <w:color w:themeColor="text1" w:val="000000"/>
          <w:szCs w:val="21"/>
          <w:lang w:eastAsia="zh-TW"/>
        </w:rPr>
        <w:t>年，任職不得超過</w:t>
      </w:r>
      <w:r>
        <w:rPr>
          <w:rFonts w:eastAsia="宋体" w:ascii="宋体" w:hAnsi="宋体"/>
          <w:color w:themeColor="text1" w:val="000000"/>
          <w:szCs w:val="21"/>
          <w:lang w:eastAsia="zh-TW"/>
        </w:rPr>
        <w:t>4</w:t>
      </w:r>
      <w:r>
        <w:rPr>
          <w:rFonts w:ascii="宋体" w:hAnsi="宋体" w:eastAsia="宋体"/>
          <w:color w:themeColor="text1" w:val="000000"/>
          <w:szCs w:val="21"/>
          <w:lang w:eastAsia="zh-TW"/>
        </w:rPr>
        <w:t>屆。</w:t>
      </w:r>
    </w:p>
    <w:p>
      <w:pPr>
        <w:pStyle w:val="11"/>
        <w:numPr>
          <w:ilvl w:val="0"/>
          <w:numId w:val="3"/>
        </w:numPr>
        <w:spacing w:lineRule="exact" w:line="300" w:before="0" w:after="156"/>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省司法院院長、副院長、首席大法官、次席大法官和大法官的任免由省參議會以常規案表決任免產生，常規案表決未通過的由提名人發起常規案二審表決，常規案二審表決未通過的即駁回，駁回的由提名人另選被提名人。</w:t>
      </w:r>
    </w:p>
    <w:p>
      <w:pPr>
        <w:pStyle w:val="11"/>
        <w:numPr>
          <w:ilvl w:val="0"/>
          <w:numId w:val="3"/>
        </w:numPr>
        <w:spacing w:lineRule="exact" w:line="300" w:before="0" w:after="156"/>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省司法院設復審法庭，復審法庭負責審議市司法院上訴法庭審判後，當事人不滿上訴法庭的審判結果，併發起復審的司法案件，及審判管轄權屬於聯邦司法院的司法案件。</w:t>
      </w:r>
    </w:p>
    <w:p>
      <w:pPr>
        <w:pStyle w:val="11"/>
        <w:numPr>
          <w:ilvl w:val="0"/>
          <w:numId w:val="35"/>
        </w:numPr>
        <w:spacing w:lineRule="exact" w:line="300" w:before="156" w:after="0"/>
        <w:outlineLvl w:val="1"/>
        <w:rPr>
          <w:rFonts w:ascii="宋体" w:hAnsi="宋体" w:eastAsia="宋体"/>
          <w:b/>
          <w:color w:themeColor="text1" w:val="000000"/>
          <w:sz w:val="28"/>
          <w:szCs w:val="28"/>
        </w:rPr>
      </w:pPr>
      <w:bookmarkStart w:id="42" w:name="__RefHeading___Toc7027_4090689648"/>
      <w:bookmarkStart w:id="43" w:name="_Toc147663423"/>
      <w:bookmarkEnd w:id="42"/>
      <w:r>
        <w:rPr>
          <w:rFonts w:ascii="宋体" w:hAnsi="宋体" w:eastAsia="宋体"/>
          <w:b/>
          <w:color w:themeColor="text1" w:val="000000"/>
          <w:sz w:val="28"/>
          <w:szCs w:val="28"/>
        </w:rPr>
        <w:t>市司法院</w:t>
      </w:r>
      <w:bookmarkEnd w:id="43"/>
    </w:p>
    <w:p>
      <w:pPr>
        <w:pStyle w:val="11"/>
        <w:numPr>
          <w:ilvl w:val="0"/>
          <w:numId w:val="3"/>
        </w:numPr>
        <w:spacing w:lineRule="exact" w:line="300" w:before="0" w:after="156"/>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中華民族聯邦共和國市級行政區設司法院，簡稱市司法院，市司法院設院長職位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個，設副院長職位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個，由市自治會提名；市司法院院長和副院長每屆任期</w:t>
      </w:r>
      <w:r>
        <w:rPr>
          <w:rFonts w:eastAsia="宋体" w:ascii="宋体" w:hAnsi="宋体"/>
          <w:color w:themeColor="text1" w:val="000000"/>
          <w:szCs w:val="21"/>
          <w:lang w:eastAsia="zh-TW"/>
        </w:rPr>
        <w:t>5</w:t>
      </w:r>
      <w:r>
        <w:rPr>
          <w:rFonts w:ascii="宋体" w:hAnsi="宋体" w:eastAsia="宋体"/>
          <w:color w:themeColor="text1" w:val="000000"/>
          <w:szCs w:val="21"/>
          <w:lang w:eastAsia="zh-TW"/>
        </w:rPr>
        <w:t>年，任職不得超過</w:t>
      </w:r>
      <w:r>
        <w:rPr>
          <w:rFonts w:eastAsia="宋体" w:ascii="宋体" w:hAnsi="宋体"/>
          <w:color w:themeColor="text1" w:val="000000"/>
          <w:szCs w:val="21"/>
          <w:lang w:eastAsia="zh-TW"/>
        </w:rPr>
        <w:t>2</w:t>
      </w:r>
      <w:r>
        <w:rPr>
          <w:rFonts w:ascii="宋体" w:hAnsi="宋体" w:eastAsia="宋体"/>
          <w:color w:themeColor="text1" w:val="000000"/>
          <w:szCs w:val="21"/>
          <w:lang w:eastAsia="zh-TW"/>
        </w:rPr>
        <w:t>屆。</w:t>
      </w:r>
    </w:p>
    <w:p>
      <w:pPr>
        <w:pStyle w:val="11"/>
        <w:numPr>
          <w:ilvl w:val="0"/>
          <w:numId w:val="3"/>
        </w:numPr>
        <w:spacing w:lineRule="exact" w:line="300" w:before="0" w:after="156"/>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市司法院設首席大法官職位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個，設次席大法官職位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個，設大法官職位</w:t>
      </w:r>
      <w:r>
        <w:rPr>
          <w:rFonts w:eastAsia="宋体" w:ascii="宋体" w:hAnsi="宋体"/>
          <w:color w:themeColor="text1" w:val="000000"/>
          <w:szCs w:val="21"/>
          <w:lang w:eastAsia="zh-TW"/>
        </w:rPr>
        <w:t>3</w:t>
      </w:r>
      <w:r>
        <w:rPr>
          <w:rFonts w:ascii="宋体" w:hAnsi="宋体" w:eastAsia="宋体"/>
          <w:color w:themeColor="text1" w:val="000000"/>
          <w:szCs w:val="21"/>
          <w:lang w:eastAsia="zh-TW"/>
        </w:rPr>
        <w:t>個，由市司法院院長提名；市司法院首席大法官、次席大法官和大法官每屆任期</w:t>
      </w:r>
      <w:r>
        <w:rPr>
          <w:rFonts w:eastAsia="宋体" w:ascii="宋体" w:hAnsi="宋体"/>
          <w:color w:themeColor="text1" w:val="000000"/>
          <w:szCs w:val="21"/>
          <w:lang w:eastAsia="zh-TW"/>
        </w:rPr>
        <w:t>5</w:t>
      </w:r>
      <w:r>
        <w:rPr>
          <w:rFonts w:ascii="宋体" w:hAnsi="宋体" w:eastAsia="宋体"/>
          <w:color w:themeColor="text1" w:val="000000"/>
          <w:szCs w:val="21"/>
          <w:lang w:eastAsia="zh-TW"/>
        </w:rPr>
        <w:t>年，任職不得超過</w:t>
      </w:r>
      <w:r>
        <w:rPr>
          <w:rFonts w:eastAsia="宋体" w:ascii="宋体" w:hAnsi="宋体"/>
          <w:color w:themeColor="text1" w:val="000000"/>
          <w:szCs w:val="21"/>
          <w:lang w:eastAsia="zh-TW"/>
        </w:rPr>
        <w:t>4</w:t>
      </w:r>
      <w:r>
        <w:rPr>
          <w:rFonts w:ascii="宋体" w:hAnsi="宋体" w:eastAsia="宋体"/>
          <w:color w:themeColor="text1" w:val="000000"/>
          <w:szCs w:val="21"/>
          <w:lang w:eastAsia="zh-TW"/>
        </w:rPr>
        <w:t>屆。</w:t>
      </w:r>
    </w:p>
    <w:p>
      <w:pPr>
        <w:pStyle w:val="11"/>
        <w:numPr>
          <w:ilvl w:val="0"/>
          <w:numId w:val="3"/>
        </w:numPr>
        <w:spacing w:lineRule="exact" w:line="300" w:before="0" w:after="156"/>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市司法院院長、副院長、首席大法官、次席大法官和大法官的任免由市立法會以常規案表決任免產生，常規案表決未通過的由提名人發起常規案二審表決，常規案二審表決未通過的即駁回，駁回的由提名人另選被提名人。</w:t>
      </w:r>
    </w:p>
    <w:p>
      <w:pPr>
        <w:pStyle w:val="11"/>
        <w:numPr>
          <w:ilvl w:val="0"/>
          <w:numId w:val="3"/>
        </w:numPr>
        <w:spacing w:lineRule="exact" w:line="300" w:before="0" w:after="156"/>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市司法院設原訴法庭和上訴法庭，原訴法庭是市司法院的初審法庭，上訴法庭是市司法院的復審法庭，每個市級行政區有一個上訴法庭和多個原訴法庭，轄區內人口大於</w:t>
      </w:r>
      <w:r>
        <w:rPr>
          <w:rFonts w:eastAsia="宋体" w:ascii="宋体" w:hAnsi="宋体"/>
          <w:color w:themeColor="text1" w:val="000000"/>
          <w:szCs w:val="21"/>
          <w:lang w:eastAsia="zh-TW"/>
        </w:rPr>
        <w:t>10</w:t>
      </w:r>
      <w:r>
        <w:rPr>
          <w:rFonts w:ascii="宋体" w:hAnsi="宋体" w:eastAsia="宋体"/>
          <w:color w:themeColor="text1" w:val="000000"/>
          <w:szCs w:val="21"/>
          <w:lang w:eastAsia="zh-TW"/>
        </w:rPr>
        <w:t>萬人的鎮級行政區必須設置原訴法庭。</w:t>
      </w:r>
    </w:p>
    <w:p>
      <w:pPr>
        <w:pStyle w:val="11"/>
        <w:numPr>
          <w:ilvl w:val="0"/>
          <w:numId w:val="1"/>
        </w:numPr>
        <w:spacing w:lineRule="exact" w:line="400" w:before="156" w:after="156"/>
        <w:jc w:val="center"/>
        <w:outlineLvl w:val="0"/>
        <w:rPr>
          <w:rFonts w:ascii="宋体" w:hAnsi="宋体" w:eastAsia="宋体" w:cs="Times New Roman (正文 CS 字体)"/>
          <w:b/>
          <w:color w:themeColor="text1" w:val="000000"/>
          <w:sz w:val="32"/>
          <w:szCs w:val="32"/>
        </w:rPr>
      </w:pPr>
      <w:bookmarkStart w:id="44" w:name="__RefHeading___Toc7029_4090689648"/>
      <w:bookmarkStart w:id="45" w:name="_Toc147663424"/>
      <w:bookmarkEnd w:id="44"/>
      <w:r>
        <w:rPr>
          <w:rFonts w:ascii="宋体" w:hAnsi="宋体" w:cs="Times New Roman (正文 CS 字体)" w:eastAsia="宋体"/>
          <w:b/>
          <w:color w:themeColor="text1" w:val="000000"/>
          <w:sz w:val="32"/>
          <w:szCs w:val="32"/>
          <w:lang w:eastAsia="zh-TW"/>
        </w:rPr>
        <w:t>監察院</w:t>
      </w:r>
      <w:bookmarkEnd w:id="45"/>
    </w:p>
    <w:p>
      <w:pPr>
        <w:pStyle w:val="11"/>
        <w:numPr>
          <w:ilvl w:val="0"/>
          <w:numId w:val="38"/>
        </w:numPr>
        <w:spacing w:lineRule="exact" w:line="300" w:before="156" w:after="0"/>
        <w:outlineLvl w:val="1"/>
        <w:rPr>
          <w:rFonts w:ascii="宋体" w:hAnsi="宋体" w:eastAsia="宋体"/>
          <w:b/>
          <w:color w:themeColor="text1" w:val="000000"/>
          <w:sz w:val="28"/>
          <w:szCs w:val="28"/>
        </w:rPr>
      </w:pPr>
      <w:bookmarkStart w:id="46" w:name="__RefHeading___Toc7031_4090689648"/>
      <w:bookmarkStart w:id="47" w:name="_Toc147663425"/>
      <w:bookmarkEnd w:id="46"/>
      <w:r>
        <w:rPr>
          <w:rFonts w:ascii="宋体" w:hAnsi="宋体" w:eastAsia="宋体"/>
          <w:b/>
          <w:color w:themeColor="text1" w:val="000000"/>
          <w:sz w:val="28"/>
          <w:szCs w:val="28"/>
          <w:lang w:eastAsia="zh-TW"/>
        </w:rPr>
        <w:t>國家監察</w:t>
      </w:r>
      <w:r>
        <w:rPr>
          <w:rFonts w:ascii="宋体" w:hAnsi="宋体" w:eastAsia="宋体"/>
          <w:b/>
          <w:color w:themeColor="text1" w:val="000000"/>
          <w:sz w:val="28"/>
          <w:szCs w:val="28"/>
        </w:rPr>
        <w:t>院</w:t>
      </w:r>
      <w:bookmarkEnd w:id="47"/>
    </w:p>
    <w:p>
      <w:pPr>
        <w:pStyle w:val="11"/>
        <w:numPr>
          <w:ilvl w:val="0"/>
          <w:numId w:val="3"/>
        </w:numPr>
        <w:spacing w:lineRule="exact" w:line="300"/>
        <w:ind w:hanging="1155" w:left="115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中華民族聯邦共和國設監察院，簡稱國家監察院，國家監察院設院長職位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個，設副院長職位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個，由總統提名，院長和副院長每屆任期</w:t>
      </w:r>
      <w:r>
        <w:rPr>
          <w:rFonts w:eastAsia="宋体" w:ascii="宋体" w:hAnsi="宋体"/>
          <w:color w:themeColor="text1" w:val="000000"/>
          <w:szCs w:val="21"/>
          <w:lang w:eastAsia="zh-TW"/>
        </w:rPr>
        <w:t>5</w:t>
      </w:r>
      <w:r>
        <w:rPr>
          <w:rFonts w:ascii="宋体" w:hAnsi="宋体" w:eastAsia="宋体"/>
          <w:color w:themeColor="text1" w:val="000000"/>
          <w:szCs w:val="21"/>
          <w:lang w:eastAsia="zh-TW"/>
        </w:rPr>
        <w:t>年，任職不得超過</w:t>
      </w:r>
      <w:r>
        <w:rPr>
          <w:rFonts w:eastAsia="宋体" w:ascii="宋体" w:hAnsi="宋体"/>
          <w:color w:themeColor="text1" w:val="000000"/>
          <w:szCs w:val="21"/>
          <w:lang w:eastAsia="zh-TW"/>
        </w:rPr>
        <w:t>2</w:t>
      </w:r>
      <w:r>
        <w:rPr>
          <w:rFonts w:ascii="宋体" w:hAnsi="宋体" w:eastAsia="宋体"/>
          <w:color w:themeColor="text1" w:val="000000"/>
          <w:szCs w:val="21"/>
          <w:lang w:eastAsia="zh-TW"/>
        </w:rPr>
        <w:t>屆。</w:t>
      </w:r>
    </w:p>
    <w:p>
      <w:pPr>
        <w:pStyle w:val="11"/>
        <w:numPr>
          <w:ilvl w:val="0"/>
          <w:numId w:val="39"/>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國家監察院院長和副院長的任免由國家參議會以常規案表決任免產生，常規案表決未通過的由提名人發起常規案二審表決，常規案二審表決未通過的即駁回，駁回的由提名人另選被提名人。</w:t>
      </w:r>
    </w:p>
    <w:p>
      <w:pPr>
        <w:pStyle w:val="11"/>
        <w:numPr>
          <w:ilvl w:val="0"/>
          <w:numId w:val="39"/>
        </w:numPr>
        <w:spacing w:lineRule="exact" w:line="300" w:before="0" w:after="156"/>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國家監察院院長和副院長必須是年滿</w:t>
      </w:r>
      <w:r>
        <w:rPr>
          <w:rFonts w:eastAsia="宋体" w:ascii="宋体" w:hAnsi="宋体"/>
          <w:color w:themeColor="text1" w:val="000000"/>
          <w:szCs w:val="21"/>
          <w:lang w:eastAsia="zh-TW"/>
        </w:rPr>
        <w:t>35</w:t>
      </w:r>
      <w:r>
        <w:rPr>
          <w:rFonts w:ascii="宋体" w:hAnsi="宋体" w:eastAsia="宋体"/>
          <w:color w:themeColor="text1" w:val="000000"/>
          <w:szCs w:val="21"/>
          <w:lang w:eastAsia="zh-TW"/>
        </w:rPr>
        <w:t>週歲的中華民族聯邦共和國公民，且必須是出生在中華民族聯邦共和國境內，並在境內生活</w:t>
      </w:r>
      <w:r>
        <w:rPr>
          <w:rFonts w:eastAsia="宋体" w:ascii="宋体" w:hAnsi="宋体"/>
          <w:color w:themeColor="text1" w:val="000000"/>
          <w:szCs w:val="21"/>
          <w:lang w:eastAsia="zh-TW"/>
        </w:rPr>
        <w:t>15</w:t>
      </w:r>
      <w:r>
        <w:rPr>
          <w:rFonts w:ascii="宋体" w:hAnsi="宋体" w:eastAsia="宋体"/>
          <w:color w:themeColor="text1" w:val="000000"/>
          <w:szCs w:val="21"/>
          <w:lang w:eastAsia="zh-TW"/>
        </w:rPr>
        <w:t>年以上的公民。</w:t>
      </w:r>
    </w:p>
    <w:p>
      <w:pPr>
        <w:pStyle w:val="11"/>
        <w:numPr>
          <w:ilvl w:val="0"/>
          <w:numId w:val="3"/>
        </w:numPr>
        <w:spacing w:lineRule="exact" w:line="300"/>
        <w:ind w:hanging="945" w:left="94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國家監察院設首席監察官職位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個，設次席監察官職位</w:t>
      </w:r>
      <w:r>
        <w:rPr>
          <w:rFonts w:eastAsia="宋体" w:ascii="宋体" w:hAnsi="宋体"/>
          <w:color w:themeColor="text1" w:val="000000"/>
          <w:szCs w:val="21"/>
          <w:lang w:eastAsia="zh-TW"/>
        </w:rPr>
        <w:t>3</w:t>
      </w:r>
      <w:r>
        <w:rPr>
          <w:rFonts w:ascii="宋体" w:hAnsi="宋体" w:eastAsia="宋体"/>
          <w:color w:themeColor="text1" w:val="000000"/>
          <w:szCs w:val="21"/>
          <w:lang w:eastAsia="zh-TW"/>
        </w:rPr>
        <w:t>個，設監察官職位</w:t>
      </w:r>
      <w:r>
        <w:rPr>
          <w:rFonts w:eastAsia="宋体" w:ascii="宋体" w:hAnsi="宋体"/>
          <w:color w:themeColor="text1" w:val="000000"/>
          <w:szCs w:val="21"/>
          <w:lang w:eastAsia="zh-TW"/>
        </w:rPr>
        <w:t>7</w:t>
      </w:r>
      <w:r>
        <w:rPr>
          <w:rFonts w:ascii="宋体" w:hAnsi="宋体" w:eastAsia="宋体"/>
          <w:color w:themeColor="text1" w:val="000000"/>
          <w:szCs w:val="21"/>
          <w:lang w:eastAsia="zh-TW"/>
        </w:rPr>
        <w:t>個，由國家監察院院長提名；國家監察院首席監察官、次席監察官和監察官每屆任期</w:t>
      </w:r>
      <w:r>
        <w:rPr>
          <w:rFonts w:eastAsia="宋体" w:ascii="宋体" w:hAnsi="宋体"/>
          <w:color w:themeColor="text1" w:val="000000"/>
          <w:szCs w:val="21"/>
          <w:lang w:eastAsia="zh-TW"/>
        </w:rPr>
        <w:t>5</w:t>
      </w:r>
      <w:r>
        <w:rPr>
          <w:rFonts w:ascii="宋体" w:hAnsi="宋体" w:eastAsia="宋体"/>
          <w:color w:themeColor="text1" w:val="000000"/>
          <w:szCs w:val="21"/>
          <w:lang w:eastAsia="zh-TW"/>
        </w:rPr>
        <w:t>年，任職不得超過</w:t>
      </w:r>
      <w:r>
        <w:rPr>
          <w:rFonts w:eastAsia="宋体" w:ascii="宋体" w:hAnsi="宋体"/>
          <w:color w:themeColor="text1" w:val="000000"/>
          <w:szCs w:val="21"/>
          <w:lang w:eastAsia="zh-TW"/>
        </w:rPr>
        <w:t>2</w:t>
      </w:r>
      <w:r>
        <w:rPr>
          <w:rFonts w:ascii="宋体" w:hAnsi="宋体" w:eastAsia="宋体"/>
          <w:color w:themeColor="text1" w:val="000000"/>
          <w:szCs w:val="21"/>
          <w:lang w:eastAsia="zh-TW"/>
        </w:rPr>
        <w:t>屆。</w:t>
      </w:r>
    </w:p>
    <w:p>
      <w:pPr>
        <w:pStyle w:val="11"/>
        <w:numPr>
          <w:ilvl w:val="0"/>
          <w:numId w:val="40"/>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國家監察院首席監察官、次席監察官和監察官的任免由國家參議會以常規案表決任免產生，常規案表決未通過的由提名人發起常規案二審表決，常規案二審表決未通過的即駁回，駁回的由提名人另選被提名人。</w:t>
      </w:r>
    </w:p>
    <w:p>
      <w:pPr>
        <w:pStyle w:val="11"/>
        <w:numPr>
          <w:ilvl w:val="0"/>
          <w:numId w:val="40"/>
        </w:numPr>
        <w:spacing w:lineRule="exact" w:line="300" w:before="0" w:after="156"/>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國家監察院首席監察官、次席監察官和監察官必須是年滿</w:t>
      </w:r>
      <w:r>
        <w:rPr>
          <w:rFonts w:eastAsia="宋体" w:ascii="宋体" w:hAnsi="宋体"/>
          <w:color w:themeColor="text1" w:val="000000"/>
          <w:szCs w:val="21"/>
          <w:lang w:eastAsia="zh-TW"/>
        </w:rPr>
        <w:t>35</w:t>
      </w:r>
      <w:r>
        <w:rPr>
          <w:rFonts w:ascii="宋体" w:hAnsi="宋体" w:eastAsia="宋体"/>
          <w:color w:themeColor="text1" w:val="000000"/>
          <w:szCs w:val="21"/>
          <w:lang w:eastAsia="zh-TW"/>
        </w:rPr>
        <w:t>週歲的中華民族聯邦共和國公民，且必須是出生在中華民族聯邦共和國境內，並在境內生活</w:t>
      </w:r>
      <w:r>
        <w:rPr>
          <w:rFonts w:eastAsia="宋体" w:ascii="宋体" w:hAnsi="宋体"/>
          <w:color w:themeColor="text1" w:val="000000"/>
          <w:szCs w:val="21"/>
          <w:lang w:eastAsia="zh-TW"/>
        </w:rPr>
        <w:t>10</w:t>
      </w:r>
      <w:r>
        <w:rPr>
          <w:rFonts w:ascii="宋体" w:hAnsi="宋体" w:eastAsia="宋体"/>
          <w:color w:themeColor="text1" w:val="000000"/>
          <w:szCs w:val="21"/>
          <w:lang w:eastAsia="zh-TW"/>
        </w:rPr>
        <w:t>年以上的公民。</w:t>
      </w:r>
    </w:p>
    <w:p>
      <w:pPr>
        <w:pStyle w:val="11"/>
        <w:numPr>
          <w:ilvl w:val="0"/>
          <w:numId w:val="38"/>
        </w:numPr>
        <w:spacing w:lineRule="exact" w:line="300" w:before="156" w:after="0"/>
        <w:outlineLvl w:val="1"/>
        <w:rPr>
          <w:rFonts w:ascii="宋体" w:hAnsi="宋体" w:eastAsia="宋体"/>
          <w:b/>
          <w:color w:themeColor="text1" w:val="000000"/>
          <w:sz w:val="28"/>
          <w:szCs w:val="28"/>
        </w:rPr>
      </w:pPr>
      <w:bookmarkStart w:id="48" w:name="__RefHeading___Toc7033_4090689648"/>
      <w:bookmarkStart w:id="49" w:name="_Toc147663426"/>
      <w:bookmarkEnd w:id="48"/>
      <w:r>
        <w:rPr>
          <w:rFonts w:ascii="宋体" w:hAnsi="宋体" w:eastAsia="宋体"/>
          <w:b/>
          <w:color w:themeColor="text1" w:val="000000"/>
          <w:sz w:val="28"/>
          <w:szCs w:val="28"/>
          <w:lang w:eastAsia="zh-TW"/>
        </w:rPr>
        <w:t>聯邦廉政署</w:t>
      </w:r>
      <w:bookmarkEnd w:id="49"/>
    </w:p>
    <w:p>
      <w:pPr>
        <w:pStyle w:val="11"/>
        <w:numPr>
          <w:ilvl w:val="0"/>
          <w:numId w:val="3"/>
        </w:numPr>
        <w:spacing w:lineRule="exact" w:line="300" w:before="0" w:after="156"/>
        <w:ind w:hanging="1365" w:left="136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國家監察院設國家監察院聯邦廉政署，簡稱聯邦廉政署，聯邦廉政署依《中華民族聯邦共和國公職人員義務與權力法》、《中華民族聯邦共和國防止賄賂法》、《中華民族聯邦共和國刑法》等相關法律對所有自然人和法人執行廉政監督檢查。</w:t>
      </w:r>
    </w:p>
    <w:p>
      <w:pPr>
        <w:pStyle w:val="11"/>
        <w:numPr>
          <w:ilvl w:val="0"/>
          <w:numId w:val="3"/>
        </w:numPr>
        <w:spacing w:lineRule="exact" w:line="300" w:before="0" w:after="156"/>
        <w:ind w:hanging="1365" w:left="136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聯邦廉政署設署長職位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個，由國家監察院院長提名，設副署長職位</w:t>
      </w:r>
      <w:r>
        <w:rPr>
          <w:rFonts w:eastAsia="宋体" w:ascii="宋体" w:hAnsi="宋体"/>
          <w:color w:themeColor="text1" w:val="000000"/>
          <w:szCs w:val="21"/>
          <w:lang w:eastAsia="zh-TW"/>
        </w:rPr>
        <w:t>6</w:t>
      </w:r>
      <w:r>
        <w:rPr>
          <w:rFonts w:ascii="宋体" w:hAnsi="宋体" w:eastAsia="宋体"/>
          <w:color w:themeColor="text1" w:val="000000"/>
          <w:szCs w:val="21"/>
          <w:lang w:eastAsia="zh-TW"/>
        </w:rPr>
        <w:t>個，由署長提名，署長和副署長每屆任期</w:t>
      </w:r>
      <w:r>
        <w:rPr>
          <w:rFonts w:eastAsia="宋体" w:ascii="宋体" w:hAnsi="宋体"/>
          <w:color w:themeColor="text1" w:val="000000"/>
          <w:szCs w:val="21"/>
          <w:lang w:eastAsia="zh-TW"/>
        </w:rPr>
        <w:t>5</w:t>
      </w:r>
      <w:r>
        <w:rPr>
          <w:rFonts w:ascii="宋体" w:hAnsi="宋体" w:eastAsia="宋体"/>
          <w:color w:themeColor="text1" w:val="000000"/>
          <w:szCs w:val="21"/>
          <w:lang w:eastAsia="zh-TW"/>
        </w:rPr>
        <w:t>年，任職不得超過</w:t>
      </w:r>
      <w:r>
        <w:rPr>
          <w:rFonts w:eastAsia="宋体" w:ascii="宋体" w:hAnsi="宋体"/>
          <w:color w:themeColor="text1" w:val="000000"/>
          <w:szCs w:val="21"/>
          <w:lang w:eastAsia="zh-TW"/>
        </w:rPr>
        <w:t>4</w:t>
      </w:r>
      <w:r>
        <w:rPr>
          <w:rFonts w:ascii="宋体" w:hAnsi="宋体" w:eastAsia="宋体"/>
          <w:color w:themeColor="text1" w:val="000000"/>
          <w:szCs w:val="21"/>
          <w:lang w:eastAsia="zh-TW"/>
        </w:rPr>
        <w:t>屆；聯邦廉政署署長和副署長的任免由國家參議會以常規案表決任免產生，常規案表決未通過的由提名人發起常規案二審表決，常規案二審表決未通過的即駁回，駁回的由提名人另選被提名人。</w:t>
      </w:r>
    </w:p>
    <w:p>
      <w:pPr>
        <w:pStyle w:val="11"/>
        <w:numPr>
          <w:ilvl w:val="0"/>
          <w:numId w:val="3"/>
        </w:numPr>
        <w:spacing w:lineRule="exact" w:line="300"/>
        <w:ind w:hanging="1365" w:left="136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聯邦廉政署廉政專員職級由七個等級組成，分別為五級督察、四級督察、三級督察、二級督察、一級督察、特級督察和總督察。</w:t>
      </w:r>
    </w:p>
    <w:p>
      <w:pPr>
        <w:pStyle w:val="11"/>
        <w:numPr>
          <w:ilvl w:val="0"/>
          <w:numId w:val="41"/>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聯邦廉政署設總督察職級</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個，總督察職級授予聯邦廉政署署長；聯邦廉政署設特級督察職級</w:t>
      </w:r>
      <w:r>
        <w:rPr>
          <w:rFonts w:eastAsia="宋体" w:ascii="宋体" w:hAnsi="宋体"/>
          <w:color w:themeColor="text1" w:val="000000"/>
          <w:szCs w:val="21"/>
          <w:lang w:eastAsia="zh-TW"/>
        </w:rPr>
        <w:t>55</w:t>
      </w:r>
      <w:r>
        <w:rPr>
          <w:rFonts w:ascii="宋体" w:hAnsi="宋体" w:eastAsia="宋体"/>
          <w:color w:themeColor="text1" w:val="000000"/>
          <w:szCs w:val="21"/>
          <w:lang w:eastAsia="zh-TW"/>
        </w:rPr>
        <w:t>個以下，特級督察職級授予聯邦廉政署副署長及其他高級廉政專員。</w:t>
      </w:r>
    </w:p>
    <w:p>
      <w:pPr>
        <w:pStyle w:val="11"/>
        <w:numPr>
          <w:ilvl w:val="0"/>
          <w:numId w:val="41"/>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聯邦廉政署設一級督察職級</w:t>
      </w:r>
      <w:r>
        <w:rPr>
          <w:rFonts w:eastAsia="宋体" w:ascii="宋体" w:hAnsi="宋体"/>
          <w:color w:themeColor="text1" w:val="000000"/>
          <w:szCs w:val="21"/>
          <w:lang w:eastAsia="zh-TW"/>
        </w:rPr>
        <w:t>550</w:t>
      </w:r>
      <w:r>
        <w:rPr>
          <w:rFonts w:ascii="宋体" w:hAnsi="宋体" w:eastAsia="宋体"/>
          <w:color w:themeColor="text1" w:val="000000"/>
          <w:szCs w:val="21"/>
          <w:lang w:eastAsia="zh-TW"/>
        </w:rPr>
        <w:t>個以下，設二級督察職級</w:t>
      </w:r>
      <w:r>
        <w:rPr>
          <w:rFonts w:eastAsia="宋体" w:ascii="宋体" w:hAnsi="宋体"/>
          <w:color w:themeColor="text1" w:val="000000"/>
          <w:szCs w:val="21"/>
          <w:lang w:eastAsia="zh-TW"/>
        </w:rPr>
        <w:t>5500</w:t>
      </w:r>
      <w:r>
        <w:rPr>
          <w:rFonts w:ascii="宋体" w:hAnsi="宋体" w:eastAsia="宋体"/>
          <w:color w:themeColor="text1" w:val="000000"/>
          <w:szCs w:val="21"/>
          <w:lang w:eastAsia="zh-TW"/>
        </w:rPr>
        <w:t>個以下，設三級督察職級</w:t>
      </w:r>
      <w:r>
        <w:rPr>
          <w:rFonts w:eastAsia="宋体" w:ascii="宋体" w:hAnsi="宋体"/>
          <w:color w:themeColor="text1" w:val="000000"/>
          <w:szCs w:val="21"/>
          <w:lang w:eastAsia="zh-TW"/>
        </w:rPr>
        <w:t>5500</w:t>
      </w:r>
      <w:r>
        <w:rPr>
          <w:rFonts w:ascii="宋体" w:hAnsi="宋体" w:eastAsia="宋体"/>
          <w:color w:themeColor="text1" w:val="000000"/>
          <w:szCs w:val="21"/>
          <w:lang w:eastAsia="zh-TW"/>
        </w:rPr>
        <w:t>個以下，設四級督察職級</w:t>
      </w:r>
      <w:r>
        <w:rPr>
          <w:rFonts w:eastAsia="宋体" w:ascii="宋体" w:hAnsi="宋体"/>
          <w:color w:themeColor="text1" w:val="000000"/>
          <w:szCs w:val="21"/>
          <w:lang w:eastAsia="zh-TW"/>
        </w:rPr>
        <w:t>11000</w:t>
      </w:r>
      <w:r>
        <w:rPr>
          <w:rFonts w:ascii="宋体" w:hAnsi="宋体" w:eastAsia="宋体"/>
          <w:color w:themeColor="text1" w:val="000000"/>
          <w:szCs w:val="21"/>
          <w:lang w:eastAsia="zh-TW"/>
        </w:rPr>
        <w:t>個以下，設五級督察職級</w:t>
      </w:r>
      <w:r>
        <w:rPr>
          <w:rFonts w:eastAsia="宋体" w:ascii="宋体" w:hAnsi="宋体"/>
          <w:color w:themeColor="text1" w:val="000000"/>
          <w:szCs w:val="21"/>
          <w:lang w:eastAsia="zh-TW"/>
        </w:rPr>
        <w:t>16500</w:t>
      </w:r>
      <w:r>
        <w:rPr>
          <w:rFonts w:ascii="宋体" w:hAnsi="宋体" w:eastAsia="宋体"/>
          <w:color w:themeColor="text1" w:val="000000"/>
          <w:szCs w:val="21"/>
          <w:lang w:eastAsia="zh-TW"/>
        </w:rPr>
        <w:t>個以下。</w:t>
      </w:r>
    </w:p>
    <w:p>
      <w:pPr>
        <w:pStyle w:val="11"/>
        <w:numPr>
          <w:ilvl w:val="0"/>
          <w:numId w:val="38"/>
        </w:numPr>
        <w:spacing w:lineRule="exact" w:line="300" w:before="156" w:after="0"/>
        <w:outlineLvl w:val="1"/>
        <w:rPr>
          <w:rFonts w:ascii="宋体" w:hAnsi="宋体" w:eastAsia="宋体"/>
          <w:b/>
          <w:color w:themeColor="text1" w:val="000000"/>
          <w:sz w:val="28"/>
          <w:szCs w:val="28"/>
        </w:rPr>
      </w:pPr>
      <w:bookmarkStart w:id="50" w:name="__RefHeading___Toc7035_4090689648"/>
      <w:bookmarkStart w:id="51" w:name="_Toc147663427"/>
      <w:bookmarkEnd w:id="50"/>
      <w:r>
        <w:rPr>
          <w:rFonts w:ascii="宋体" w:hAnsi="宋体" w:eastAsia="宋体"/>
          <w:b/>
          <w:color w:themeColor="text1" w:val="000000"/>
          <w:sz w:val="28"/>
          <w:szCs w:val="28"/>
          <w:lang w:eastAsia="zh-TW"/>
        </w:rPr>
        <w:t>聯邦審計署</w:t>
      </w:r>
      <w:bookmarkEnd w:id="51"/>
    </w:p>
    <w:p>
      <w:pPr>
        <w:pStyle w:val="11"/>
        <w:numPr>
          <w:ilvl w:val="0"/>
          <w:numId w:val="3"/>
        </w:numPr>
        <w:spacing w:lineRule="exact" w:line="300" w:before="0" w:after="156"/>
        <w:ind w:hanging="1365" w:left="136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國家監察院設國家監察院聯邦審計署，簡稱聯邦審計署，聯邦審計署依《中華民族聯邦共和國會計與審計法》、《中華民族聯邦共和國財政預算法》、《中華民族聯邦共和國稅法》等相關法律對所有自然人和法人進行審計審查。</w:t>
      </w:r>
    </w:p>
    <w:p>
      <w:pPr>
        <w:pStyle w:val="11"/>
        <w:numPr>
          <w:ilvl w:val="0"/>
          <w:numId w:val="3"/>
        </w:numPr>
        <w:spacing w:lineRule="exact" w:line="300" w:before="0" w:after="156"/>
        <w:ind w:hanging="1365" w:left="136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聯邦審計署設署長職位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個，由國家監察院院長提名，設副署長職位</w:t>
      </w:r>
      <w:r>
        <w:rPr>
          <w:rFonts w:eastAsia="宋体" w:ascii="宋体" w:hAnsi="宋体"/>
          <w:color w:themeColor="text1" w:val="000000"/>
          <w:szCs w:val="21"/>
          <w:lang w:eastAsia="zh-TW"/>
        </w:rPr>
        <w:t>2</w:t>
      </w:r>
      <w:r>
        <w:rPr>
          <w:rFonts w:ascii="宋体" w:hAnsi="宋体" w:eastAsia="宋体"/>
          <w:color w:themeColor="text1" w:val="000000"/>
          <w:szCs w:val="21"/>
          <w:lang w:eastAsia="zh-TW"/>
        </w:rPr>
        <w:t>個，由署長提名，署長和副署長每屆任期</w:t>
      </w:r>
      <w:r>
        <w:rPr>
          <w:rFonts w:eastAsia="宋体" w:ascii="宋体" w:hAnsi="宋体"/>
          <w:color w:themeColor="text1" w:val="000000"/>
          <w:szCs w:val="21"/>
          <w:lang w:eastAsia="zh-TW"/>
        </w:rPr>
        <w:t>5</w:t>
      </w:r>
      <w:r>
        <w:rPr>
          <w:rFonts w:ascii="宋体" w:hAnsi="宋体" w:eastAsia="宋体"/>
          <w:color w:themeColor="text1" w:val="000000"/>
          <w:szCs w:val="21"/>
          <w:lang w:eastAsia="zh-TW"/>
        </w:rPr>
        <w:t>年，任職不得超過</w:t>
      </w:r>
      <w:r>
        <w:rPr>
          <w:rFonts w:eastAsia="宋体" w:ascii="宋体" w:hAnsi="宋体"/>
          <w:color w:themeColor="text1" w:val="000000"/>
          <w:szCs w:val="21"/>
          <w:lang w:eastAsia="zh-TW"/>
        </w:rPr>
        <w:t>4</w:t>
      </w:r>
      <w:r>
        <w:rPr>
          <w:rFonts w:ascii="宋体" w:hAnsi="宋体" w:eastAsia="宋体"/>
          <w:color w:themeColor="text1" w:val="000000"/>
          <w:szCs w:val="21"/>
          <w:lang w:eastAsia="zh-TW"/>
        </w:rPr>
        <w:t>屆；聯邦審計署署長和副署長的任免由國家參議會以常規案表決任免產生，常規案表決未通過的由提名人發起常規案二審表決，常規案二審表決未通過的即駁回，駁回的由提名人另選被提名人。</w:t>
      </w:r>
    </w:p>
    <w:p>
      <w:pPr>
        <w:pStyle w:val="11"/>
        <w:numPr>
          <w:ilvl w:val="0"/>
          <w:numId w:val="3"/>
        </w:numPr>
        <w:spacing w:lineRule="exact" w:line="300"/>
        <w:ind w:hanging="1365" w:left="136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聯邦審計署審計師職級由五個等級組成，分別為三級審計師、二級審計師、一級審計師、特級審計師和總審計師。</w:t>
      </w:r>
    </w:p>
    <w:p>
      <w:pPr>
        <w:pStyle w:val="11"/>
        <w:numPr>
          <w:ilvl w:val="0"/>
          <w:numId w:val="42"/>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聯邦審計署設總審計師職級</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個，總審計師職級授予聯邦審計署署長；聯邦審計署設特級審計師職級</w:t>
      </w:r>
      <w:r>
        <w:rPr>
          <w:rFonts w:eastAsia="宋体" w:ascii="宋体" w:hAnsi="宋体"/>
          <w:color w:themeColor="text1" w:val="000000"/>
          <w:szCs w:val="21"/>
          <w:lang w:eastAsia="zh-TW"/>
        </w:rPr>
        <w:t>55</w:t>
      </w:r>
      <w:r>
        <w:rPr>
          <w:rFonts w:ascii="宋体" w:hAnsi="宋体" w:eastAsia="宋体"/>
          <w:color w:themeColor="text1" w:val="000000"/>
          <w:szCs w:val="21"/>
          <w:lang w:eastAsia="zh-TW"/>
        </w:rPr>
        <w:t>個以下，特級審計師職級授予聯邦審計署副署長及其他高級審計專員。</w:t>
      </w:r>
    </w:p>
    <w:p>
      <w:pPr>
        <w:pStyle w:val="11"/>
        <w:numPr>
          <w:ilvl w:val="0"/>
          <w:numId w:val="42"/>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聯邦審計署設一級審計師職級</w:t>
      </w:r>
      <w:r>
        <w:rPr>
          <w:rFonts w:eastAsia="宋体" w:ascii="宋体" w:hAnsi="宋体"/>
          <w:color w:themeColor="text1" w:val="000000"/>
          <w:szCs w:val="21"/>
          <w:lang w:eastAsia="zh-TW"/>
        </w:rPr>
        <w:t>165</w:t>
      </w:r>
      <w:r>
        <w:rPr>
          <w:rFonts w:ascii="宋体" w:hAnsi="宋体" w:eastAsia="宋体"/>
          <w:color w:themeColor="text1" w:val="000000"/>
          <w:szCs w:val="21"/>
          <w:lang w:eastAsia="zh-TW"/>
        </w:rPr>
        <w:t>個以下，設二級審計師職級</w:t>
      </w:r>
      <w:r>
        <w:rPr>
          <w:rFonts w:eastAsia="宋体" w:ascii="宋体" w:hAnsi="宋体"/>
          <w:color w:themeColor="text1" w:val="000000"/>
          <w:szCs w:val="21"/>
          <w:lang w:eastAsia="zh-TW"/>
        </w:rPr>
        <w:t>1650</w:t>
      </w:r>
      <w:r>
        <w:rPr>
          <w:rFonts w:ascii="宋体" w:hAnsi="宋体" w:eastAsia="宋体"/>
          <w:color w:themeColor="text1" w:val="000000"/>
          <w:szCs w:val="21"/>
          <w:lang w:eastAsia="zh-TW"/>
        </w:rPr>
        <w:t>個以下，設三級審計師職級</w:t>
      </w:r>
      <w:r>
        <w:rPr>
          <w:rFonts w:eastAsia="宋体" w:ascii="宋体" w:hAnsi="宋体"/>
          <w:color w:themeColor="text1" w:val="000000"/>
          <w:szCs w:val="21"/>
          <w:lang w:eastAsia="zh-TW"/>
        </w:rPr>
        <w:t>4950</w:t>
      </w:r>
      <w:r>
        <w:rPr>
          <w:rFonts w:ascii="宋体" w:hAnsi="宋体" w:eastAsia="宋体"/>
          <w:color w:themeColor="text1" w:val="000000"/>
          <w:szCs w:val="21"/>
          <w:lang w:eastAsia="zh-TW"/>
        </w:rPr>
        <w:t>個以下。</w:t>
      </w:r>
    </w:p>
    <w:p>
      <w:pPr>
        <w:pStyle w:val="11"/>
        <w:numPr>
          <w:ilvl w:val="0"/>
          <w:numId w:val="38"/>
        </w:numPr>
        <w:spacing w:lineRule="exact" w:line="300" w:before="156" w:after="0"/>
        <w:outlineLvl w:val="1"/>
        <w:rPr>
          <w:rFonts w:ascii="宋体" w:hAnsi="宋体" w:eastAsia="宋体"/>
          <w:b/>
          <w:color w:themeColor="text1" w:val="000000"/>
          <w:sz w:val="28"/>
          <w:szCs w:val="28"/>
        </w:rPr>
      </w:pPr>
      <w:bookmarkStart w:id="52" w:name="__RefHeading___Toc7037_4090689648"/>
      <w:bookmarkStart w:id="53" w:name="_Toc147663428"/>
      <w:bookmarkEnd w:id="52"/>
      <w:r>
        <w:rPr>
          <w:rFonts w:ascii="宋体" w:hAnsi="宋体" w:eastAsia="宋体"/>
          <w:b/>
          <w:color w:themeColor="text1" w:val="000000"/>
          <w:sz w:val="28"/>
          <w:szCs w:val="28"/>
          <w:lang w:eastAsia="zh-TW"/>
        </w:rPr>
        <w:t>聯邦調查</w:t>
      </w:r>
      <w:r>
        <w:rPr>
          <w:rFonts w:ascii="宋体" w:hAnsi="宋体" w:eastAsia="宋体"/>
          <w:b/>
          <w:color w:themeColor="text1" w:val="000000"/>
          <w:sz w:val="28"/>
          <w:szCs w:val="28"/>
        </w:rPr>
        <w:t>署</w:t>
      </w:r>
      <w:bookmarkEnd w:id="53"/>
    </w:p>
    <w:p>
      <w:pPr>
        <w:pStyle w:val="11"/>
        <w:numPr>
          <w:ilvl w:val="0"/>
          <w:numId w:val="3"/>
        </w:numPr>
        <w:spacing w:lineRule="exact" w:line="300" w:before="0" w:after="156"/>
        <w:ind w:hanging="1365" w:left="136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國家監察院設國家監察院聯邦調查署，簡稱聯邦調查署，聯邦調查署依《中華民族聯邦共和國刑法》、《中華民族聯邦共和國反恐法》、《中華民族聯邦共和國國土安全法》、《中華民族聯邦共和國金融犯罪法》、《中華民族聯邦共和國稅法》等相關法律對所有自然人和法人進行依法調查。</w:t>
      </w:r>
    </w:p>
    <w:p>
      <w:pPr>
        <w:pStyle w:val="11"/>
        <w:numPr>
          <w:ilvl w:val="0"/>
          <w:numId w:val="3"/>
        </w:numPr>
        <w:spacing w:lineRule="exact" w:line="300" w:before="0" w:after="156"/>
        <w:ind w:hanging="1365" w:left="136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聯邦調查署設署長職位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個，由總統提名，設副署長職位</w:t>
      </w:r>
      <w:r>
        <w:rPr>
          <w:rFonts w:eastAsia="宋体" w:ascii="宋体" w:hAnsi="宋体"/>
          <w:color w:themeColor="text1" w:val="000000"/>
          <w:szCs w:val="21"/>
          <w:lang w:eastAsia="zh-TW"/>
        </w:rPr>
        <w:t>6</w:t>
      </w:r>
      <w:r>
        <w:rPr>
          <w:rFonts w:ascii="宋体" w:hAnsi="宋体" w:eastAsia="宋体"/>
          <w:color w:themeColor="text1" w:val="000000"/>
          <w:szCs w:val="21"/>
          <w:lang w:eastAsia="zh-TW"/>
        </w:rPr>
        <w:t>個，由署長提名，署長和副署長每屆任期</w:t>
      </w:r>
      <w:r>
        <w:rPr>
          <w:rFonts w:eastAsia="宋体" w:ascii="宋体" w:hAnsi="宋体"/>
          <w:color w:themeColor="text1" w:val="000000"/>
          <w:szCs w:val="21"/>
          <w:lang w:eastAsia="zh-TW"/>
        </w:rPr>
        <w:t>5</w:t>
      </w:r>
      <w:r>
        <w:rPr>
          <w:rFonts w:ascii="宋体" w:hAnsi="宋体" w:eastAsia="宋体"/>
          <w:color w:themeColor="text1" w:val="000000"/>
          <w:szCs w:val="21"/>
          <w:lang w:eastAsia="zh-TW"/>
        </w:rPr>
        <w:t>年，任職不得超過</w:t>
      </w:r>
      <w:r>
        <w:rPr>
          <w:rFonts w:eastAsia="宋体" w:ascii="宋体" w:hAnsi="宋体"/>
          <w:color w:themeColor="text1" w:val="000000"/>
          <w:szCs w:val="21"/>
          <w:lang w:eastAsia="zh-TW"/>
        </w:rPr>
        <w:t>2</w:t>
      </w:r>
      <w:r>
        <w:rPr>
          <w:rFonts w:ascii="宋体" w:hAnsi="宋体" w:eastAsia="宋体"/>
          <w:color w:themeColor="text1" w:val="000000"/>
          <w:szCs w:val="21"/>
          <w:lang w:eastAsia="zh-TW"/>
        </w:rPr>
        <w:t>屆；聯邦調查署署長和副署長的任免由國家參議會以常規案表決任免產生，常規案表決未通過的由提名人發起常規案二審表決，常規案二審表決未通過的即駁回，駁回的由提名人另選被提名人。</w:t>
      </w:r>
    </w:p>
    <w:p>
      <w:pPr>
        <w:pStyle w:val="11"/>
        <w:numPr>
          <w:ilvl w:val="0"/>
          <w:numId w:val="3"/>
        </w:numPr>
        <w:spacing w:lineRule="exact" w:line="300"/>
        <w:ind w:hanging="1365" w:left="136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聯邦調查署調查專員職級由七個等級組成，分別為警員、警士、警長、警司、警督、警監和總警監。</w:t>
      </w:r>
    </w:p>
    <w:p>
      <w:pPr>
        <w:pStyle w:val="11"/>
        <w:numPr>
          <w:ilvl w:val="0"/>
          <w:numId w:val="43"/>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聯邦調查署設總警監職級</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個，總警監職級授予聯邦調查署署長；聯邦調查署設警監職級</w:t>
      </w:r>
      <w:r>
        <w:rPr>
          <w:rFonts w:eastAsia="宋体" w:ascii="宋体" w:hAnsi="宋体"/>
          <w:color w:themeColor="text1" w:val="000000"/>
          <w:szCs w:val="21"/>
          <w:lang w:eastAsia="zh-TW"/>
        </w:rPr>
        <w:t>55</w:t>
      </w:r>
      <w:r>
        <w:rPr>
          <w:rFonts w:ascii="宋体" w:hAnsi="宋体" w:eastAsia="宋体"/>
          <w:color w:themeColor="text1" w:val="000000"/>
          <w:szCs w:val="21"/>
          <w:lang w:eastAsia="zh-TW"/>
        </w:rPr>
        <w:t>個以下，警監職級授予聯邦調查署副署長及其他高級調查專員。</w:t>
      </w:r>
    </w:p>
    <w:p>
      <w:pPr>
        <w:pStyle w:val="11"/>
        <w:numPr>
          <w:ilvl w:val="0"/>
          <w:numId w:val="43"/>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聯邦調查署設警督職級</w:t>
      </w:r>
      <w:r>
        <w:rPr>
          <w:rFonts w:eastAsia="宋体" w:ascii="宋体" w:hAnsi="宋体"/>
          <w:color w:themeColor="text1" w:val="000000"/>
          <w:szCs w:val="21"/>
          <w:lang w:eastAsia="zh-TW"/>
        </w:rPr>
        <w:t>550</w:t>
      </w:r>
      <w:r>
        <w:rPr>
          <w:rFonts w:ascii="宋体" w:hAnsi="宋体" w:eastAsia="宋体"/>
          <w:color w:themeColor="text1" w:val="000000"/>
          <w:szCs w:val="21"/>
          <w:lang w:eastAsia="zh-TW"/>
        </w:rPr>
        <w:t>個以下，設警司職級</w:t>
      </w:r>
      <w:r>
        <w:rPr>
          <w:rFonts w:eastAsia="宋体" w:ascii="宋体" w:hAnsi="宋体"/>
          <w:color w:themeColor="text1" w:val="000000"/>
          <w:szCs w:val="21"/>
          <w:lang w:eastAsia="zh-TW"/>
        </w:rPr>
        <w:t>1100</w:t>
      </w:r>
      <w:r>
        <w:rPr>
          <w:rFonts w:ascii="宋体" w:hAnsi="宋体" w:eastAsia="宋体"/>
          <w:color w:themeColor="text1" w:val="000000"/>
          <w:szCs w:val="21"/>
          <w:lang w:eastAsia="zh-TW"/>
        </w:rPr>
        <w:t>個以下，設警長職級</w:t>
      </w:r>
      <w:r>
        <w:rPr>
          <w:rFonts w:eastAsia="宋体" w:ascii="宋体" w:hAnsi="宋体"/>
          <w:color w:themeColor="text1" w:val="000000"/>
          <w:szCs w:val="21"/>
          <w:lang w:eastAsia="zh-TW"/>
        </w:rPr>
        <w:t>5500</w:t>
      </w:r>
      <w:r>
        <w:rPr>
          <w:rFonts w:ascii="宋体" w:hAnsi="宋体" w:eastAsia="宋体"/>
          <w:color w:themeColor="text1" w:val="000000"/>
          <w:szCs w:val="21"/>
          <w:lang w:eastAsia="zh-TW"/>
        </w:rPr>
        <w:t>個以下，設警士職級</w:t>
      </w:r>
      <w:r>
        <w:rPr>
          <w:rFonts w:eastAsia="宋体" w:ascii="宋体" w:hAnsi="宋体"/>
          <w:color w:themeColor="text1" w:val="000000"/>
          <w:szCs w:val="21"/>
          <w:lang w:eastAsia="zh-TW"/>
        </w:rPr>
        <w:t>11000</w:t>
      </w:r>
      <w:r>
        <w:rPr>
          <w:rFonts w:ascii="宋体" w:hAnsi="宋体" w:eastAsia="宋体"/>
          <w:color w:themeColor="text1" w:val="000000"/>
          <w:szCs w:val="21"/>
          <w:lang w:eastAsia="zh-TW"/>
        </w:rPr>
        <w:t>個以下，設警員職級</w:t>
      </w:r>
      <w:r>
        <w:rPr>
          <w:rFonts w:eastAsia="宋体" w:ascii="宋体" w:hAnsi="宋体"/>
          <w:color w:themeColor="text1" w:val="000000"/>
          <w:szCs w:val="21"/>
          <w:lang w:eastAsia="zh-TW"/>
        </w:rPr>
        <w:t>22000</w:t>
      </w:r>
      <w:r>
        <w:rPr>
          <w:rFonts w:ascii="宋体" w:hAnsi="宋体" w:eastAsia="宋体"/>
          <w:color w:themeColor="text1" w:val="000000"/>
          <w:szCs w:val="21"/>
          <w:lang w:eastAsia="zh-TW"/>
        </w:rPr>
        <w:t>個以下。</w:t>
      </w:r>
    </w:p>
    <w:p>
      <w:pPr>
        <w:pStyle w:val="11"/>
        <w:numPr>
          <w:ilvl w:val="0"/>
          <w:numId w:val="38"/>
        </w:numPr>
        <w:spacing w:lineRule="exact" w:line="300" w:before="156" w:after="0"/>
        <w:outlineLvl w:val="1"/>
        <w:rPr>
          <w:rFonts w:ascii="宋体" w:hAnsi="宋体" w:eastAsia="宋体"/>
          <w:b/>
          <w:color w:themeColor="text1" w:val="000000"/>
          <w:sz w:val="28"/>
          <w:szCs w:val="28"/>
        </w:rPr>
      </w:pPr>
      <w:bookmarkStart w:id="54" w:name="__RefHeading___Toc7039_4090689648"/>
      <w:bookmarkStart w:id="55" w:name="_Toc147663429"/>
      <w:bookmarkEnd w:id="54"/>
      <w:r>
        <w:rPr>
          <w:rFonts w:ascii="宋体" w:hAnsi="宋体" w:eastAsia="宋体"/>
          <w:b/>
          <w:color w:themeColor="text1" w:val="000000"/>
          <w:sz w:val="28"/>
          <w:szCs w:val="28"/>
        </w:rPr>
        <w:t>省</w:t>
      </w:r>
      <w:r>
        <w:rPr>
          <w:rFonts w:ascii="宋体" w:hAnsi="宋体" w:eastAsia="宋体"/>
          <w:b/>
          <w:color w:themeColor="text1" w:val="000000"/>
          <w:sz w:val="28"/>
          <w:szCs w:val="28"/>
          <w:lang w:eastAsia="zh-TW"/>
        </w:rPr>
        <w:t>監察</w:t>
      </w:r>
      <w:r>
        <w:rPr>
          <w:rFonts w:ascii="宋体" w:hAnsi="宋体" w:eastAsia="宋体"/>
          <w:b/>
          <w:color w:themeColor="text1" w:val="000000"/>
          <w:sz w:val="28"/>
          <w:szCs w:val="28"/>
        </w:rPr>
        <w:t>院</w:t>
      </w:r>
      <w:bookmarkEnd w:id="55"/>
    </w:p>
    <w:p>
      <w:pPr>
        <w:pStyle w:val="11"/>
        <w:numPr>
          <w:ilvl w:val="0"/>
          <w:numId w:val="3"/>
        </w:numPr>
        <w:spacing w:lineRule="exact" w:line="300" w:before="0" w:after="156"/>
        <w:ind w:hanging="1365" w:left="136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中華民族聯邦共和國省級行政區設監察院，簡稱省監察院，省監察院是國家監察院派駐省級行政區的聯邦監察機構；省監察院設院長職位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個，由國家監察院院長提名，設副院長職位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個，由省監察院院長提名，院長和副院長每屆任期</w:t>
      </w:r>
      <w:r>
        <w:rPr>
          <w:rFonts w:eastAsia="宋体" w:ascii="宋体" w:hAnsi="宋体"/>
          <w:color w:themeColor="text1" w:val="000000"/>
          <w:szCs w:val="21"/>
          <w:lang w:eastAsia="zh-TW"/>
        </w:rPr>
        <w:t>5</w:t>
      </w:r>
      <w:r>
        <w:rPr>
          <w:rFonts w:ascii="宋体" w:hAnsi="宋体" w:eastAsia="宋体"/>
          <w:color w:themeColor="text1" w:val="000000"/>
          <w:szCs w:val="21"/>
          <w:lang w:eastAsia="zh-TW"/>
        </w:rPr>
        <w:t>年，任職不得超過</w:t>
      </w:r>
      <w:r>
        <w:rPr>
          <w:rFonts w:eastAsia="宋体" w:ascii="宋体" w:hAnsi="宋体"/>
          <w:color w:themeColor="text1" w:val="000000"/>
          <w:szCs w:val="21"/>
          <w:lang w:eastAsia="zh-TW"/>
        </w:rPr>
        <w:t>2</w:t>
      </w:r>
      <w:r>
        <w:rPr>
          <w:rFonts w:ascii="宋体" w:hAnsi="宋体" w:eastAsia="宋体"/>
          <w:color w:themeColor="text1" w:val="000000"/>
          <w:szCs w:val="21"/>
          <w:lang w:eastAsia="zh-TW"/>
        </w:rPr>
        <w:t>屆。</w:t>
      </w:r>
    </w:p>
    <w:p>
      <w:pPr>
        <w:pStyle w:val="11"/>
        <w:numPr>
          <w:ilvl w:val="0"/>
          <w:numId w:val="3"/>
        </w:numPr>
        <w:spacing w:lineRule="exact" w:line="300" w:before="0" w:after="156"/>
        <w:ind w:hanging="1575" w:left="157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省監察院設首席監察官職位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個，設次席監察官職位</w:t>
      </w:r>
      <w:r>
        <w:rPr>
          <w:rFonts w:eastAsia="宋体" w:ascii="宋体" w:hAnsi="宋体"/>
          <w:color w:themeColor="text1" w:val="000000"/>
          <w:szCs w:val="21"/>
          <w:lang w:eastAsia="zh-TW"/>
        </w:rPr>
        <w:t>3</w:t>
      </w:r>
      <w:r>
        <w:rPr>
          <w:rFonts w:ascii="宋体" w:hAnsi="宋体" w:eastAsia="宋体"/>
          <w:color w:themeColor="text1" w:val="000000"/>
          <w:szCs w:val="21"/>
          <w:lang w:eastAsia="zh-TW"/>
        </w:rPr>
        <w:t>個，設監察官職位</w:t>
      </w:r>
      <w:r>
        <w:rPr>
          <w:rFonts w:eastAsia="宋体" w:ascii="宋体" w:hAnsi="宋体"/>
          <w:color w:themeColor="text1" w:val="000000"/>
          <w:szCs w:val="21"/>
          <w:lang w:eastAsia="zh-TW"/>
        </w:rPr>
        <w:t>5</w:t>
      </w:r>
      <w:r>
        <w:rPr>
          <w:rFonts w:ascii="宋体" w:hAnsi="宋体" w:eastAsia="宋体"/>
          <w:color w:themeColor="text1" w:val="000000"/>
          <w:szCs w:val="21"/>
          <w:lang w:eastAsia="zh-TW"/>
        </w:rPr>
        <w:t>個，由省監察院院長提名；省監察院首席監察官、次席監察官和監察官每屆任期</w:t>
      </w:r>
      <w:r>
        <w:rPr>
          <w:rFonts w:eastAsia="宋体" w:ascii="宋体" w:hAnsi="宋体"/>
          <w:color w:themeColor="text1" w:val="000000"/>
          <w:szCs w:val="21"/>
          <w:lang w:eastAsia="zh-TW"/>
        </w:rPr>
        <w:t>5</w:t>
      </w:r>
      <w:r>
        <w:rPr>
          <w:rFonts w:ascii="宋体" w:hAnsi="宋体" w:eastAsia="宋体"/>
          <w:color w:themeColor="text1" w:val="000000"/>
          <w:szCs w:val="21"/>
          <w:lang w:eastAsia="zh-TW"/>
        </w:rPr>
        <w:t>年，任職不得超過</w:t>
      </w:r>
      <w:r>
        <w:rPr>
          <w:rFonts w:eastAsia="宋体" w:ascii="宋体" w:hAnsi="宋体"/>
          <w:color w:themeColor="text1" w:val="000000"/>
          <w:szCs w:val="21"/>
          <w:lang w:eastAsia="zh-TW"/>
        </w:rPr>
        <w:t>2</w:t>
      </w:r>
      <w:r>
        <w:rPr>
          <w:rFonts w:ascii="宋体" w:hAnsi="宋体" w:eastAsia="宋体"/>
          <w:color w:themeColor="text1" w:val="000000"/>
          <w:szCs w:val="21"/>
          <w:lang w:eastAsia="zh-TW"/>
        </w:rPr>
        <w:t>屆。</w:t>
      </w:r>
    </w:p>
    <w:p>
      <w:pPr>
        <w:pStyle w:val="11"/>
        <w:numPr>
          <w:ilvl w:val="0"/>
          <w:numId w:val="3"/>
        </w:numPr>
        <w:spacing w:lineRule="exact" w:line="300"/>
        <w:ind w:hanging="1575" w:left="157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省監察院院長、副院長、首席監察官、次席監察官和監察官的任免由省參議會以常規案表決任免產生，常規案表決未通過的由提名人發起常規案二審表決，常規案二審表決未通過的即駁回，駁回的由提名人另選被提名人。</w:t>
      </w:r>
    </w:p>
    <w:p>
      <w:pPr>
        <w:pStyle w:val="11"/>
        <w:numPr>
          <w:ilvl w:val="0"/>
          <w:numId w:val="38"/>
        </w:numPr>
        <w:spacing w:lineRule="exact" w:line="300" w:before="156" w:after="0"/>
        <w:outlineLvl w:val="1"/>
        <w:rPr>
          <w:rFonts w:ascii="宋体" w:hAnsi="宋体" w:eastAsia="宋体"/>
          <w:b/>
          <w:color w:themeColor="text1" w:val="000000"/>
          <w:sz w:val="28"/>
          <w:szCs w:val="28"/>
        </w:rPr>
      </w:pPr>
      <w:bookmarkStart w:id="56" w:name="__RefHeading___Toc7041_4090689648"/>
      <w:bookmarkStart w:id="57" w:name="_Toc147663430"/>
      <w:bookmarkEnd w:id="56"/>
      <w:r>
        <w:rPr>
          <w:rFonts w:ascii="宋体" w:hAnsi="宋体" w:eastAsia="宋体"/>
          <w:b/>
          <w:color w:themeColor="text1" w:val="000000"/>
          <w:sz w:val="28"/>
          <w:szCs w:val="28"/>
        </w:rPr>
        <w:t>市</w:t>
      </w:r>
      <w:r>
        <w:rPr>
          <w:rFonts w:ascii="宋体" w:hAnsi="宋体" w:eastAsia="宋体"/>
          <w:b/>
          <w:color w:themeColor="text1" w:val="000000"/>
          <w:sz w:val="28"/>
          <w:szCs w:val="28"/>
          <w:lang w:eastAsia="zh-TW"/>
        </w:rPr>
        <w:t>監察</w:t>
      </w:r>
      <w:r>
        <w:rPr>
          <w:rFonts w:ascii="宋体" w:hAnsi="宋体" w:eastAsia="宋体"/>
          <w:b/>
          <w:color w:themeColor="text1" w:val="000000"/>
          <w:sz w:val="28"/>
          <w:szCs w:val="28"/>
        </w:rPr>
        <w:t>院</w:t>
      </w:r>
      <w:bookmarkEnd w:id="57"/>
    </w:p>
    <w:p>
      <w:pPr>
        <w:pStyle w:val="11"/>
        <w:numPr>
          <w:ilvl w:val="0"/>
          <w:numId w:val="3"/>
        </w:numPr>
        <w:spacing w:lineRule="exact" w:line="300" w:before="0" w:after="156"/>
        <w:ind w:hanging="1575" w:left="157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中華民族聯邦共和國市級行政區設監察院，簡稱市監察院，市監察院設院長職位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個，設副院長職位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個，由市自治會提名；市監察院院長和副院長每屆任期</w:t>
      </w:r>
      <w:r>
        <w:rPr>
          <w:rFonts w:eastAsia="宋体" w:ascii="宋体" w:hAnsi="宋体"/>
          <w:color w:themeColor="text1" w:val="000000"/>
          <w:szCs w:val="21"/>
          <w:lang w:eastAsia="zh-TW"/>
        </w:rPr>
        <w:t>5</w:t>
      </w:r>
      <w:r>
        <w:rPr>
          <w:rFonts w:ascii="宋体" w:hAnsi="宋体" w:eastAsia="宋体"/>
          <w:color w:themeColor="text1" w:val="000000"/>
          <w:szCs w:val="21"/>
          <w:lang w:eastAsia="zh-TW"/>
        </w:rPr>
        <w:t>年，任職不得超過</w:t>
      </w:r>
      <w:r>
        <w:rPr>
          <w:rFonts w:eastAsia="宋体" w:ascii="宋体" w:hAnsi="宋体"/>
          <w:color w:themeColor="text1" w:val="000000"/>
          <w:szCs w:val="21"/>
          <w:lang w:eastAsia="zh-TW"/>
        </w:rPr>
        <w:t>2</w:t>
      </w:r>
      <w:r>
        <w:rPr>
          <w:rFonts w:ascii="宋体" w:hAnsi="宋体" w:eastAsia="宋体"/>
          <w:color w:themeColor="text1" w:val="000000"/>
          <w:szCs w:val="21"/>
          <w:lang w:eastAsia="zh-TW"/>
        </w:rPr>
        <w:t>屆。</w:t>
      </w:r>
    </w:p>
    <w:p>
      <w:pPr>
        <w:pStyle w:val="11"/>
        <w:numPr>
          <w:ilvl w:val="0"/>
          <w:numId w:val="3"/>
        </w:numPr>
        <w:spacing w:lineRule="exact" w:line="300" w:before="0" w:after="156"/>
        <w:ind w:hanging="1575" w:left="157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市監察院設首席監察官職位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個，設次席監察官職位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個，設監察官職位</w:t>
      </w:r>
      <w:r>
        <w:rPr>
          <w:rFonts w:eastAsia="宋体" w:ascii="宋体" w:hAnsi="宋体"/>
          <w:color w:themeColor="text1" w:val="000000"/>
          <w:szCs w:val="21"/>
          <w:lang w:eastAsia="zh-TW"/>
        </w:rPr>
        <w:t>3</w:t>
      </w:r>
      <w:r>
        <w:rPr>
          <w:rFonts w:ascii="宋体" w:hAnsi="宋体" w:eastAsia="宋体"/>
          <w:color w:themeColor="text1" w:val="000000"/>
          <w:szCs w:val="21"/>
          <w:lang w:eastAsia="zh-TW"/>
        </w:rPr>
        <w:t>個，由市監察院院長提名；市監察院首席監察官、次席監察官和監察官每屆任期</w:t>
      </w:r>
      <w:r>
        <w:rPr>
          <w:rFonts w:eastAsia="宋体" w:ascii="宋体" w:hAnsi="宋体"/>
          <w:color w:themeColor="text1" w:val="000000"/>
          <w:szCs w:val="21"/>
          <w:lang w:eastAsia="zh-TW"/>
        </w:rPr>
        <w:t>5</w:t>
      </w:r>
      <w:r>
        <w:rPr>
          <w:rFonts w:ascii="宋体" w:hAnsi="宋体" w:eastAsia="宋体"/>
          <w:color w:themeColor="text1" w:val="000000"/>
          <w:szCs w:val="21"/>
          <w:lang w:eastAsia="zh-TW"/>
        </w:rPr>
        <w:t>年，任職不得超過</w:t>
      </w:r>
      <w:r>
        <w:rPr>
          <w:rFonts w:eastAsia="宋体" w:ascii="宋体" w:hAnsi="宋体"/>
          <w:color w:themeColor="text1" w:val="000000"/>
          <w:szCs w:val="21"/>
          <w:lang w:eastAsia="zh-TW"/>
        </w:rPr>
        <w:t>4</w:t>
      </w:r>
      <w:r>
        <w:rPr>
          <w:rFonts w:ascii="宋体" w:hAnsi="宋体" w:eastAsia="宋体"/>
          <w:color w:themeColor="text1" w:val="000000"/>
          <w:szCs w:val="21"/>
          <w:lang w:eastAsia="zh-TW"/>
        </w:rPr>
        <w:t>屆。</w:t>
      </w:r>
    </w:p>
    <w:p>
      <w:pPr>
        <w:pStyle w:val="11"/>
        <w:numPr>
          <w:ilvl w:val="0"/>
          <w:numId w:val="3"/>
        </w:numPr>
        <w:spacing w:lineRule="exact" w:line="300"/>
        <w:ind w:hanging="1575" w:left="157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市監察院院長、副院長、首席監察官、次席監察官和監察官的任免由市立法會以常規案表決任免產生，常規案表決未通過的由提名人發起常規案二審表決，常規案二審表決未通過的即駁回，駁回的由提名人另選被提名人。</w:t>
      </w:r>
    </w:p>
    <w:p>
      <w:pPr>
        <w:pStyle w:val="11"/>
        <w:numPr>
          <w:ilvl w:val="0"/>
          <w:numId w:val="1"/>
        </w:numPr>
        <w:spacing w:lineRule="exact" w:line="400" w:before="156" w:after="156"/>
        <w:jc w:val="center"/>
        <w:outlineLvl w:val="0"/>
        <w:rPr>
          <w:rFonts w:ascii="宋体" w:hAnsi="宋体" w:eastAsia="宋体" w:cs="Times New Roman (正文 CS 字体)"/>
          <w:b/>
          <w:color w:themeColor="text1" w:val="000000"/>
          <w:sz w:val="32"/>
          <w:szCs w:val="32"/>
        </w:rPr>
      </w:pPr>
      <w:bookmarkStart w:id="58" w:name="__RefHeading___Toc7043_4090689648"/>
      <w:bookmarkStart w:id="59" w:name="_Toc147663431"/>
      <w:bookmarkEnd w:id="58"/>
      <w:r>
        <w:rPr>
          <w:rFonts w:ascii="宋体" w:hAnsi="宋体" w:cs="Times New Roman (正文 CS 字体)" w:eastAsia="宋体"/>
          <w:b/>
          <w:color w:themeColor="text1" w:val="000000"/>
          <w:sz w:val="32"/>
          <w:szCs w:val="32"/>
        </w:rPr>
        <w:t>教委會</w:t>
      </w:r>
      <w:bookmarkEnd w:id="59"/>
    </w:p>
    <w:p>
      <w:pPr>
        <w:pStyle w:val="11"/>
        <w:numPr>
          <w:ilvl w:val="0"/>
          <w:numId w:val="44"/>
        </w:numPr>
        <w:spacing w:lineRule="exact" w:line="300" w:before="156" w:after="0"/>
        <w:outlineLvl w:val="1"/>
        <w:rPr>
          <w:rFonts w:ascii="宋体" w:hAnsi="宋体" w:eastAsia="宋体"/>
          <w:b/>
          <w:color w:themeColor="text1" w:val="000000"/>
          <w:sz w:val="28"/>
          <w:szCs w:val="28"/>
        </w:rPr>
      </w:pPr>
      <w:bookmarkStart w:id="60" w:name="__RefHeading___Toc7045_4090689648"/>
      <w:bookmarkStart w:id="61" w:name="_Toc147663432"/>
      <w:bookmarkEnd w:id="60"/>
      <w:r>
        <w:rPr>
          <w:rFonts w:ascii="宋体" w:hAnsi="宋体" w:eastAsia="宋体"/>
          <w:b/>
          <w:color w:themeColor="text1" w:val="000000"/>
          <w:sz w:val="28"/>
          <w:szCs w:val="28"/>
          <w:lang w:eastAsia="zh-TW"/>
        </w:rPr>
        <w:t>國家</w:t>
      </w:r>
      <w:r>
        <w:rPr>
          <w:rFonts w:ascii="宋体" w:hAnsi="宋体" w:eastAsia="宋体"/>
          <w:b/>
          <w:color w:themeColor="text1" w:val="000000"/>
          <w:sz w:val="28"/>
          <w:szCs w:val="28"/>
        </w:rPr>
        <w:t>教委會</w:t>
      </w:r>
      <w:bookmarkEnd w:id="61"/>
    </w:p>
    <w:p>
      <w:pPr>
        <w:pStyle w:val="11"/>
        <w:numPr>
          <w:ilvl w:val="0"/>
          <w:numId w:val="3"/>
        </w:numPr>
        <w:spacing w:lineRule="exact" w:line="300" w:before="0" w:after="156"/>
        <w:ind w:hanging="1575" w:left="157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中華民族聯邦共和國設國家公民教育委員會，簡稱國家教委會，國家教委會設主席職位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個，設副主席職位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個，由國家教委會現任委員互選產生；國家教委會主席和副主席每屆任期</w:t>
      </w:r>
      <w:r>
        <w:rPr>
          <w:rFonts w:eastAsia="宋体" w:ascii="宋体" w:hAnsi="宋体"/>
          <w:color w:themeColor="text1" w:val="000000"/>
          <w:szCs w:val="21"/>
          <w:lang w:eastAsia="zh-TW"/>
        </w:rPr>
        <w:t>3</w:t>
      </w:r>
      <w:r>
        <w:rPr>
          <w:rFonts w:ascii="宋体" w:hAnsi="宋体" w:eastAsia="宋体"/>
          <w:color w:themeColor="text1" w:val="000000"/>
          <w:szCs w:val="21"/>
          <w:lang w:eastAsia="zh-TW"/>
        </w:rPr>
        <w:t>年，任職不得超過</w:t>
      </w:r>
      <w:r>
        <w:rPr>
          <w:rFonts w:eastAsia="宋体" w:ascii="宋体" w:hAnsi="宋体"/>
          <w:color w:themeColor="text1" w:val="000000"/>
          <w:szCs w:val="21"/>
          <w:lang w:eastAsia="zh-TW"/>
        </w:rPr>
        <w:t>5</w:t>
      </w:r>
      <w:r>
        <w:rPr>
          <w:rFonts w:ascii="宋体" w:hAnsi="宋体" w:eastAsia="宋体"/>
          <w:color w:themeColor="text1" w:val="000000"/>
          <w:szCs w:val="21"/>
          <w:lang w:eastAsia="zh-TW"/>
        </w:rPr>
        <w:t>屆。</w:t>
      </w:r>
    </w:p>
    <w:p>
      <w:pPr>
        <w:pStyle w:val="11"/>
        <w:numPr>
          <w:ilvl w:val="0"/>
          <w:numId w:val="3"/>
        </w:numPr>
        <w:spacing w:lineRule="exact" w:line="300" w:before="0" w:after="156"/>
        <w:ind w:hanging="1575" w:left="157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省級行政區選舉產生的國家教委會委員，由該省轄區內市教委會現任委員通過投票，在現任市教委會委員中，分別選舉產生</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名教師委員和</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名任意職業委員。</w:t>
      </w:r>
    </w:p>
    <w:p>
      <w:pPr>
        <w:pStyle w:val="11"/>
        <w:numPr>
          <w:ilvl w:val="0"/>
          <w:numId w:val="3"/>
        </w:numPr>
        <w:spacing w:lineRule="exact" w:line="300" w:before="0" w:after="156"/>
        <w:ind w:hanging="1575" w:left="157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大學聯盟選舉產生的國家教委會委員，由各大學聯盟選舉產生的國家教委會委員候選人互選產生；國家教委會委員候選人，由各大學聯盟從國家教委會委員預備候選人中互選產生，每個大學聯盟限產生</w:t>
      </w:r>
      <w:r>
        <w:rPr>
          <w:rFonts w:eastAsia="宋体" w:ascii="宋体" w:hAnsi="宋体"/>
          <w:color w:themeColor="text1" w:val="000000"/>
          <w:szCs w:val="21"/>
          <w:lang w:eastAsia="zh-TW"/>
        </w:rPr>
        <w:t>10</w:t>
      </w:r>
      <w:r>
        <w:rPr>
          <w:rFonts w:ascii="宋体" w:hAnsi="宋体" w:eastAsia="宋体"/>
          <w:color w:themeColor="text1" w:val="000000"/>
          <w:szCs w:val="21"/>
          <w:lang w:eastAsia="zh-TW"/>
        </w:rPr>
        <w:t>名國家教委會委員候選人；國家教委會委員預備候選人，由各大學校教委會現任委員互選產生，每個大學限產生</w:t>
      </w:r>
      <w:r>
        <w:rPr>
          <w:rFonts w:eastAsia="宋体" w:ascii="宋体" w:hAnsi="宋体"/>
          <w:color w:themeColor="text1" w:val="000000"/>
          <w:szCs w:val="21"/>
          <w:lang w:eastAsia="zh-TW"/>
        </w:rPr>
        <w:t>3</w:t>
      </w:r>
      <w:r>
        <w:rPr>
          <w:rFonts w:ascii="宋体" w:hAnsi="宋体" w:eastAsia="宋体"/>
          <w:color w:themeColor="text1" w:val="000000"/>
          <w:szCs w:val="21"/>
          <w:lang w:eastAsia="zh-TW"/>
        </w:rPr>
        <w:t>名國家教委會委員預備候選人。</w:t>
      </w:r>
    </w:p>
    <w:p>
      <w:pPr>
        <w:pStyle w:val="11"/>
        <w:numPr>
          <w:ilvl w:val="0"/>
          <w:numId w:val="3"/>
        </w:numPr>
        <w:spacing w:lineRule="exact" w:line="300"/>
        <w:ind w:hanging="1575" w:left="157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教育應脫離政府的行政干預，除教委會擁有對教育機構的管理權外，各級政府對教育機構沒有行政管理權，且政府有義務保障公立教育機構的財政預算。</w:t>
      </w:r>
    </w:p>
    <w:p>
      <w:pPr>
        <w:pStyle w:val="11"/>
        <w:numPr>
          <w:ilvl w:val="0"/>
          <w:numId w:val="45"/>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中華民族聯邦共和國的大學是高度自治的社會組織，大學教學區不屬於所在地行政管理區，大學校教委會僅隸屬於國家教委會，大學校教委會有權有義務制訂本校教學內容和教學規則。</w:t>
      </w:r>
    </w:p>
    <w:p>
      <w:pPr>
        <w:pStyle w:val="11"/>
        <w:numPr>
          <w:ilvl w:val="0"/>
          <w:numId w:val="45"/>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國家教委會委員有權有義務起草提交國家立法院所有教育類法案草案，國家教委會委員起草提交的教育類法案草案由國家教委會表決，國家教委會表決通過的，由國家教委會主席提交至國家立法院參議會表決。</w:t>
      </w:r>
    </w:p>
    <w:p>
      <w:pPr>
        <w:pStyle w:val="11"/>
        <w:numPr>
          <w:ilvl w:val="0"/>
          <w:numId w:val="45"/>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國家教委會委員提交的常規案表決的教育類法案草案，由國家教委會以常規案表決，國家教委會常規案表決未通過的，委員可提交該法案草案進行常規案二審表決，國家教委會常規案二審表決未通過的即駁回。</w:t>
      </w:r>
    </w:p>
    <w:p>
      <w:pPr>
        <w:pStyle w:val="11"/>
        <w:numPr>
          <w:ilvl w:val="0"/>
          <w:numId w:val="45"/>
        </w:numPr>
        <w:spacing w:lineRule="exact" w:line="300" w:before="0" w:after="156"/>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國家教委會委員提交的重要案表決的教育類法案草案，由國家教委會以重要案表決，國家教委會重要案表決未通過的即駁回。</w:t>
      </w:r>
    </w:p>
    <w:p>
      <w:pPr>
        <w:pStyle w:val="11"/>
        <w:numPr>
          <w:ilvl w:val="0"/>
          <w:numId w:val="44"/>
        </w:numPr>
        <w:spacing w:lineRule="exact" w:line="300" w:before="156" w:after="0"/>
        <w:outlineLvl w:val="1"/>
        <w:rPr>
          <w:rFonts w:ascii="宋体" w:hAnsi="宋体" w:eastAsia="宋体"/>
          <w:b/>
          <w:color w:themeColor="text1" w:val="000000"/>
          <w:sz w:val="28"/>
          <w:szCs w:val="28"/>
        </w:rPr>
      </w:pPr>
      <w:bookmarkStart w:id="62" w:name="__RefHeading___Toc7047_4090689648"/>
      <w:bookmarkStart w:id="63" w:name="_Toc147663433"/>
      <w:bookmarkEnd w:id="62"/>
      <w:r>
        <w:rPr>
          <w:rFonts w:ascii="宋体" w:hAnsi="宋体" w:eastAsia="宋体"/>
          <w:b/>
          <w:color w:themeColor="text1" w:val="000000"/>
          <w:sz w:val="28"/>
          <w:szCs w:val="28"/>
        </w:rPr>
        <w:t>市教委會</w:t>
      </w:r>
      <w:bookmarkEnd w:id="63"/>
    </w:p>
    <w:p>
      <w:pPr>
        <w:pStyle w:val="11"/>
        <w:numPr>
          <w:ilvl w:val="0"/>
          <w:numId w:val="3"/>
        </w:numPr>
        <w:spacing w:lineRule="exact" w:line="300" w:before="0" w:after="156"/>
        <w:ind w:hanging="1365" w:left="136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中華民族聯邦共和國市級行政區設市公民教育委員會，簡稱市教委會，市教委會由</w:t>
      </w:r>
      <w:r>
        <w:rPr>
          <w:rFonts w:eastAsia="宋体" w:ascii="宋体" w:hAnsi="宋体"/>
          <w:color w:themeColor="text1" w:val="000000"/>
          <w:szCs w:val="21"/>
          <w:lang w:eastAsia="zh-TW"/>
        </w:rPr>
        <w:t>15</w:t>
      </w:r>
      <w:r>
        <w:rPr>
          <w:rFonts w:ascii="宋体" w:hAnsi="宋体" w:eastAsia="宋体"/>
          <w:color w:themeColor="text1" w:val="000000"/>
          <w:szCs w:val="21"/>
          <w:lang w:eastAsia="zh-TW"/>
        </w:rPr>
        <w:t>名委員組成，委員每屆任期</w:t>
      </w:r>
      <w:r>
        <w:rPr>
          <w:rFonts w:eastAsia="宋体" w:ascii="宋体" w:hAnsi="宋体"/>
          <w:color w:themeColor="text1" w:val="000000"/>
          <w:szCs w:val="21"/>
          <w:lang w:eastAsia="zh-TW"/>
        </w:rPr>
        <w:t>3</w:t>
      </w:r>
      <w:r>
        <w:rPr>
          <w:rFonts w:ascii="宋体" w:hAnsi="宋体" w:eastAsia="宋体"/>
          <w:color w:themeColor="text1" w:val="000000"/>
          <w:szCs w:val="21"/>
          <w:lang w:eastAsia="zh-TW"/>
        </w:rPr>
        <w:t>年，任職不得超過</w:t>
      </w:r>
      <w:r>
        <w:rPr>
          <w:rFonts w:eastAsia="宋体" w:ascii="宋体" w:hAnsi="宋体"/>
          <w:color w:themeColor="text1" w:val="000000"/>
          <w:szCs w:val="21"/>
          <w:lang w:eastAsia="zh-TW"/>
        </w:rPr>
        <w:t>5</w:t>
      </w:r>
      <w:r>
        <w:rPr>
          <w:rFonts w:ascii="宋体" w:hAnsi="宋体" w:eastAsia="宋体"/>
          <w:color w:themeColor="text1" w:val="000000"/>
          <w:szCs w:val="21"/>
          <w:lang w:eastAsia="zh-TW"/>
        </w:rPr>
        <w:t>屆。</w:t>
      </w:r>
    </w:p>
    <w:p>
      <w:pPr>
        <w:pStyle w:val="11"/>
        <w:numPr>
          <w:ilvl w:val="0"/>
          <w:numId w:val="3"/>
        </w:numPr>
        <w:spacing w:lineRule="exact" w:line="300" w:before="0" w:after="156"/>
        <w:ind w:hanging="1575" w:left="157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市教委會委員由該市擁有選舉權的公民從市教委會委員候選人當中投票選舉產生，該市轄區內所有中學、小學和初學的校教委會均可推選出</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名市教委會委員候選人，且市教委會委員候選人不得少於</w:t>
      </w:r>
      <w:r>
        <w:rPr>
          <w:rFonts w:eastAsia="宋体" w:ascii="宋体" w:hAnsi="宋体"/>
          <w:color w:themeColor="text1" w:val="000000"/>
          <w:szCs w:val="21"/>
          <w:lang w:eastAsia="zh-TW"/>
        </w:rPr>
        <w:t>30</w:t>
      </w:r>
      <w:r>
        <w:rPr>
          <w:rFonts w:ascii="宋体" w:hAnsi="宋体" w:eastAsia="宋体"/>
          <w:color w:themeColor="text1" w:val="000000"/>
          <w:szCs w:val="21"/>
          <w:lang w:eastAsia="zh-TW"/>
        </w:rPr>
        <w:t>人。</w:t>
      </w:r>
    </w:p>
    <w:p>
      <w:pPr>
        <w:pStyle w:val="11"/>
        <w:numPr>
          <w:ilvl w:val="0"/>
          <w:numId w:val="3"/>
        </w:numPr>
        <w:spacing w:lineRule="exact" w:line="300" w:before="0" w:after="156"/>
        <w:ind w:hanging="1575" w:left="157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市教委會設主席職位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個，設副主席職位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個，由市教委會現任委員互選產生，主席和副主席每屆任期</w:t>
      </w:r>
      <w:r>
        <w:rPr>
          <w:rFonts w:eastAsia="宋体" w:ascii="宋体" w:hAnsi="宋体"/>
          <w:color w:themeColor="text1" w:val="000000"/>
          <w:szCs w:val="21"/>
          <w:lang w:eastAsia="zh-TW"/>
        </w:rPr>
        <w:t>3</w:t>
      </w:r>
      <w:r>
        <w:rPr>
          <w:rFonts w:ascii="宋体" w:hAnsi="宋体" w:eastAsia="宋体"/>
          <w:color w:themeColor="text1" w:val="000000"/>
          <w:szCs w:val="21"/>
          <w:lang w:eastAsia="zh-TW"/>
        </w:rPr>
        <w:t>年，任職不得超過</w:t>
      </w:r>
      <w:r>
        <w:rPr>
          <w:rFonts w:eastAsia="宋体" w:ascii="宋体" w:hAnsi="宋体"/>
          <w:color w:themeColor="text1" w:val="000000"/>
          <w:szCs w:val="21"/>
          <w:lang w:eastAsia="zh-TW"/>
        </w:rPr>
        <w:t>2</w:t>
      </w:r>
      <w:r>
        <w:rPr>
          <w:rFonts w:ascii="宋体" w:hAnsi="宋体" w:eastAsia="宋体"/>
          <w:color w:themeColor="text1" w:val="000000"/>
          <w:szCs w:val="21"/>
          <w:lang w:eastAsia="zh-TW"/>
        </w:rPr>
        <w:t>屆。</w:t>
      </w:r>
    </w:p>
    <w:p>
      <w:pPr>
        <w:pStyle w:val="11"/>
        <w:numPr>
          <w:ilvl w:val="0"/>
          <w:numId w:val="3"/>
        </w:numPr>
        <w:spacing w:lineRule="exact" w:line="300" w:before="0" w:after="156"/>
        <w:ind w:hanging="1575" w:left="157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市教委會有權有義務監督轄區內除大學以外的所有教育機構是否執行國家教育法律法案，有權有義務檢查轄區內除大學以外的所有學校的教育教學情況，有權有義務執行國家教育法律法案。</w:t>
      </w:r>
    </w:p>
    <w:p>
      <w:pPr>
        <w:pStyle w:val="11"/>
        <w:numPr>
          <w:ilvl w:val="0"/>
          <w:numId w:val="44"/>
        </w:numPr>
        <w:spacing w:lineRule="exact" w:line="300" w:before="156" w:after="0"/>
        <w:outlineLvl w:val="1"/>
        <w:rPr>
          <w:rFonts w:ascii="宋体" w:hAnsi="宋体" w:eastAsia="宋体"/>
          <w:b/>
          <w:color w:themeColor="text1" w:val="000000"/>
          <w:sz w:val="28"/>
          <w:szCs w:val="28"/>
        </w:rPr>
      </w:pPr>
      <w:bookmarkStart w:id="64" w:name="__RefHeading___Toc7049_4090689648"/>
      <w:bookmarkStart w:id="65" w:name="_Toc147663434"/>
      <w:bookmarkEnd w:id="64"/>
      <w:r>
        <w:rPr>
          <w:rFonts w:ascii="宋体" w:hAnsi="宋体" w:eastAsia="宋体"/>
          <w:b/>
          <w:color w:themeColor="text1" w:val="000000"/>
          <w:sz w:val="28"/>
          <w:szCs w:val="28"/>
        </w:rPr>
        <w:t>校教委會</w:t>
      </w:r>
      <w:bookmarkEnd w:id="65"/>
    </w:p>
    <w:p>
      <w:pPr>
        <w:pStyle w:val="11"/>
        <w:numPr>
          <w:ilvl w:val="0"/>
          <w:numId w:val="3"/>
        </w:numPr>
        <w:spacing w:lineRule="exact" w:line="300" w:before="0" w:after="156"/>
        <w:ind w:hanging="1575" w:left="157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中華民族聯邦共和國所有大學、中學、小學和初學必須設立學校公民教育委員會，簡稱校教委會，校教委會為學校的最高行政管理機構；大學校教委會由</w:t>
      </w:r>
      <w:r>
        <w:rPr>
          <w:rFonts w:eastAsia="宋体" w:ascii="宋体" w:hAnsi="宋体"/>
          <w:color w:themeColor="text1" w:val="000000"/>
          <w:szCs w:val="21"/>
          <w:lang w:eastAsia="zh-TW"/>
        </w:rPr>
        <w:t>15</w:t>
      </w:r>
      <w:r>
        <w:rPr>
          <w:rFonts w:ascii="宋体" w:hAnsi="宋体" w:eastAsia="宋体"/>
          <w:color w:themeColor="text1" w:val="000000"/>
          <w:szCs w:val="21"/>
          <w:lang w:eastAsia="zh-TW"/>
        </w:rPr>
        <w:t>名委員組成，中學、小學和初學校教委會由</w:t>
      </w:r>
      <w:r>
        <w:rPr>
          <w:rFonts w:eastAsia="宋体" w:ascii="宋体" w:hAnsi="宋体"/>
          <w:color w:themeColor="text1" w:val="000000"/>
          <w:szCs w:val="21"/>
          <w:lang w:eastAsia="zh-TW"/>
        </w:rPr>
        <w:t>11</w:t>
      </w:r>
      <w:r>
        <w:rPr>
          <w:rFonts w:ascii="宋体" w:hAnsi="宋体" w:eastAsia="宋体"/>
          <w:color w:themeColor="text1" w:val="000000"/>
          <w:szCs w:val="21"/>
          <w:lang w:eastAsia="zh-TW"/>
        </w:rPr>
        <w:t>名委員組成。</w:t>
      </w:r>
    </w:p>
    <w:p>
      <w:pPr>
        <w:pStyle w:val="11"/>
        <w:numPr>
          <w:ilvl w:val="0"/>
          <w:numId w:val="3"/>
        </w:numPr>
        <w:spacing w:lineRule="exact" w:line="300" w:before="0" w:after="156"/>
        <w:ind w:hanging="1575" w:left="157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大學校教委會委員中，任教於該大學的教授委員為</w:t>
      </w:r>
      <w:r>
        <w:rPr>
          <w:rFonts w:eastAsia="宋体" w:ascii="宋体" w:hAnsi="宋体"/>
          <w:color w:themeColor="text1" w:val="000000"/>
          <w:szCs w:val="21"/>
          <w:lang w:eastAsia="zh-TW"/>
        </w:rPr>
        <w:t>11</w:t>
      </w:r>
      <w:r>
        <w:rPr>
          <w:rFonts w:ascii="宋体" w:hAnsi="宋体" w:eastAsia="宋体"/>
          <w:color w:themeColor="text1" w:val="000000"/>
          <w:szCs w:val="21"/>
          <w:lang w:eastAsia="zh-TW"/>
        </w:rPr>
        <w:t>人，就讀於該大學的學生委員為</w:t>
      </w:r>
      <w:r>
        <w:rPr>
          <w:rFonts w:eastAsia="宋体" w:ascii="宋体" w:hAnsi="宋体"/>
          <w:color w:themeColor="text1" w:val="000000"/>
          <w:szCs w:val="21"/>
          <w:lang w:eastAsia="zh-TW"/>
        </w:rPr>
        <w:t>3</w:t>
      </w:r>
      <w:r>
        <w:rPr>
          <w:rFonts w:ascii="宋体" w:hAnsi="宋体" w:eastAsia="宋体"/>
          <w:color w:themeColor="text1" w:val="000000"/>
          <w:szCs w:val="21"/>
          <w:lang w:eastAsia="zh-TW"/>
        </w:rPr>
        <w:t>人，獨立委員為</w:t>
      </w:r>
      <w:r>
        <w:rPr>
          <w:rFonts w:eastAsia="宋体" w:ascii="宋体" w:hAnsi="宋体"/>
          <w:color w:themeColor="text1" w:val="000000"/>
          <w:szCs w:val="21"/>
          <w:lang w:eastAsia="zh-TW"/>
        </w:rPr>
        <w:t>1</w:t>
      </w:r>
      <w:r>
        <w:rPr>
          <w:rFonts w:ascii="宋体" w:hAnsi="宋体" w:eastAsia="宋体"/>
          <w:color w:themeColor="text1" w:val="000000"/>
          <w:szCs w:val="21"/>
          <w:lang w:eastAsia="zh-TW"/>
        </w:rPr>
        <w:t>人；中學、小學和初學校教委會委員中，任教於該校的教師委員為</w:t>
      </w:r>
      <w:r>
        <w:rPr>
          <w:rFonts w:eastAsia="宋体" w:ascii="宋体" w:hAnsi="宋体"/>
          <w:color w:themeColor="text1" w:val="000000"/>
          <w:szCs w:val="21"/>
          <w:lang w:eastAsia="zh-TW"/>
        </w:rPr>
        <w:t>7</w:t>
      </w:r>
      <w:r>
        <w:rPr>
          <w:rFonts w:ascii="宋体" w:hAnsi="宋体" w:eastAsia="宋体"/>
          <w:color w:themeColor="text1" w:val="000000"/>
          <w:szCs w:val="21"/>
          <w:lang w:eastAsia="zh-TW"/>
        </w:rPr>
        <w:t>人，就讀於該校的學生的監護人委員為</w:t>
      </w:r>
      <w:r>
        <w:rPr>
          <w:rFonts w:eastAsia="宋体" w:ascii="宋体" w:hAnsi="宋体"/>
          <w:color w:themeColor="text1" w:val="000000"/>
          <w:szCs w:val="21"/>
          <w:lang w:eastAsia="zh-TW"/>
        </w:rPr>
        <w:t>3</w:t>
      </w:r>
      <w:r>
        <w:rPr>
          <w:rFonts w:ascii="宋体" w:hAnsi="宋体" w:eastAsia="宋体"/>
          <w:color w:themeColor="text1" w:val="000000"/>
          <w:szCs w:val="21"/>
          <w:lang w:eastAsia="zh-TW"/>
        </w:rPr>
        <w:t>人，獨立委員為</w:t>
      </w:r>
      <w:r>
        <w:rPr>
          <w:rFonts w:eastAsia="宋体" w:ascii="宋体" w:hAnsi="宋体"/>
          <w:color w:themeColor="text1" w:val="000000"/>
          <w:szCs w:val="21"/>
          <w:lang w:eastAsia="zh-TW"/>
        </w:rPr>
        <w:t>1</w:t>
      </w:r>
      <w:r>
        <w:rPr>
          <w:rFonts w:ascii="宋体" w:hAnsi="宋体" w:eastAsia="宋体"/>
          <w:color w:themeColor="text1" w:val="000000"/>
          <w:szCs w:val="21"/>
          <w:lang w:eastAsia="zh-TW"/>
        </w:rPr>
        <w:t>人。</w:t>
      </w:r>
    </w:p>
    <w:p>
      <w:pPr>
        <w:pStyle w:val="11"/>
        <w:numPr>
          <w:ilvl w:val="0"/>
          <w:numId w:val="3"/>
        </w:numPr>
        <w:spacing w:lineRule="exact" w:line="300" w:before="0" w:after="156"/>
        <w:ind w:hanging="1575" w:left="157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大學校教委會教授委員的選舉，由該校教授委員候選人互選產生；學生委員的選舉，由該校學生委員候選人互選產生；獨立委員的選舉，由該校在校學生選舉產生。中學、小學和初學校教委會教師委員的選舉，由該校教師委員候選人互選產生；學生監護人委員的選舉，由該校學生監護人委員候選人互選產生；獨立委員的選舉，由該校在校學生的監護人選舉產生。</w:t>
      </w:r>
    </w:p>
    <w:p>
      <w:pPr>
        <w:pStyle w:val="11"/>
        <w:numPr>
          <w:ilvl w:val="0"/>
          <w:numId w:val="3"/>
        </w:numPr>
        <w:spacing w:lineRule="exact" w:line="300" w:before="0" w:after="156"/>
        <w:ind w:hanging="1575" w:left="157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大學校教委會設主席職位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個，設副主席職位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個，由校教委會現任委員互選產生；校教委會主席、副主席、教授委員和獨立委員每屆任期</w:t>
      </w:r>
      <w:r>
        <w:rPr>
          <w:rFonts w:eastAsia="宋体" w:ascii="宋体" w:hAnsi="宋体"/>
          <w:color w:themeColor="text1" w:val="000000"/>
          <w:szCs w:val="21"/>
          <w:lang w:eastAsia="zh-TW"/>
        </w:rPr>
        <w:t>3</w:t>
      </w:r>
      <w:r>
        <w:rPr>
          <w:rFonts w:ascii="宋体" w:hAnsi="宋体" w:eastAsia="宋体"/>
          <w:color w:themeColor="text1" w:val="000000"/>
          <w:szCs w:val="21"/>
          <w:lang w:eastAsia="zh-TW"/>
        </w:rPr>
        <w:t>年，任職不得超過</w:t>
      </w:r>
      <w:r>
        <w:rPr>
          <w:rFonts w:eastAsia="宋体" w:ascii="宋体" w:hAnsi="宋体"/>
          <w:color w:themeColor="text1" w:val="000000"/>
          <w:szCs w:val="21"/>
          <w:lang w:eastAsia="zh-TW"/>
        </w:rPr>
        <w:t>5</w:t>
      </w:r>
      <w:r>
        <w:rPr>
          <w:rFonts w:ascii="宋体" w:hAnsi="宋体" w:eastAsia="宋体"/>
          <w:color w:themeColor="text1" w:val="000000"/>
          <w:szCs w:val="21"/>
          <w:lang w:eastAsia="zh-TW"/>
        </w:rPr>
        <w:t>屆；校教委會學生委員每屆任期</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年，任職不得超過</w:t>
      </w:r>
      <w:r>
        <w:rPr>
          <w:rFonts w:eastAsia="宋体" w:ascii="宋体" w:hAnsi="宋体"/>
          <w:color w:themeColor="text1" w:val="000000"/>
          <w:szCs w:val="21"/>
          <w:lang w:eastAsia="zh-TW"/>
        </w:rPr>
        <w:t>3</w:t>
      </w:r>
      <w:r>
        <w:rPr>
          <w:rFonts w:ascii="宋体" w:hAnsi="宋体" w:eastAsia="宋体"/>
          <w:color w:themeColor="text1" w:val="000000"/>
          <w:szCs w:val="21"/>
          <w:lang w:eastAsia="zh-TW"/>
        </w:rPr>
        <w:t>屆。</w:t>
      </w:r>
    </w:p>
    <w:p>
      <w:pPr>
        <w:pStyle w:val="11"/>
        <w:numPr>
          <w:ilvl w:val="0"/>
          <w:numId w:val="3"/>
        </w:numPr>
        <w:spacing w:lineRule="exact" w:line="300" w:before="0" w:after="156"/>
        <w:ind w:hanging="1575" w:left="157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大學校教委會委員候選人中，教授委員候選人為該校在崗全職教授，學生委員候選人為該校全日制在校學生，獨立委員候選人為合法公民；該校的在職教授和在校學生，不得成為該校校教委會的獨立委員。</w:t>
      </w:r>
    </w:p>
    <w:p>
      <w:pPr>
        <w:pStyle w:val="11"/>
        <w:numPr>
          <w:ilvl w:val="0"/>
          <w:numId w:val="3"/>
        </w:numPr>
        <w:spacing w:lineRule="exact" w:line="300" w:before="0" w:after="156"/>
        <w:ind w:hanging="1575" w:left="157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中學、小學和初學校教委會設主席職位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個，設副主席職位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個，由該校校教委會現任委員互選產生；校教委會主席、副主席、教師委員和獨立委員每屆任期</w:t>
      </w:r>
      <w:r>
        <w:rPr>
          <w:rFonts w:eastAsia="宋体" w:ascii="宋体" w:hAnsi="宋体"/>
          <w:color w:themeColor="text1" w:val="000000"/>
          <w:szCs w:val="21"/>
          <w:lang w:eastAsia="zh-TW"/>
        </w:rPr>
        <w:t>3</w:t>
      </w:r>
      <w:r>
        <w:rPr>
          <w:rFonts w:ascii="宋体" w:hAnsi="宋体" w:eastAsia="宋体"/>
          <w:color w:themeColor="text1" w:val="000000"/>
          <w:szCs w:val="21"/>
          <w:lang w:eastAsia="zh-TW"/>
        </w:rPr>
        <w:t>年，任職不得超過</w:t>
      </w:r>
      <w:r>
        <w:rPr>
          <w:rFonts w:eastAsia="宋体" w:ascii="宋体" w:hAnsi="宋体"/>
          <w:color w:themeColor="text1" w:val="000000"/>
          <w:szCs w:val="21"/>
          <w:lang w:eastAsia="zh-TW"/>
        </w:rPr>
        <w:t>5</w:t>
      </w:r>
      <w:r>
        <w:rPr>
          <w:rFonts w:ascii="宋体" w:hAnsi="宋体" w:eastAsia="宋体"/>
          <w:color w:themeColor="text1" w:val="000000"/>
          <w:szCs w:val="21"/>
          <w:lang w:eastAsia="zh-TW"/>
        </w:rPr>
        <w:t>屆；校教委會學生監護人委員每屆任期</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年，任職不得超過</w:t>
      </w:r>
      <w:r>
        <w:rPr>
          <w:rFonts w:eastAsia="宋体" w:ascii="宋体" w:hAnsi="宋体"/>
          <w:color w:themeColor="text1" w:val="000000"/>
          <w:szCs w:val="21"/>
          <w:lang w:eastAsia="zh-TW"/>
        </w:rPr>
        <w:t>2</w:t>
      </w:r>
      <w:r>
        <w:rPr>
          <w:rFonts w:ascii="宋体" w:hAnsi="宋体" w:eastAsia="宋体"/>
          <w:color w:themeColor="text1" w:val="000000"/>
          <w:szCs w:val="21"/>
          <w:lang w:eastAsia="zh-TW"/>
        </w:rPr>
        <w:t>屆。</w:t>
      </w:r>
    </w:p>
    <w:p>
      <w:pPr>
        <w:pStyle w:val="11"/>
        <w:numPr>
          <w:ilvl w:val="0"/>
          <w:numId w:val="3"/>
        </w:numPr>
        <w:spacing w:lineRule="exact" w:line="300"/>
        <w:ind w:hanging="1365" w:left="136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學、小學和初學校教委會委員候選人中，教師委員候選人為該校在崗全職教師，學生監護人委員候選人為該校在校學生的監護人，獨立委員候選人為合法公民；該校的在職教師和在校學生的監護人，不得成為該校校教委會的獨立委員。</w:t>
      </w:r>
    </w:p>
    <w:p>
      <w:pPr>
        <w:pStyle w:val="11"/>
        <w:numPr>
          <w:ilvl w:val="0"/>
          <w:numId w:val="1"/>
        </w:numPr>
        <w:spacing w:lineRule="exact" w:line="400" w:before="156" w:after="156"/>
        <w:jc w:val="center"/>
        <w:outlineLvl w:val="0"/>
        <w:rPr>
          <w:rFonts w:ascii="宋体" w:hAnsi="宋体" w:eastAsia="宋体" w:cs="Times New Roman (正文 CS 字体)"/>
          <w:b/>
          <w:color w:themeColor="text1" w:val="000000"/>
          <w:sz w:val="32"/>
          <w:szCs w:val="32"/>
        </w:rPr>
      </w:pPr>
      <w:bookmarkStart w:id="66" w:name="__RefHeading___Toc7051_4090689648"/>
      <w:bookmarkStart w:id="67" w:name="_Toc147663435"/>
      <w:bookmarkEnd w:id="66"/>
      <w:r>
        <w:rPr>
          <w:rFonts w:ascii="宋体" w:hAnsi="宋体" w:cs="Times New Roman (正文 CS 字体)" w:eastAsia="宋体"/>
          <w:b/>
          <w:color w:themeColor="text1" w:val="000000"/>
          <w:sz w:val="32"/>
          <w:szCs w:val="32"/>
        </w:rPr>
        <w:t>儲委會</w:t>
      </w:r>
      <w:bookmarkEnd w:id="67"/>
    </w:p>
    <w:p>
      <w:pPr>
        <w:pStyle w:val="11"/>
        <w:numPr>
          <w:ilvl w:val="0"/>
          <w:numId w:val="46"/>
        </w:numPr>
        <w:spacing w:lineRule="exact" w:line="300" w:before="156" w:after="0"/>
        <w:outlineLvl w:val="1"/>
        <w:rPr>
          <w:rFonts w:ascii="宋体" w:hAnsi="宋体" w:eastAsia="宋体"/>
          <w:b/>
          <w:color w:themeColor="text1" w:val="000000"/>
          <w:sz w:val="28"/>
          <w:szCs w:val="28"/>
        </w:rPr>
      </w:pPr>
      <w:bookmarkStart w:id="68" w:name="__RefHeading___Toc7053_4090689648"/>
      <w:bookmarkStart w:id="69" w:name="_Toc147663436"/>
      <w:bookmarkEnd w:id="68"/>
      <w:r>
        <w:rPr>
          <w:rFonts w:ascii="宋体" w:hAnsi="宋体" w:eastAsia="宋体"/>
          <w:b/>
          <w:color w:themeColor="text1" w:val="000000"/>
          <w:sz w:val="28"/>
          <w:szCs w:val="28"/>
        </w:rPr>
        <w:t>儲委會聯合會議</w:t>
      </w:r>
      <w:bookmarkEnd w:id="69"/>
    </w:p>
    <w:p>
      <w:pPr>
        <w:pStyle w:val="11"/>
        <w:numPr>
          <w:ilvl w:val="0"/>
          <w:numId w:val="3"/>
        </w:numPr>
        <w:spacing w:lineRule="exact" w:line="300" w:before="0" w:after="156"/>
        <w:ind w:hanging="1575" w:left="157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中華民族聯邦共和國公民儲備委員會聯合會議為儲委會的最高決策機構，公民儲備委員會聯合會議由儲委會主席或副主席召集主持，公民儲備委員會委員出席，省儲備委員會副主席和公民儲備銀行行長有權列席。</w:t>
      </w:r>
    </w:p>
    <w:p>
      <w:pPr>
        <w:pStyle w:val="11"/>
        <w:numPr>
          <w:ilvl w:val="0"/>
          <w:numId w:val="3"/>
        </w:numPr>
        <w:spacing w:lineRule="exact" w:line="300" w:before="0" w:after="156"/>
        <w:ind w:hanging="1575" w:left="157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出席公民儲備委員會聯合會議的國家儲備委員會主席和副主席、國家儲備委員會委員和省儲備委員會主席擁有相等的表決權，列席公民儲備委員會聯合會議的省儲備委員會副主席和公民儲備銀行行長擁有知情權、監督權和異議權。</w:t>
      </w:r>
    </w:p>
    <w:p>
      <w:pPr>
        <w:pStyle w:val="11"/>
        <w:numPr>
          <w:ilvl w:val="0"/>
          <w:numId w:val="46"/>
        </w:numPr>
        <w:spacing w:lineRule="exact" w:line="300" w:before="156" w:after="0"/>
        <w:outlineLvl w:val="1"/>
        <w:rPr>
          <w:rFonts w:ascii="宋体" w:hAnsi="宋体" w:eastAsia="宋体"/>
          <w:b/>
          <w:color w:themeColor="text1" w:val="000000"/>
          <w:sz w:val="28"/>
          <w:szCs w:val="28"/>
        </w:rPr>
      </w:pPr>
      <w:bookmarkStart w:id="70" w:name="__RefHeading___Toc7055_4090689648"/>
      <w:bookmarkStart w:id="71" w:name="_Toc147663437"/>
      <w:bookmarkEnd w:id="70"/>
      <w:r>
        <w:rPr>
          <w:rFonts w:ascii="宋体" w:hAnsi="宋体" w:eastAsia="宋体"/>
          <w:b/>
          <w:color w:themeColor="text1" w:val="000000"/>
          <w:sz w:val="28"/>
          <w:szCs w:val="28"/>
        </w:rPr>
        <w:t>國家儲備委員會</w:t>
      </w:r>
      <w:bookmarkEnd w:id="71"/>
    </w:p>
    <w:p>
      <w:pPr>
        <w:pStyle w:val="11"/>
        <w:numPr>
          <w:ilvl w:val="0"/>
          <w:numId w:val="3"/>
        </w:numPr>
        <w:spacing w:lineRule="exact" w:line="300"/>
        <w:ind w:hanging="1575" w:left="157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中華民族聯邦共和國設國家儲備委員會，國家儲備委員會設主席職位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個，設副主席職位</w:t>
      </w:r>
      <w:r>
        <w:rPr>
          <w:rFonts w:eastAsia="宋体" w:ascii="宋体" w:hAnsi="宋体"/>
          <w:color w:themeColor="text1" w:val="000000"/>
          <w:szCs w:val="21"/>
          <w:lang w:eastAsia="zh-TW"/>
        </w:rPr>
        <w:t>2</w:t>
      </w:r>
      <w:r>
        <w:rPr>
          <w:rFonts w:ascii="宋体" w:hAnsi="宋体" w:eastAsia="宋体"/>
          <w:color w:themeColor="text1" w:val="000000"/>
          <w:szCs w:val="21"/>
          <w:lang w:eastAsia="zh-TW"/>
        </w:rPr>
        <w:t>個，主席和副主席每屆任期</w:t>
      </w:r>
      <w:r>
        <w:rPr>
          <w:rFonts w:eastAsia="宋体" w:ascii="宋体" w:hAnsi="宋体"/>
          <w:color w:themeColor="text1" w:val="000000"/>
          <w:szCs w:val="21"/>
          <w:lang w:eastAsia="zh-TW"/>
        </w:rPr>
        <w:t>5</w:t>
      </w:r>
      <w:r>
        <w:rPr>
          <w:rFonts w:ascii="宋体" w:hAnsi="宋体" w:eastAsia="宋体"/>
          <w:color w:themeColor="text1" w:val="000000"/>
          <w:szCs w:val="21"/>
          <w:lang w:eastAsia="zh-TW"/>
        </w:rPr>
        <w:t>年，任職不得超過</w:t>
      </w:r>
      <w:r>
        <w:rPr>
          <w:rFonts w:eastAsia="宋体" w:ascii="宋体" w:hAnsi="宋体"/>
          <w:color w:themeColor="text1" w:val="000000"/>
          <w:szCs w:val="21"/>
          <w:lang w:eastAsia="zh-TW"/>
        </w:rPr>
        <w:t>2</w:t>
      </w:r>
      <w:r>
        <w:rPr>
          <w:rFonts w:ascii="宋体" w:hAnsi="宋体" w:eastAsia="宋体"/>
          <w:color w:themeColor="text1" w:val="000000"/>
          <w:szCs w:val="21"/>
          <w:lang w:eastAsia="zh-TW"/>
        </w:rPr>
        <w:t>屆。</w:t>
      </w:r>
    </w:p>
    <w:p>
      <w:pPr>
        <w:pStyle w:val="11"/>
        <w:numPr>
          <w:ilvl w:val="0"/>
          <w:numId w:val="47"/>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國家儲備委員會主席和副主席由國家儲備委員會現任委員互選產生，主席或副主席任期結束的可繼續任職委員，但委員任期結束的不得再繼續任職主席或副主席，且委員每年更換不得超過</w:t>
      </w:r>
      <w:r>
        <w:rPr>
          <w:rFonts w:eastAsia="宋体" w:ascii="宋体" w:hAnsi="宋体"/>
          <w:color w:themeColor="text1" w:val="000000"/>
          <w:szCs w:val="21"/>
          <w:lang w:eastAsia="zh-TW"/>
        </w:rPr>
        <w:t>5</w:t>
      </w:r>
      <w:r>
        <w:rPr>
          <w:rFonts w:ascii="宋体" w:hAnsi="宋体" w:eastAsia="宋体"/>
          <w:color w:themeColor="text1" w:val="000000"/>
          <w:szCs w:val="21"/>
          <w:lang w:eastAsia="zh-TW"/>
        </w:rPr>
        <w:t>人。</w:t>
      </w:r>
    </w:p>
    <w:p>
      <w:pPr>
        <w:pStyle w:val="11"/>
        <w:numPr>
          <w:ilvl w:val="0"/>
          <w:numId w:val="47"/>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總統提名的國家儲備委員會委員，由國家參議會以常規案表決任免產生，常規案表決未通過的由提名人發起常規案二審表決，常規案二審表決未通過的即駁回，駁回的由提名人另選被提名人。</w:t>
      </w:r>
    </w:p>
    <w:p>
      <w:pPr>
        <w:pStyle w:val="11"/>
        <w:numPr>
          <w:ilvl w:val="0"/>
          <w:numId w:val="47"/>
        </w:numPr>
        <w:spacing w:lineRule="exact" w:line="300" w:before="0" w:after="156"/>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國家儲備委員會主席、副主席和委員必須是年滿</w:t>
      </w:r>
      <w:r>
        <w:rPr>
          <w:rFonts w:eastAsia="宋体" w:ascii="宋体" w:hAnsi="宋体"/>
          <w:color w:themeColor="text1" w:val="000000"/>
          <w:szCs w:val="21"/>
          <w:lang w:eastAsia="zh-TW"/>
        </w:rPr>
        <w:t>35</w:t>
      </w:r>
      <w:r>
        <w:rPr>
          <w:rFonts w:ascii="宋体" w:hAnsi="宋体" w:eastAsia="宋体"/>
          <w:color w:themeColor="text1" w:val="000000"/>
          <w:szCs w:val="21"/>
          <w:lang w:eastAsia="zh-TW"/>
        </w:rPr>
        <w:t>週歲的中華民族聯邦共和國公民，且必須是出生在中華民族聯邦共和國境內，並在境內生活</w:t>
      </w:r>
      <w:r>
        <w:rPr>
          <w:rFonts w:eastAsia="宋体" w:ascii="宋体" w:hAnsi="宋体"/>
          <w:color w:themeColor="text1" w:val="000000"/>
          <w:szCs w:val="21"/>
          <w:lang w:eastAsia="zh-TW"/>
        </w:rPr>
        <w:t>10</w:t>
      </w:r>
      <w:r>
        <w:rPr>
          <w:rFonts w:ascii="宋体" w:hAnsi="宋体" w:eastAsia="宋体"/>
          <w:color w:themeColor="text1" w:val="000000"/>
          <w:szCs w:val="21"/>
          <w:lang w:eastAsia="zh-TW"/>
        </w:rPr>
        <w:t>年以上的公民。</w:t>
      </w:r>
    </w:p>
    <w:p>
      <w:pPr>
        <w:pStyle w:val="11"/>
        <w:numPr>
          <w:ilvl w:val="0"/>
          <w:numId w:val="3"/>
        </w:numPr>
        <w:spacing w:lineRule="exact" w:line="300" w:before="0" w:after="156"/>
        <w:ind w:hanging="1575" w:left="157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中華民族聯邦共和國國家儲備委員會負責國家金融制度的制訂、經濟政策的制定，且國家儲備委員會有義務配合總統及國家聯邦政府制定國家金融政策法規。</w:t>
      </w:r>
    </w:p>
    <w:p>
      <w:pPr>
        <w:pStyle w:val="11"/>
        <w:numPr>
          <w:ilvl w:val="0"/>
          <w:numId w:val="46"/>
        </w:numPr>
        <w:spacing w:lineRule="exact" w:line="300" w:before="156" w:after="0"/>
        <w:outlineLvl w:val="1"/>
        <w:rPr>
          <w:rFonts w:ascii="宋体" w:hAnsi="宋体" w:eastAsia="宋体"/>
          <w:b/>
          <w:color w:themeColor="text1" w:val="000000"/>
          <w:sz w:val="28"/>
          <w:szCs w:val="28"/>
        </w:rPr>
      </w:pPr>
      <w:bookmarkStart w:id="72" w:name="__RefHeading___Toc7057_4090689648"/>
      <w:bookmarkStart w:id="73" w:name="_Toc147663438"/>
      <w:bookmarkEnd w:id="72"/>
      <w:r>
        <w:rPr>
          <w:rFonts w:ascii="宋体" w:hAnsi="宋体" w:eastAsia="宋体"/>
          <w:b/>
          <w:color w:themeColor="text1" w:val="000000"/>
          <w:sz w:val="28"/>
          <w:szCs w:val="28"/>
        </w:rPr>
        <w:t>省儲備委員會</w:t>
      </w:r>
      <w:bookmarkEnd w:id="73"/>
    </w:p>
    <w:p>
      <w:pPr>
        <w:pStyle w:val="11"/>
        <w:numPr>
          <w:ilvl w:val="0"/>
          <w:numId w:val="3"/>
        </w:numPr>
        <w:spacing w:lineRule="exact" w:line="300"/>
        <w:ind w:hanging="1575" w:left="157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中華民族聯邦共和國省級行政區設省儲備委員會，省儲備委員會設主席職位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個，設副主席職位</w:t>
      </w:r>
      <w:r>
        <w:rPr>
          <w:rFonts w:eastAsia="宋体" w:ascii="宋体" w:hAnsi="宋体"/>
          <w:color w:themeColor="text1" w:val="000000"/>
          <w:szCs w:val="21"/>
          <w:lang w:eastAsia="zh-TW"/>
        </w:rPr>
        <w:t>2</w:t>
      </w:r>
      <w:r>
        <w:rPr>
          <w:rFonts w:ascii="宋体" w:hAnsi="宋体" w:eastAsia="宋体"/>
          <w:color w:themeColor="text1" w:val="000000"/>
          <w:szCs w:val="21"/>
          <w:lang w:eastAsia="zh-TW"/>
        </w:rPr>
        <w:t>個，主席和副主席每屆任期</w:t>
      </w:r>
      <w:r>
        <w:rPr>
          <w:rFonts w:eastAsia="宋体" w:ascii="宋体" w:hAnsi="宋体"/>
          <w:color w:themeColor="text1" w:val="000000"/>
          <w:szCs w:val="21"/>
          <w:lang w:eastAsia="zh-TW"/>
        </w:rPr>
        <w:t>5</w:t>
      </w:r>
      <w:r>
        <w:rPr>
          <w:rFonts w:ascii="宋体" w:hAnsi="宋体" w:eastAsia="宋体"/>
          <w:color w:themeColor="text1" w:val="000000"/>
          <w:szCs w:val="21"/>
          <w:lang w:eastAsia="zh-TW"/>
        </w:rPr>
        <w:t>年，任職不得超過</w:t>
      </w:r>
      <w:r>
        <w:rPr>
          <w:rFonts w:eastAsia="宋体" w:ascii="宋体" w:hAnsi="宋体"/>
          <w:color w:themeColor="text1" w:val="000000"/>
          <w:szCs w:val="21"/>
          <w:lang w:eastAsia="zh-TW"/>
        </w:rPr>
        <w:t>2</w:t>
      </w:r>
      <w:r>
        <w:rPr>
          <w:rFonts w:ascii="宋体" w:hAnsi="宋体" w:eastAsia="宋体"/>
          <w:color w:themeColor="text1" w:val="000000"/>
          <w:szCs w:val="21"/>
          <w:lang w:eastAsia="zh-TW"/>
        </w:rPr>
        <w:t>屆。</w:t>
      </w:r>
    </w:p>
    <w:p>
      <w:pPr>
        <w:pStyle w:val="11"/>
        <w:numPr>
          <w:ilvl w:val="0"/>
          <w:numId w:val="48"/>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省儲備委員會主席和副主席由省儲備委員會現任委員互選產生，主席或副主席任期結束的可繼續任職委員，但委員任期結束的不得再繼續任職主席或副主席，且委員每年更換不得超過</w:t>
      </w:r>
      <w:r>
        <w:rPr>
          <w:rFonts w:eastAsia="宋体" w:ascii="宋体" w:hAnsi="宋体"/>
          <w:color w:themeColor="text1" w:val="000000"/>
          <w:szCs w:val="21"/>
          <w:lang w:eastAsia="zh-TW"/>
        </w:rPr>
        <w:t>3</w:t>
      </w:r>
      <w:r>
        <w:rPr>
          <w:rFonts w:ascii="宋体" w:hAnsi="宋体" w:eastAsia="宋体"/>
          <w:color w:themeColor="text1" w:val="000000"/>
          <w:szCs w:val="21"/>
          <w:lang w:eastAsia="zh-TW"/>
        </w:rPr>
        <w:t>人。</w:t>
      </w:r>
    </w:p>
    <w:p>
      <w:pPr>
        <w:pStyle w:val="11"/>
        <w:numPr>
          <w:ilvl w:val="0"/>
          <w:numId w:val="48"/>
        </w:numPr>
        <w:spacing w:lineRule="exact" w:line="300"/>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省長提名的省儲備委員會委員，由省參議會以常規案表決任免產生，常規案表決未通過的由提名人發起常規案二審表決，常規案二審表決未通過的即駁回，駁回的由提名人另選被提名人。</w:t>
      </w:r>
    </w:p>
    <w:p>
      <w:pPr>
        <w:pStyle w:val="11"/>
        <w:numPr>
          <w:ilvl w:val="0"/>
          <w:numId w:val="48"/>
        </w:numPr>
        <w:spacing w:lineRule="exact" w:line="300" w:before="0" w:after="156"/>
        <w:ind w:hanging="735" w:left="735"/>
        <w:outlineLvl w:val="3"/>
        <w:rPr>
          <w:rFonts w:ascii="宋体" w:hAnsi="宋体" w:eastAsia="宋体"/>
          <w:color w:themeColor="text1" w:val="000000"/>
          <w:szCs w:val="21"/>
          <w:lang w:eastAsia="zh-TW"/>
        </w:rPr>
      </w:pPr>
      <w:r>
        <w:rPr>
          <w:rFonts w:ascii="宋体" w:hAnsi="宋体" w:eastAsia="宋体"/>
          <w:color w:themeColor="text1" w:val="000000"/>
          <w:szCs w:val="21"/>
          <w:lang w:eastAsia="zh-TW"/>
        </w:rPr>
        <w:t>省儲備委員會主席、副主席和委員必須是年滿</w:t>
      </w:r>
      <w:r>
        <w:rPr>
          <w:rFonts w:eastAsia="宋体" w:ascii="宋体" w:hAnsi="宋体"/>
          <w:color w:themeColor="text1" w:val="000000"/>
          <w:szCs w:val="21"/>
          <w:lang w:eastAsia="zh-TW"/>
        </w:rPr>
        <w:t>30</w:t>
      </w:r>
      <w:r>
        <w:rPr>
          <w:rFonts w:ascii="宋体" w:hAnsi="宋体" w:eastAsia="宋体"/>
          <w:color w:themeColor="text1" w:val="000000"/>
          <w:szCs w:val="21"/>
          <w:lang w:eastAsia="zh-TW"/>
        </w:rPr>
        <w:t>週歲的中華民族聯邦共和國公民，且必須是出生在該省級行政區轄區內，並在該省轄區內生活</w:t>
      </w:r>
      <w:r>
        <w:rPr>
          <w:rFonts w:eastAsia="宋体" w:ascii="宋体" w:hAnsi="宋体"/>
          <w:color w:themeColor="text1" w:val="000000"/>
          <w:szCs w:val="21"/>
          <w:lang w:eastAsia="zh-TW"/>
        </w:rPr>
        <w:t>10</w:t>
      </w:r>
      <w:r>
        <w:rPr>
          <w:rFonts w:ascii="宋体" w:hAnsi="宋体" w:eastAsia="宋体"/>
          <w:color w:themeColor="text1" w:val="000000"/>
          <w:szCs w:val="21"/>
          <w:lang w:eastAsia="zh-TW"/>
        </w:rPr>
        <w:t>年以上的公民。</w:t>
      </w:r>
    </w:p>
    <w:p>
      <w:pPr>
        <w:pStyle w:val="11"/>
        <w:numPr>
          <w:ilvl w:val="0"/>
          <w:numId w:val="3"/>
        </w:numPr>
        <w:spacing w:lineRule="exact" w:line="300" w:before="0" w:after="156"/>
        <w:ind w:hanging="1575" w:left="157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中華民族聯邦共和國省級行政區省儲備委員會負責該省金融制度的制訂、經濟政策的制定，且省儲備委員會有義務配合省長及省政府制定該省的金融政策法規。</w:t>
      </w:r>
    </w:p>
    <w:p>
      <w:pPr>
        <w:pStyle w:val="11"/>
        <w:numPr>
          <w:ilvl w:val="0"/>
          <w:numId w:val="46"/>
        </w:numPr>
        <w:spacing w:lineRule="exact" w:line="300" w:before="156" w:after="0"/>
        <w:outlineLvl w:val="1"/>
        <w:rPr>
          <w:rFonts w:ascii="宋体" w:hAnsi="宋体" w:eastAsia="宋体"/>
          <w:b/>
          <w:color w:themeColor="text1" w:val="000000"/>
          <w:sz w:val="28"/>
          <w:szCs w:val="28"/>
        </w:rPr>
      </w:pPr>
      <w:bookmarkStart w:id="74" w:name="__RefHeading___Toc7059_4090689648"/>
      <w:bookmarkStart w:id="75" w:name="_Toc147663439"/>
      <w:bookmarkEnd w:id="74"/>
      <w:r>
        <w:rPr>
          <w:rFonts w:ascii="宋体" w:hAnsi="宋体" w:eastAsia="宋体"/>
          <w:b/>
          <w:color w:themeColor="text1" w:val="000000"/>
          <w:sz w:val="28"/>
          <w:szCs w:val="28"/>
        </w:rPr>
        <w:t>公民儲備銀行</w:t>
      </w:r>
      <w:bookmarkEnd w:id="75"/>
    </w:p>
    <w:p>
      <w:pPr>
        <w:pStyle w:val="11"/>
        <w:numPr>
          <w:ilvl w:val="0"/>
          <w:numId w:val="3"/>
        </w:numPr>
        <w:spacing w:lineRule="exact" w:line="300" w:before="0" w:after="156"/>
        <w:ind w:hanging="1575" w:left="157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中華民族聯邦共和國省級行政區設公民儲備銀行，公民儲備銀行設行長職位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個，副行長職位</w:t>
      </w:r>
      <w:r>
        <w:rPr>
          <w:rFonts w:eastAsia="宋体" w:ascii="宋体" w:hAnsi="宋体"/>
          <w:color w:themeColor="text1" w:val="000000"/>
          <w:szCs w:val="21"/>
          <w:lang w:eastAsia="zh-TW"/>
        </w:rPr>
        <w:t>4</w:t>
      </w:r>
      <w:r>
        <w:rPr>
          <w:rFonts w:ascii="宋体" w:hAnsi="宋体" w:eastAsia="宋体"/>
          <w:color w:themeColor="text1" w:val="000000"/>
          <w:szCs w:val="21"/>
          <w:lang w:eastAsia="zh-TW"/>
        </w:rPr>
        <w:t>個，由公民儲備銀行董事會決議任免，行長和副行長每屆任期</w:t>
      </w:r>
      <w:r>
        <w:rPr>
          <w:rFonts w:eastAsia="宋体" w:ascii="宋体" w:hAnsi="宋体"/>
          <w:color w:themeColor="text1" w:val="000000"/>
          <w:szCs w:val="21"/>
          <w:lang w:eastAsia="zh-TW"/>
        </w:rPr>
        <w:t>5</w:t>
      </w:r>
      <w:r>
        <w:rPr>
          <w:rFonts w:ascii="宋体" w:hAnsi="宋体" w:eastAsia="宋体"/>
          <w:color w:themeColor="text1" w:val="000000"/>
          <w:szCs w:val="21"/>
          <w:lang w:eastAsia="zh-TW"/>
        </w:rPr>
        <w:t>年，任職不得超過</w:t>
      </w:r>
      <w:r>
        <w:rPr>
          <w:rFonts w:eastAsia="宋体" w:ascii="宋体" w:hAnsi="宋体"/>
          <w:color w:themeColor="text1" w:val="000000"/>
          <w:szCs w:val="21"/>
          <w:lang w:eastAsia="zh-TW"/>
        </w:rPr>
        <w:t>2</w:t>
      </w:r>
      <w:r>
        <w:rPr>
          <w:rFonts w:ascii="宋体" w:hAnsi="宋体" w:eastAsia="宋体"/>
          <w:color w:themeColor="text1" w:val="000000"/>
          <w:szCs w:val="21"/>
          <w:lang w:eastAsia="zh-TW"/>
        </w:rPr>
        <w:t>屆。</w:t>
      </w:r>
    </w:p>
    <w:p>
      <w:pPr>
        <w:pStyle w:val="11"/>
        <w:numPr>
          <w:ilvl w:val="0"/>
          <w:numId w:val="3"/>
        </w:numPr>
        <w:spacing w:lineRule="exact" w:line="300" w:before="0" w:after="156"/>
        <w:ind w:hanging="1575" w:left="157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公民儲備銀行設董事會，由</w:t>
      </w:r>
      <w:r>
        <w:rPr>
          <w:rFonts w:eastAsia="宋体" w:ascii="宋体" w:hAnsi="宋体"/>
          <w:color w:themeColor="text1" w:val="000000"/>
          <w:szCs w:val="21"/>
          <w:lang w:eastAsia="zh-TW"/>
        </w:rPr>
        <w:t>19</w:t>
      </w:r>
      <w:r>
        <w:rPr>
          <w:rFonts w:ascii="宋体" w:hAnsi="宋体" w:eastAsia="宋体"/>
          <w:color w:themeColor="text1" w:val="000000"/>
          <w:szCs w:val="21"/>
          <w:lang w:eastAsia="zh-TW"/>
        </w:rPr>
        <w:t>名董事組成，設董事長職位</w:t>
      </w:r>
      <w:r>
        <w:rPr>
          <w:rFonts w:eastAsia="宋体" w:ascii="宋体" w:hAnsi="宋体"/>
          <w:color w:themeColor="text1" w:val="000000"/>
          <w:szCs w:val="21"/>
          <w:lang w:eastAsia="zh-TW"/>
        </w:rPr>
        <w:t>1</w:t>
      </w:r>
      <w:r>
        <w:rPr>
          <w:rFonts w:ascii="宋体" w:hAnsi="宋体" w:eastAsia="宋体"/>
          <w:color w:themeColor="text1" w:val="000000"/>
          <w:szCs w:val="21"/>
          <w:lang w:eastAsia="zh-TW"/>
        </w:rPr>
        <w:t>個，副董事長職位</w:t>
      </w:r>
      <w:r>
        <w:rPr>
          <w:rFonts w:eastAsia="宋体" w:ascii="宋体" w:hAnsi="宋体"/>
          <w:color w:themeColor="text1" w:val="000000"/>
          <w:szCs w:val="21"/>
          <w:lang w:eastAsia="zh-TW"/>
        </w:rPr>
        <w:t>2</w:t>
      </w:r>
      <w:r>
        <w:rPr>
          <w:rFonts w:ascii="宋体" w:hAnsi="宋体" w:eastAsia="宋体"/>
          <w:color w:themeColor="text1" w:val="000000"/>
          <w:szCs w:val="21"/>
          <w:lang w:eastAsia="zh-TW"/>
        </w:rPr>
        <w:t>個，由全體董事互選產生，公民儲備銀行董事會董事長、副董事長和董事每屆任期</w:t>
      </w:r>
      <w:r>
        <w:rPr>
          <w:rFonts w:eastAsia="宋体" w:ascii="宋体" w:hAnsi="宋体"/>
          <w:color w:themeColor="text1" w:val="000000"/>
          <w:szCs w:val="21"/>
          <w:lang w:eastAsia="zh-TW"/>
        </w:rPr>
        <w:t>3</w:t>
      </w:r>
      <w:r>
        <w:rPr>
          <w:rFonts w:ascii="宋体" w:hAnsi="宋体" w:eastAsia="宋体"/>
          <w:color w:themeColor="text1" w:val="000000"/>
          <w:szCs w:val="21"/>
          <w:lang w:eastAsia="zh-TW"/>
        </w:rPr>
        <w:t>年，任職不得超過</w:t>
      </w:r>
      <w:r>
        <w:rPr>
          <w:rFonts w:eastAsia="宋体" w:ascii="宋体" w:hAnsi="宋体"/>
          <w:color w:themeColor="text1" w:val="000000"/>
          <w:szCs w:val="21"/>
          <w:lang w:eastAsia="zh-TW"/>
        </w:rPr>
        <w:t>2</w:t>
      </w:r>
      <w:r>
        <w:rPr>
          <w:rFonts w:ascii="宋体" w:hAnsi="宋体" w:eastAsia="宋体"/>
          <w:color w:themeColor="text1" w:val="000000"/>
          <w:szCs w:val="21"/>
          <w:lang w:eastAsia="zh-TW"/>
        </w:rPr>
        <w:t>屆。</w:t>
      </w:r>
    </w:p>
    <w:p>
      <w:pPr>
        <w:pStyle w:val="11"/>
        <w:numPr>
          <w:ilvl w:val="0"/>
          <w:numId w:val="3"/>
        </w:numPr>
        <w:spacing w:lineRule="exact" w:line="300" w:before="0" w:after="156"/>
        <w:ind w:hanging="1575" w:left="157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公民儲備銀行董事會董事的產生，由本公民儲備銀行股東大會決議產生</w:t>
      </w:r>
      <w:r>
        <w:rPr>
          <w:rFonts w:eastAsia="宋体" w:ascii="宋体" w:hAnsi="宋体"/>
          <w:color w:themeColor="text1" w:val="000000"/>
          <w:szCs w:val="21"/>
          <w:lang w:eastAsia="zh-TW"/>
        </w:rPr>
        <w:t>9</w:t>
      </w:r>
      <w:r>
        <w:rPr>
          <w:rFonts w:ascii="宋体" w:hAnsi="宋体" w:eastAsia="宋体"/>
          <w:color w:themeColor="text1" w:val="000000"/>
          <w:szCs w:val="21"/>
          <w:lang w:eastAsia="zh-TW"/>
        </w:rPr>
        <w:t>名董事，由本公民儲備銀行所轄成員銀行選派</w:t>
      </w:r>
      <w:r>
        <w:rPr>
          <w:rFonts w:eastAsia="宋体" w:ascii="宋体" w:hAnsi="宋体"/>
          <w:color w:themeColor="text1" w:val="000000"/>
          <w:szCs w:val="21"/>
          <w:lang w:eastAsia="zh-TW"/>
        </w:rPr>
        <w:t>5</w:t>
      </w:r>
      <w:r>
        <w:rPr>
          <w:rFonts w:ascii="宋体" w:hAnsi="宋体" w:eastAsia="宋体"/>
          <w:color w:themeColor="text1" w:val="000000"/>
          <w:szCs w:val="21"/>
          <w:lang w:eastAsia="zh-TW"/>
        </w:rPr>
        <w:t>名董事，由本省省儲備委員會選派</w:t>
      </w:r>
      <w:r>
        <w:rPr>
          <w:rFonts w:eastAsia="宋体" w:ascii="宋体" w:hAnsi="宋体"/>
          <w:color w:themeColor="text1" w:val="000000"/>
          <w:szCs w:val="21"/>
          <w:lang w:eastAsia="zh-TW"/>
        </w:rPr>
        <w:t>5</w:t>
      </w:r>
      <w:r>
        <w:rPr>
          <w:rFonts w:ascii="宋体" w:hAnsi="宋体" w:eastAsia="宋体"/>
          <w:color w:themeColor="text1" w:val="000000"/>
          <w:szCs w:val="21"/>
          <w:lang w:eastAsia="zh-TW"/>
        </w:rPr>
        <w:t>名董事，且由省儲備委員會選派的</w:t>
      </w:r>
      <w:r>
        <w:rPr>
          <w:rFonts w:eastAsia="宋体" w:ascii="宋体" w:hAnsi="宋体"/>
          <w:color w:themeColor="text1" w:val="000000"/>
          <w:szCs w:val="21"/>
          <w:lang w:eastAsia="zh-TW"/>
        </w:rPr>
        <w:t>5</w:t>
      </w:r>
      <w:r>
        <w:rPr>
          <w:rFonts w:ascii="宋体" w:hAnsi="宋体" w:eastAsia="宋体"/>
          <w:color w:themeColor="text1" w:val="000000"/>
          <w:szCs w:val="21"/>
          <w:lang w:eastAsia="zh-TW"/>
        </w:rPr>
        <w:t>名董事，不得是來自銀行保險等金融行業的從業人員，不得是公權機構的公職人員。</w:t>
      </w:r>
    </w:p>
    <w:p>
      <w:pPr>
        <w:pStyle w:val="11"/>
        <w:numPr>
          <w:ilvl w:val="0"/>
          <w:numId w:val="3"/>
        </w:numPr>
        <w:spacing w:lineRule="exact" w:line="300"/>
        <w:ind w:hanging="1365" w:left="1365"/>
        <w:outlineLvl w:val="2"/>
        <w:rPr>
          <w:rFonts w:ascii="宋体" w:hAnsi="宋体" w:eastAsia="宋体"/>
          <w:color w:themeColor="text1" w:val="000000"/>
          <w:szCs w:val="21"/>
          <w:lang w:eastAsia="zh-TW"/>
        </w:rPr>
      </w:pPr>
      <w:r>
        <w:rPr>
          <w:rFonts w:ascii="宋体" w:hAnsi="宋体" w:eastAsia="宋体"/>
          <w:color w:themeColor="text1" w:val="000000"/>
          <w:szCs w:val="21"/>
          <w:lang w:eastAsia="zh-TW"/>
        </w:rPr>
        <w:t>中華民族聯邦共和國省級行政區公民儲備銀行代表該省公開市場，參與金融制度的制訂、經濟政策的制定以及貨幣的流通，公民儲備銀行不屬於公權機構，其僱員不屬於公職人員，但必須受相關公職人員法律法規要求的約束。</w:t>
      </w:r>
    </w:p>
    <w:sectPr>
      <w:headerReference w:type="even" r:id="rId8"/>
      <w:headerReference w:type="default" r:id="rId9"/>
      <w:headerReference w:type="first" r:id="rId10"/>
      <w:footerReference w:type="even" r:id="rId11"/>
      <w:footerReference w:type="default" r:id="rId12"/>
      <w:footerReference w:type="first" r:id="rId13"/>
      <w:type w:val="nextPage"/>
      <w:pgSz w:w="11850" w:h="16783"/>
      <w:pgMar w:left="1134" w:right="1134" w:gutter="0" w:header="851" w:top="1417" w:footer="850" w:bottom="1417"/>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等线">
    <w:charset w:val="01"/>
    <w:family w:val="roman"/>
    <w:pitch w:val="variable"/>
  </w:font>
  <w:font w:name="Liberation Sans">
    <w:altName w:val="Arial"/>
    <w:charset w:val="01"/>
    <w:family w:val="roman"/>
    <w:pitch w:val="variable"/>
  </w:font>
  <w:font w:name="DejaVu Sans">
    <w:charset w:val="01"/>
    <w:family w:val="roman"/>
    <w:pitch w:val="variable"/>
  </w:font>
  <w:font w:name="宋体-繁">
    <w:charset w:val="01"/>
    <w:family w:val="auto"/>
    <w:pitch w:val="variable"/>
  </w:font>
  <w:font w:name="宋体-简">
    <w:charset w:val="01"/>
    <w:family w:val="roman"/>
    <w:pitch w:val="variable"/>
  </w:font>
  <w:font w:name="宋体">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2" wp14:anchorId="18779596">
              <wp:simplePos x="0" y="0"/>
              <wp:positionH relativeFrom="margin">
                <wp:posOffset>2291715</wp:posOffset>
              </wp:positionH>
              <wp:positionV relativeFrom="paragraph">
                <wp:posOffset>-15875</wp:posOffset>
              </wp:positionV>
              <wp:extent cx="1400810" cy="294005"/>
              <wp:effectExtent l="0" t="0" r="0" b="0"/>
              <wp:wrapNone/>
              <wp:docPr id="1" name="文本框 1"/>
              <a:graphic xmlns:a="http://schemas.openxmlformats.org/drawingml/2006/main">
                <a:graphicData uri="http://schemas.microsoft.com/office/word/2010/wordprocessingShape">
                  <wps:wsp>
                    <wps:cNvSpPr/>
                    <wps:spPr>
                      <a:xfrm>
                        <a:off x="0" y="0"/>
                        <a:ext cx="1400760" cy="2941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tyle17"/>
                            <w:snapToGrid w:val="false"/>
                            <w:jc w:val="center"/>
                            <w:rPr>
                              <w:rFonts w:ascii="宋体-简" w:hAnsi="宋体-简" w:eastAsia="宋体-简" w:cs="宋体-简"/>
                              <w:color w:themeColor="text1" w:val="000000"/>
                              <w:szCs w:val="32"/>
                            </w:rPr>
                          </w:pPr>
                          <w:r>
                            <w:rPr>
                              <w:rFonts w:ascii="宋体-简" w:hAnsi="宋体-简" w:cs="宋体-简" w:eastAsia="宋体-简"/>
                              <w:color w:themeColor="text1" w:val="000000"/>
                              <w:szCs w:val="32"/>
                            </w:rPr>
                            <w:t xml:space="preserve">第  </w:t>
                          </w:r>
                          <w:r>
                            <w:rPr>
                              <w:rFonts w:ascii="宋体-简" w:hAnsi="宋体-简" w:cs="宋体-简" w:eastAsia="宋体-简"/>
                              <w:color w:themeColor="text1" w:val="000000"/>
                              <w:szCs w:val="32"/>
                            </w:rPr>
                            <w:fldChar w:fldCharType="begin"/>
                          </w:r>
                          <w:r>
                            <w:rPr>
                              <w:szCs w:val="32"/>
                              <w:rFonts w:ascii="宋体-简" w:hAnsi="宋体-简" w:cs="宋体-简" w:eastAsia="宋体-简"/>
                              <w:color w:themeColor="text1" w:val="000000"/>
                            </w:rPr>
                            <w:instrText xml:space="preserve"> PAGE </w:instrText>
                          </w:r>
                          <w:r>
                            <w:rPr>
                              <w:szCs w:val="32"/>
                              <w:rFonts w:ascii="宋体-简" w:hAnsi="宋体-简" w:cs="宋体-简" w:eastAsia="宋体-简"/>
                              <w:color w:themeColor="text1" w:val="000000"/>
                            </w:rPr>
                            <w:fldChar w:fldCharType="separate"/>
                          </w:r>
                          <w:r>
                            <w:rPr>
                              <w:szCs w:val="32"/>
                              <w:rFonts w:ascii="宋体-简" w:hAnsi="宋体-简" w:cs="宋体-简" w:eastAsia="宋体-简"/>
                              <w:color w:themeColor="text1" w:val="000000"/>
                            </w:rPr>
                            <w:t>1</w:t>
                          </w:r>
                          <w:r>
                            <w:rPr>
                              <w:szCs w:val="32"/>
                              <w:rFonts w:ascii="宋体-简" w:hAnsi="宋体-简" w:cs="宋体-简" w:eastAsia="宋体-简"/>
                              <w:color w:themeColor="text1" w:val="000000"/>
                            </w:rPr>
                            <w:fldChar w:fldCharType="end"/>
                          </w:r>
                          <w:r>
                            <w:rPr>
                              <w:rFonts w:ascii="宋体-简" w:hAnsi="宋体-简" w:cs="宋体-简" w:eastAsia="宋体-简"/>
                              <w:color w:themeColor="text1" w:val="000000"/>
                              <w:szCs w:val="32"/>
                            </w:rPr>
                            <w:t xml:space="preserve">页 共  </w:t>
                          </w:r>
                          <w:r>
                            <w:rPr>
                              <w:rFonts w:ascii="宋体-简" w:hAnsi="宋体-简" w:cs="宋体-简" w:eastAsia="宋体-简"/>
                              <w:color w:themeColor="text1" w:val="000000"/>
                              <w:szCs w:val="32"/>
                            </w:rPr>
                            <w:fldChar w:fldCharType="begin"/>
                          </w:r>
                          <w:r>
                            <w:rPr>
                              <w:szCs w:val="32"/>
                              <w:rFonts w:ascii="宋体-简" w:hAnsi="宋体-简" w:cs="宋体-简" w:eastAsia="宋体-简"/>
                              <w:color w:themeColor="text1" w:val="000000"/>
                            </w:rPr>
                            <w:instrText xml:space="preserve"> NUMPAGES </w:instrText>
                          </w:r>
                          <w:r>
                            <w:rPr>
                              <w:szCs w:val="32"/>
                              <w:rFonts w:ascii="宋体-简" w:hAnsi="宋体-简" w:cs="宋体-简" w:eastAsia="宋体-简"/>
                              <w:color w:themeColor="text1" w:val="000000"/>
                            </w:rPr>
                            <w:fldChar w:fldCharType="separate"/>
                          </w:r>
                          <w:r>
                            <w:rPr>
                              <w:szCs w:val="32"/>
                              <w:rFonts w:ascii="宋体-简" w:hAnsi="宋体-简" w:cs="宋体-简" w:eastAsia="宋体-简"/>
                              <w:color w:themeColor="text1" w:val="000000"/>
                            </w:rPr>
                            <w:t>21</w:t>
                          </w:r>
                          <w:r>
                            <w:rPr>
                              <w:szCs w:val="32"/>
                              <w:rFonts w:ascii="宋体-简" w:hAnsi="宋体-简" w:cs="宋体-简" w:eastAsia="宋体-简"/>
                              <w:color w:themeColor="text1" w:val="000000"/>
                            </w:rPr>
                            <w:fldChar w:fldCharType="end"/>
                          </w:r>
                          <w:r>
                            <w:rPr>
                              <w:rFonts w:ascii="宋体-简" w:hAnsi="宋体-简" w:cs="宋体-简" w:eastAsia="宋体-简"/>
                              <w:color w:themeColor="text1" w:val="000000"/>
                              <w:szCs w:val="32"/>
                            </w:rPr>
                            <w:t>页</w:t>
                          </w:r>
                        </w:p>
                      </w:txbxContent>
                    </wps:txbx>
                    <wps:bodyPr lIns="0" rIns="0" tIns="0" bIns="0" anchor="t">
                      <a:noAutofit/>
                    </wps:bodyPr>
                  </wps:wsp>
                </a:graphicData>
              </a:graphic>
            </wp:anchor>
          </w:drawing>
        </mc:Choice>
        <mc:Fallback>
          <w:pict>
            <v:rect id="shape_0" ID="文本框 1" path="m0,0l-2147483645,0l-2147483645,-2147483646l0,-2147483646xe" stroked="f" o:allowincell="f" style="position:absolute;margin-left:180.45pt;margin-top:-1.25pt;width:110.25pt;height:23.1pt;mso-wrap-style:square;v-text-anchor:top;mso-position-horizontal-relative:margin" wp14:anchorId="18779596">
              <v:fill o:detectmouseclick="t" on="false"/>
              <v:stroke color="#3465a4" weight="6480" joinstyle="round" endcap="flat"/>
              <v:textbox>
                <w:txbxContent>
                  <w:p>
                    <w:pPr>
                      <w:pStyle w:val="Style17"/>
                      <w:snapToGrid w:val="false"/>
                      <w:jc w:val="center"/>
                      <w:rPr>
                        <w:rFonts w:ascii="宋体-简" w:hAnsi="宋体-简" w:eastAsia="宋体-简" w:cs="宋体-简"/>
                        <w:color w:themeColor="text1" w:val="000000"/>
                        <w:szCs w:val="32"/>
                      </w:rPr>
                    </w:pPr>
                    <w:r>
                      <w:rPr>
                        <w:rFonts w:ascii="宋体-简" w:hAnsi="宋体-简" w:cs="宋体-简" w:eastAsia="宋体-简"/>
                        <w:color w:themeColor="text1" w:val="000000"/>
                        <w:szCs w:val="32"/>
                      </w:rPr>
                      <w:t xml:space="preserve">第  </w:t>
                    </w:r>
                    <w:r>
                      <w:rPr>
                        <w:rFonts w:ascii="宋体-简" w:hAnsi="宋体-简" w:cs="宋体-简" w:eastAsia="宋体-简"/>
                        <w:color w:themeColor="text1" w:val="000000"/>
                        <w:szCs w:val="32"/>
                      </w:rPr>
                      <w:fldChar w:fldCharType="begin"/>
                    </w:r>
                    <w:r>
                      <w:rPr>
                        <w:szCs w:val="32"/>
                        <w:rFonts w:ascii="宋体-简" w:hAnsi="宋体-简" w:cs="宋体-简" w:eastAsia="宋体-简"/>
                        <w:color w:themeColor="text1" w:val="000000"/>
                      </w:rPr>
                      <w:instrText xml:space="preserve"> PAGE </w:instrText>
                    </w:r>
                    <w:r>
                      <w:rPr>
                        <w:szCs w:val="32"/>
                        <w:rFonts w:ascii="宋体-简" w:hAnsi="宋体-简" w:cs="宋体-简" w:eastAsia="宋体-简"/>
                        <w:color w:themeColor="text1" w:val="000000"/>
                      </w:rPr>
                      <w:fldChar w:fldCharType="separate"/>
                    </w:r>
                    <w:r>
                      <w:rPr>
                        <w:szCs w:val="32"/>
                        <w:rFonts w:ascii="宋体-简" w:hAnsi="宋体-简" w:cs="宋体-简" w:eastAsia="宋体-简"/>
                        <w:color w:themeColor="text1" w:val="000000"/>
                      </w:rPr>
                      <w:t>1</w:t>
                    </w:r>
                    <w:r>
                      <w:rPr>
                        <w:szCs w:val="32"/>
                        <w:rFonts w:ascii="宋体-简" w:hAnsi="宋体-简" w:cs="宋体-简" w:eastAsia="宋体-简"/>
                        <w:color w:themeColor="text1" w:val="000000"/>
                      </w:rPr>
                      <w:fldChar w:fldCharType="end"/>
                    </w:r>
                    <w:r>
                      <w:rPr>
                        <w:rFonts w:ascii="宋体-简" w:hAnsi="宋体-简" w:cs="宋体-简" w:eastAsia="宋体-简"/>
                        <w:color w:themeColor="text1" w:val="000000"/>
                        <w:szCs w:val="32"/>
                      </w:rPr>
                      <w:t xml:space="preserve">页 共  </w:t>
                    </w:r>
                    <w:r>
                      <w:rPr>
                        <w:rFonts w:ascii="宋体-简" w:hAnsi="宋体-简" w:cs="宋体-简" w:eastAsia="宋体-简"/>
                        <w:color w:themeColor="text1" w:val="000000"/>
                        <w:szCs w:val="32"/>
                      </w:rPr>
                      <w:fldChar w:fldCharType="begin"/>
                    </w:r>
                    <w:r>
                      <w:rPr>
                        <w:szCs w:val="32"/>
                        <w:rFonts w:ascii="宋体-简" w:hAnsi="宋体-简" w:cs="宋体-简" w:eastAsia="宋体-简"/>
                        <w:color w:themeColor="text1" w:val="000000"/>
                      </w:rPr>
                      <w:instrText xml:space="preserve"> NUMPAGES </w:instrText>
                    </w:r>
                    <w:r>
                      <w:rPr>
                        <w:szCs w:val="32"/>
                        <w:rFonts w:ascii="宋体-简" w:hAnsi="宋体-简" w:cs="宋体-简" w:eastAsia="宋体-简"/>
                        <w:color w:themeColor="text1" w:val="000000"/>
                      </w:rPr>
                      <w:fldChar w:fldCharType="separate"/>
                    </w:r>
                    <w:r>
                      <w:rPr>
                        <w:szCs w:val="32"/>
                        <w:rFonts w:ascii="宋体-简" w:hAnsi="宋体-简" w:cs="宋体-简" w:eastAsia="宋体-简"/>
                        <w:color w:themeColor="text1" w:val="000000"/>
                      </w:rPr>
                      <w:t>21</w:t>
                    </w:r>
                    <w:r>
                      <w:rPr>
                        <w:szCs w:val="32"/>
                        <w:rFonts w:ascii="宋体-简" w:hAnsi="宋体-简" w:cs="宋体-简" w:eastAsia="宋体-简"/>
                        <w:color w:themeColor="text1" w:val="000000"/>
                      </w:rPr>
                      <w:fldChar w:fldCharType="end"/>
                    </w:r>
                    <w:r>
                      <w:rPr>
                        <w:rFonts w:ascii="宋体-简" w:hAnsi="宋体-简" w:cs="宋体-简" w:eastAsia="宋体-简"/>
                        <w:color w:themeColor="text1" w:val="000000"/>
                        <w:szCs w:val="32"/>
                      </w:rPr>
                      <w:t>页</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2" wp14:anchorId="18779596">
              <wp:simplePos x="0" y="0"/>
              <wp:positionH relativeFrom="margin">
                <wp:posOffset>2291715</wp:posOffset>
              </wp:positionH>
              <wp:positionV relativeFrom="paragraph">
                <wp:posOffset>-15875</wp:posOffset>
              </wp:positionV>
              <wp:extent cx="1400810" cy="294005"/>
              <wp:effectExtent l="0" t="0" r="0" b="0"/>
              <wp:wrapNone/>
              <wp:docPr id="2" name="文本框 1"/>
              <a:graphic xmlns:a="http://schemas.openxmlformats.org/drawingml/2006/main">
                <a:graphicData uri="http://schemas.microsoft.com/office/word/2010/wordprocessingShape">
                  <wps:wsp>
                    <wps:cNvSpPr/>
                    <wps:spPr>
                      <a:xfrm>
                        <a:off x="0" y="0"/>
                        <a:ext cx="1400760" cy="2941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tyle17"/>
                            <w:snapToGrid w:val="false"/>
                            <w:jc w:val="center"/>
                            <w:rPr>
                              <w:rFonts w:ascii="宋体-简" w:hAnsi="宋体-简" w:eastAsia="宋体-简" w:cs="宋体-简"/>
                              <w:color w:themeColor="text1" w:val="000000"/>
                              <w:szCs w:val="32"/>
                            </w:rPr>
                          </w:pPr>
                          <w:r>
                            <w:rPr>
                              <w:rFonts w:ascii="宋体-简" w:hAnsi="宋体-简" w:cs="宋体-简" w:eastAsia="宋体-简"/>
                              <w:color w:themeColor="text1" w:val="000000"/>
                              <w:szCs w:val="32"/>
                            </w:rPr>
                            <w:t xml:space="preserve">第  </w:t>
                          </w:r>
                          <w:r>
                            <w:rPr>
                              <w:rFonts w:ascii="宋体-简" w:hAnsi="宋体-简" w:cs="宋体-简" w:eastAsia="宋体-简"/>
                              <w:color w:themeColor="text1" w:val="000000"/>
                              <w:szCs w:val="32"/>
                            </w:rPr>
                            <w:fldChar w:fldCharType="begin"/>
                          </w:r>
                          <w:r>
                            <w:rPr>
                              <w:szCs w:val="32"/>
                              <w:rFonts w:ascii="宋体-简" w:hAnsi="宋体-简" w:cs="宋体-简" w:eastAsia="宋体-简"/>
                              <w:color w:themeColor="text1" w:val="000000"/>
                            </w:rPr>
                            <w:instrText xml:space="preserve"> PAGE </w:instrText>
                          </w:r>
                          <w:r>
                            <w:rPr>
                              <w:szCs w:val="32"/>
                              <w:rFonts w:ascii="宋体-简" w:hAnsi="宋体-简" w:cs="宋体-简" w:eastAsia="宋体-简"/>
                              <w:color w:themeColor="text1" w:val="000000"/>
                            </w:rPr>
                            <w:fldChar w:fldCharType="separate"/>
                          </w:r>
                          <w:r>
                            <w:rPr>
                              <w:szCs w:val="32"/>
                              <w:rFonts w:ascii="宋体-简" w:hAnsi="宋体-简" w:cs="宋体-简" w:eastAsia="宋体-简"/>
                              <w:color w:themeColor="text1" w:val="000000"/>
                            </w:rPr>
                            <w:t>1</w:t>
                          </w:r>
                          <w:r>
                            <w:rPr>
                              <w:szCs w:val="32"/>
                              <w:rFonts w:ascii="宋体-简" w:hAnsi="宋体-简" w:cs="宋体-简" w:eastAsia="宋体-简"/>
                              <w:color w:themeColor="text1" w:val="000000"/>
                            </w:rPr>
                            <w:fldChar w:fldCharType="end"/>
                          </w:r>
                          <w:r>
                            <w:rPr>
                              <w:rFonts w:ascii="宋体-简" w:hAnsi="宋体-简" w:cs="宋体-简" w:eastAsia="宋体-简"/>
                              <w:color w:themeColor="text1" w:val="000000"/>
                              <w:szCs w:val="32"/>
                            </w:rPr>
                            <w:t xml:space="preserve">页 共  </w:t>
                          </w:r>
                          <w:r>
                            <w:rPr>
                              <w:rFonts w:ascii="宋体-简" w:hAnsi="宋体-简" w:cs="宋体-简" w:eastAsia="宋体-简"/>
                              <w:color w:themeColor="text1" w:val="000000"/>
                              <w:szCs w:val="32"/>
                            </w:rPr>
                            <w:fldChar w:fldCharType="begin"/>
                          </w:r>
                          <w:r>
                            <w:rPr>
                              <w:szCs w:val="32"/>
                              <w:rFonts w:ascii="宋体-简" w:hAnsi="宋体-简" w:cs="宋体-简" w:eastAsia="宋体-简"/>
                              <w:color w:themeColor="text1" w:val="000000"/>
                            </w:rPr>
                            <w:instrText xml:space="preserve"> NUMPAGES </w:instrText>
                          </w:r>
                          <w:r>
                            <w:rPr>
                              <w:szCs w:val="32"/>
                              <w:rFonts w:ascii="宋体-简" w:hAnsi="宋体-简" w:cs="宋体-简" w:eastAsia="宋体-简"/>
                              <w:color w:themeColor="text1" w:val="000000"/>
                            </w:rPr>
                            <w:fldChar w:fldCharType="separate"/>
                          </w:r>
                          <w:r>
                            <w:rPr>
                              <w:szCs w:val="32"/>
                              <w:rFonts w:ascii="宋体-简" w:hAnsi="宋体-简" w:cs="宋体-简" w:eastAsia="宋体-简"/>
                              <w:color w:themeColor="text1" w:val="000000"/>
                            </w:rPr>
                            <w:t>21</w:t>
                          </w:r>
                          <w:r>
                            <w:rPr>
                              <w:szCs w:val="32"/>
                              <w:rFonts w:ascii="宋体-简" w:hAnsi="宋体-简" w:cs="宋体-简" w:eastAsia="宋体-简"/>
                              <w:color w:themeColor="text1" w:val="000000"/>
                            </w:rPr>
                            <w:fldChar w:fldCharType="end"/>
                          </w:r>
                          <w:r>
                            <w:rPr>
                              <w:rFonts w:ascii="宋体-简" w:hAnsi="宋体-简" w:cs="宋体-简" w:eastAsia="宋体-简"/>
                              <w:color w:themeColor="text1" w:val="000000"/>
                              <w:szCs w:val="32"/>
                            </w:rPr>
                            <w:t>页</w:t>
                          </w:r>
                        </w:p>
                      </w:txbxContent>
                    </wps:txbx>
                    <wps:bodyPr lIns="0" rIns="0" tIns="0" bIns="0" anchor="t">
                      <a:noAutofit/>
                    </wps:bodyPr>
                  </wps:wsp>
                </a:graphicData>
              </a:graphic>
            </wp:anchor>
          </w:drawing>
        </mc:Choice>
        <mc:Fallback>
          <w:pict>
            <v:rect id="shape_0" ID="文本框 1" path="m0,0l-2147483645,0l-2147483645,-2147483646l0,-2147483646xe" stroked="f" o:allowincell="f" style="position:absolute;margin-left:180.45pt;margin-top:-1.25pt;width:110.25pt;height:23.1pt;mso-wrap-style:square;v-text-anchor:top;mso-position-horizontal-relative:margin" wp14:anchorId="18779596">
              <v:fill o:detectmouseclick="t" on="false"/>
              <v:stroke color="#3465a4" weight="6480" joinstyle="round" endcap="flat"/>
              <v:textbox>
                <w:txbxContent>
                  <w:p>
                    <w:pPr>
                      <w:pStyle w:val="Style17"/>
                      <w:snapToGrid w:val="false"/>
                      <w:jc w:val="center"/>
                      <w:rPr>
                        <w:rFonts w:ascii="宋体-简" w:hAnsi="宋体-简" w:eastAsia="宋体-简" w:cs="宋体-简"/>
                        <w:color w:themeColor="text1" w:val="000000"/>
                        <w:szCs w:val="32"/>
                      </w:rPr>
                    </w:pPr>
                    <w:r>
                      <w:rPr>
                        <w:rFonts w:ascii="宋体-简" w:hAnsi="宋体-简" w:cs="宋体-简" w:eastAsia="宋体-简"/>
                        <w:color w:themeColor="text1" w:val="000000"/>
                        <w:szCs w:val="32"/>
                      </w:rPr>
                      <w:t xml:space="preserve">第  </w:t>
                    </w:r>
                    <w:r>
                      <w:rPr>
                        <w:rFonts w:ascii="宋体-简" w:hAnsi="宋体-简" w:cs="宋体-简" w:eastAsia="宋体-简"/>
                        <w:color w:themeColor="text1" w:val="000000"/>
                        <w:szCs w:val="32"/>
                      </w:rPr>
                      <w:fldChar w:fldCharType="begin"/>
                    </w:r>
                    <w:r>
                      <w:rPr>
                        <w:szCs w:val="32"/>
                        <w:rFonts w:ascii="宋体-简" w:hAnsi="宋体-简" w:cs="宋体-简" w:eastAsia="宋体-简"/>
                        <w:color w:themeColor="text1" w:val="000000"/>
                      </w:rPr>
                      <w:instrText xml:space="preserve"> PAGE </w:instrText>
                    </w:r>
                    <w:r>
                      <w:rPr>
                        <w:szCs w:val="32"/>
                        <w:rFonts w:ascii="宋体-简" w:hAnsi="宋体-简" w:cs="宋体-简" w:eastAsia="宋体-简"/>
                        <w:color w:themeColor="text1" w:val="000000"/>
                      </w:rPr>
                      <w:fldChar w:fldCharType="separate"/>
                    </w:r>
                    <w:r>
                      <w:rPr>
                        <w:szCs w:val="32"/>
                        <w:rFonts w:ascii="宋体-简" w:hAnsi="宋体-简" w:cs="宋体-简" w:eastAsia="宋体-简"/>
                        <w:color w:themeColor="text1" w:val="000000"/>
                      </w:rPr>
                      <w:t>1</w:t>
                    </w:r>
                    <w:r>
                      <w:rPr>
                        <w:szCs w:val="32"/>
                        <w:rFonts w:ascii="宋体-简" w:hAnsi="宋体-简" w:cs="宋体-简" w:eastAsia="宋体-简"/>
                        <w:color w:themeColor="text1" w:val="000000"/>
                      </w:rPr>
                      <w:fldChar w:fldCharType="end"/>
                    </w:r>
                    <w:r>
                      <w:rPr>
                        <w:rFonts w:ascii="宋体-简" w:hAnsi="宋体-简" w:cs="宋体-简" w:eastAsia="宋体-简"/>
                        <w:color w:themeColor="text1" w:val="000000"/>
                        <w:szCs w:val="32"/>
                      </w:rPr>
                      <w:t xml:space="preserve">页 共  </w:t>
                    </w:r>
                    <w:r>
                      <w:rPr>
                        <w:rFonts w:ascii="宋体-简" w:hAnsi="宋体-简" w:cs="宋体-简" w:eastAsia="宋体-简"/>
                        <w:color w:themeColor="text1" w:val="000000"/>
                        <w:szCs w:val="32"/>
                      </w:rPr>
                      <w:fldChar w:fldCharType="begin"/>
                    </w:r>
                    <w:r>
                      <w:rPr>
                        <w:szCs w:val="32"/>
                        <w:rFonts w:ascii="宋体-简" w:hAnsi="宋体-简" w:cs="宋体-简" w:eastAsia="宋体-简"/>
                        <w:color w:themeColor="text1" w:val="000000"/>
                      </w:rPr>
                      <w:instrText xml:space="preserve"> NUMPAGES </w:instrText>
                    </w:r>
                    <w:r>
                      <w:rPr>
                        <w:szCs w:val="32"/>
                        <w:rFonts w:ascii="宋体-简" w:hAnsi="宋体-简" w:cs="宋体-简" w:eastAsia="宋体-简"/>
                        <w:color w:themeColor="text1" w:val="000000"/>
                      </w:rPr>
                      <w:fldChar w:fldCharType="separate"/>
                    </w:r>
                    <w:r>
                      <w:rPr>
                        <w:szCs w:val="32"/>
                        <w:rFonts w:ascii="宋体-简" w:hAnsi="宋体-简" w:cs="宋体-简" w:eastAsia="宋体-简"/>
                        <w:color w:themeColor="text1" w:val="000000"/>
                      </w:rPr>
                      <w:t>21</w:t>
                    </w:r>
                    <w:r>
                      <w:rPr>
                        <w:szCs w:val="32"/>
                        <w:rFonts w:ascii="宋体-简" w:hAnsi="宋体-简" w:cs="宋体-简" w:eastAsia="宋体-简"/>
                        <w:color w:themeColor="text1" w:val="000000"/>
                      </w:rPr>
                      <w:fldChar w:fldCharType="end"/>
                    </w:r>
                    <w:r>
                      <w:rPr>
                        <w:rFonts w:ascii="宋体-简" w:hAnsi="宋体-简" w:cs="宋体-简" w:eastAsia="宋体-简"/>
                        <w:color w:themeColor="text1" w:val="000000"/>
                        <w:szCs w:val="32"/>
                      </w:rPr>
                      <w:t>页</w:t>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45" wp14:anchorId="18779596">
              <wp:simplePos x="0" y="0"/>
              <wp:positionH relativeFrom="margin">
                <wp:posOffset>0</wp:posOffset>
              </wp:positionH>
              <wp:positionV relativeFrom="paragraph">
                <wp:posOffset>635</wp:posOffset>
              </wp:positionV>
              <wp:extent cx="1400810" cy="294005"/>
              <wp:effectExtent l="0" t="0" r="0" b="0"/>
              <wp:wrapNone/>
              <wp:docPr id="3" name="文本框 1_ 2"/>
              <a:graphic xmlns:a="http://schemas.openxmlformats.org/drawingml/2006/main">
                <a:graphicData uri="http://schemas.microsoft.com/office/word/2010/wordprocessingShape">
                  <wps:wsp>
                    <wps:cNvSpPr/>
                    <wps:spPr>
                      <a:xfrm>
                        <a:off x="0" y="0"/>
                        <a:ext cx="1400760" cy="2941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tyle17"/>
                            <w:snapToGrid w:val="false"/>
                            <w:jc w:val="center"/>
                            <w:rPr>
                              <w:rFonts w:ascii="宋体-简" w:hAnsi="宋体-简" w:eastAsia="宋体-简" w:cs="宋体-简"/>
                              <w:color w:themeColor="text1" w:val="000000"/>
                              <w:szCs w:val="32"/>
                            </w:rPr>
                          </w:pPr>
                          <w:r>
                            <w:rPr>
                              <w:rFonts w:ascii="宋体-简" w:hAnsi="宋体-简" w:cs="宋体-简" w:eastAsia="宋体-简"/>
                              <w:color w:themeColor="text1" w:val="000000"/>
                              <w:szCs w:val="32"/>
                            </w:rPr>
                            <w:t xml:space="preserve">第  </w:t>
                          </w:r>
                          <w:r>
                            <w:rPr>
                              <w:rFonts w:ascii="宋体-简" w:hAnsi="宋体-简" w:cs="宋体-简" w:eastAsia="宋体-简"/>
                              <w:color w:themeColor="text1" w:val="000000"/>
                              <w:szCs w:val="32"/>
                            </w:rPr>
                            <w:fldChar w:fldCharType="begin"/>
                          </w:r>
                          <w:r>
                            <w:rPr>
                              <w:szCs w:val="32"/>
                              <w:rFonts w:ascii="宋体-简" w:hAnsi="宋体-简" w:cs="宋体-简" w:eastAsia="宋体-简"/>
                              <w:color w:themeColor="text1" w:val="000000"/>
                            </w:rPr>
                            <w:instrText xml:space="preserve"> PAGE </w:instrText>
                          </w:r>
                          <w:r>
                            <w:rPr>
                              <w:szCs w:val="32"/>
                              <w:rFonts w:ascii="宋体-简" w:hAnsi="宋体-简" w:cs="宋体-简" w:eastAsia="宋体-简"/>
                              <w:color w:themeColor="text1" w:val="000000"/>
                            </w:rPr>
                            <w:fldChar w:fldCharType="separate"/>
                          </w:r>
                          <w:r>
                            <w:rPr>
                              <w:szCs w:val="32"/>
                              <w:rFonts w:ascii="宋体-简" w:hAnsi="宋体-简" w:cs="宋体-简" w:eastAsia="宋体-简"/>
                              <w:color w:themeColor="text1" w:val="000000"/>
                            </w:rPr>
                            <w:t>0</w:t>
                          </w:r>
                          <w:r>
                            <w:rPr>
                              <w:szCs w:val="32"/>
                              <w:rFonts w:ascii="宋体-简" w:hAnsi="宋体-简" w:cs="宋体-简" w:eastAsia="宋体-简"/>
                              <w:color w:themeColor="text1" w:val="000000"/>
                            </w:rPr>
                            <w:fldChar w:fldCharType="end"/>
                          </w:r>
                          <w:r>
                            <w:rPr>
                              <w:rFonts w:ascii="宋体-简" w:hAnsi="宋体-简" w:cs="宋体-简" w:eastAsia="宋体-简"/>
                              <w:color w:themeColor="text1" w:val="000000"/>
                              <w:szCs w:val="32"/>
                            </w:rPr>
                            <w:t xml:space="preserve">页 共 </w:t>
                          </w:r>
                          <w:r>
                            <w:rPr>
                              <w:rFonts w:ascii="宋体-简" w:hAnsi="宋体-简" w:cs="宋体-简" w:eastAsia="宋体-简"/>
                              <w:color w:themeColor="text1" w:val="000000"/>
                              <w:szCs w:val="32"/>
                            </w:rPr>
                            <w:fldChar w:fldCharType="begin"/>
                          </w:r>
                          <w:r>
                            <w:rPr>
                              <w:szCs w:val="32"/>
                              <w:rFonts w:ascii="宋体-简" w:hAnsi="宋体-简" w:cs="宋体-简" w:eastAsia="宋体-简"/>
                              <w:color w:themeColor="text1" w:val="000000"/>
                            </w:rPr>
                            <w:instrText xml:space="preserve"> NUMPAGES </w:instrText>
                          </w:r>
                          <w:r>
                            <w:rPr>
                              <w:szCs w:val="32"/>
                              <w:rFonts w:ascii="宋体-简" w:hAnsi="宋体-简" w:cs="宋体-简" w:eastAsia="宋体-简"/>
                              <w:color w:themeColor="text1" w:val="000000"/>
                            </w:rPr>
                            <w:fldChar w:fldCharType="separate"/>
                          </w:r>
                          <w:r>
                            <w:rPr>
                              <w:szCs w:val="32"/>
                              <w:rFonts w:ascii="宋体-简" w:hAnsi="宋体-简" w:cs="宋体-简" w:eastAsia="宋体-简"/>
                              <w:color w:themeColor="text1" w:val="000000"/>
                            </w:rPr>
                            <w:t>21</w:t>
                          </w:r>
                          <w:r>
                            <w:rPr>
                              <w:szCs w:val="32"/>
                              <w:rFonts w:ascii="宋体-简" w:hAnsi="宋体-简" w:cs="宋体-简" w:eastAsia="宋体-简"/>
                              <w:color w:themeColor="text1" w:val="000000"/>
                            </w:rPr>
                            <w:fldChar w:fldCharType="end"/>
                          </w:r>
                          <w:r>
                            <w:rPr>
                              <w:rFonts w:ascii="宋体-简" w:hAnsi="宋体-简" w:cs="宋体-简" w:eastAsia="宋体-简"/>
                              <w:color w:themeColor="text1" w:val="000000"/>
                              <w:szCs w:val="32"/>
                            </w:rPr>
                            <w:t xml:space="preserve"> 页</w:t>
                          </w:r>
                        </w:p>
                      </w:txbxContent>
                    </wps:txbx>
                    <wps:bodyPr lIns="0" rIns="0" tIns="0" bIns="0" anchor="t">
                      <a:noAutofit/>
                    </wps:bodyPr>
                  </wps:wsp>
                </a:graphicData>
              </a:graphic>
            </wp:anchor>
          </w:drawing>
        </mc:Choice>
        <mc:Fallback>
          <w:pict>
            <v:rect id="shape_0" ID="文本框 1_ 2" path="m0,0l-2147483645,0l-2147483645,-2147483646l0,-2147483646xe" stroked="f" o:allowincell="f" style="position:absolute;margin-left:0pt;margin-top:0.05pt;width:110.25pt;height:23.1pt;mso-wrap-style:square;v-text-anchor:top;mso-position-horizontal-relative:margin" wp14:anchorId="18779596">
              <v:fill o:detectmouseclick="t" on="false"/>
              <v:stroke color="#3465a4" weight="6480" joinstyle="round" endcap="flat"/>
              <v:textbox>
                <w:txbxContent>
                  <w:p>
                    <w:pPr>
                      <w:pStyle w:val="Style17"/>
                      <w:snapToGrid w:val="false"/>
                      <w:jc w:val="center"/>
                      <w:rPr>
                        <w:rFonts w:ascii="宋体-简" w:hAnsi="宋体-简" w:eastAsia="宋体-简" w:cs="宋体-简"/>
                        <w:color w:themeColor="text1" w:val="000000"/>
                        <w:szCs w:val="32"/>
                      </w:rPr>
                    </w:pPr>
                    <w:r>
                      <w:rPr>
                        <w:rFonts w:ascii="宋体-简" w:hAnsi="宋体-简" w:cs="宋体-简" w:eastAsia="宋体-简"/>
                        <w:color w:themeColor="text1" w:val="000000"/>
                        <w:szCs w:val="32"/>
                      </w:rPr>
                      <w:t xml:space="preserve">第  </w:t>
                    </w:r>
                    <w:r>
                      <w:rPr>
                        <w:rFonts w:ascii="宋体-简" w:hAnsi="宋体-简" w:cs="宋体-简" w:eastAsia="宋体-简"/>
                        <w:color w:themeColor="text1" w:val="000000"/>
                        <w:szCs w:val="32"/>
                      </w:rPr>
                      <w:fldChar w:fldCharType="begin"/>
                    </w:r>
                    <w:r>
                      <w:rPr>
                        <w:szCs w:val="32"/>
                        <w:rFonts w:ascii="宋体-简" w:hAnsi="宋体-简" w:cs="宋体-简" w:eastAsia="宋体-简"/>
                        <w:color w:themeColor="text1" w:val="000000"/>
                      </w:rPr>
                      <w:instrText xml:space="preserve"> PAGE </w:instrText>
                    </w:r>
                    <w:r>
                      <w:rPr>
                        <w:szCs w:val="32"/>
                        <w:rFonts w:ascii="宋体-简" w:hAnsi="宋体-简" w:cs="宋体-简" w:eastAsia="宋体-简"/>
                        <w:color w:themeColor="text1" w:val="000000"/>
                      </w:rPr>
                      <w:fldChar w:fldCharType="separate"/>
                    </w:r>
                    <w:r>
                      <w:rPr>
                        <w:szCs w:val="32"/>
                        <w:rFonts w:ascii="宋体-简" w:hAnsi="宋体-简" w:cs="宋体-简" w:eastAsia="宋体-简"/>
                        <w:color w:themeColor="text1" w:val="000000"/>
                      </w:rPr>
                      <w:t>0</w:t>
                    </w:r>
                    <w:r>
                      <w:rPr>
                        <w:szCs w:val="32"/>
                        <w:rFonts w:ascii="宋体-简" w:hAnsi="宋体-简" w:cs="宋体-简" w:eastAsia="宋体-简"/>
                        <w:color w:themeColor="text1" w:val="000000"/>
                      </w:rPr>
                      <w:fldChar w:fldCharType="end"/>
                    </w:r>
                    <w:r>
                      <w:rPr>
                        <w:rFonts w:ascii="宋体-简" w:hAnsi="宋体-简" w:cs="宋体-简" w:eastAsia="宋体-简"/>
                        <w:color w:themeColor="text1" w:val="000000"/>
                        <w:szCs w:val="32"/>
                      </w:rPr>
                      <w:t xml:space="preserve">页 共 </w:t>
                    </w:r>
                    <w:r>
                      <w:rPr>
                        <w:rFonts w:ascii="宋体-简" w:hAnsi="宋体-简" w:cs="宋体-简" w:eastAsia="宋体-简"/>
                        <w:color w:themeColor="text1" w:val="000000"/>
                        <w:szCs w:val="32"/>
                      </w:rPr>
                      <w:fldChar w:fldCharType="begin"/>
                    </w:r>
                    <w:r>
                      <w:rPr>
                        <w:szCs w:val="32"/>
                        <w:rFonts w:ascii="宋体-简" w:hAnsi="宋体-简" w:cs="宋体-简" w:eastAsia="宋体-简"/>
                        <w:color w:themeColor="text1" w:val="000000"/>
                      </w:rPr>
                      <w:instrText xml:space="preserve"> NUMPAGES </w:instrText>
                    </w:r>
                    <w:r>
                      <w:rPr>
                        <w:szCs w:val="32"/>
                        <w:rFonts w:ascii="宋体-简" w:hAnsi="宋体-简" w:cs="宋体-简" w:eastAsia="宋体-简"/>
                        <w:color w:themeColor="text1" w:val="000000"/>
                      </w:rPr>
                      <w:fldChar w:fldCharType="separate"/>
                    </w:r>
                    <w:r>
                      <w:rPr>
                        <w:szCs w:val="32"/>
                        <w:rFonts w:ascii="宋体-简" w:hAnsi="宋体-简" w:cs="宋体-简" w:eastAsia="宋体-简"/>
                        <w:color w:themeColor="text1" w:val="000000"/>
                      </w:rPr>
                      <w:t>21</w:t>
                    </w:r>
                    <w:r>
                      <w:rPr>
                        <w:szCs w:val="32"/>
                        <w:rFonts w:ascii="宋体-简" w:hAnsi="宋体-简" w:cs="宋体-简" w:eastAsia="宋体-简"/>
                        <w:color w:themeColor="text1" w:val="000000"/>
                      </w:rPr>
                      <w:fldChar w:fldCharType="end"/>
                    </w:r>
                    <w:r>
                      <w:rPr>
                        <w:rFonts w:ascii="宋体-简" w:hAnsi="宋体-简" w:cs="宋体-简" w:eastAsia="宋体-简"/>
                        <w:color w:themeColor="text1" w:val="000000"/>
                        <w:szCs w:val="32"/>
                      </w:rPr>
                      <w:t xml:space="preserve"> 页</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41" wp14:anchorId="18779596">
              <wp:simplePos x="0" y="0"/>
              <wp:positionH relativeFrom="margin">
                <wp:posOffset>2291715</wp:posOffset>
              </wp:positionH>
              <wp:positionV relativeFrom="paragraph">
                <wp:posOffset>-15875</wp:posOffset>
              </wp:positionV>
              <wp:extent cx="1400810" cy="294005"/>
              <wp:effectExtent l="0" t="0" r="0" b="0"/>
              <wp:wrapNone/>
              <wp:docPr id="4" name="文本框 1_0"/>
              <a:graphic xmlns:a="http://schemas.openxmlformats.org/drawingml/2006/main">
                <a:graphicData uri="http://schemas.microsoft.com/office/word/2010/wordprocessingShape">
                  <wps:wsp>
                    <wps:cNvSpPr/>
                    <wps:spPr>
                      <a:xfrm>
                        <a:off x="0" y="0"/>
                        <a:ext cx="1400760" cy="2941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tyle17"/>
                            <w:snapToGrid w:val="false"/>
                            <w:jc w:val="center"/>
                            <w:rPr>
                              <w:rFonts w:ascii="宋体-简" w:hAnsi="宋体-简" w:eastAsia="宋体-简" w:cs="宋体-简"/>
                              <w:color w:themeColor="text1" w:val="000000"/>
                              <w:szCs w:val="32"/>
                            </w:rPr>
                          </w:pPr>
                          <w:r>
                            <w:rPr>
                              <w:rFonts w:ascii="宋体-简" w:hAnsi="宋体-简" w:cs="宋体-简" w:eastAsia="宋体-简"/>
                              <w:color w:themeColor="text1" w:val="000000"/>
                              <w:szCs w:val="32"/>
                            </w:rPr>
                            <w:t xml:space="preserve">第  </w:t>
                          </w:r>
                          <w:r>
                            <w:rPr>
                              <w:rFonts w:ascii="宋体-简" w:hAnsi="宋体-简" w:cs="宋体-简" w:eastAsia="宋体-简"/>
                              <w:color w:themeColor="text1" w:val="000000"/>
                              <w:szCs w:val="32"/>
                            </w:rPr>
                            <w:fldChar w:fldCharType="begin"/>
                          </w:r>
                          <w:r>
                            <w:rPr>
                              <w:szCs w:val="32"/>
                              <w:rFonts w:ascii="宋体-简" w:hAnsi="宋体-简" w:cs="宋体-简" w:eastAsia="宋体-简"/>
                              <w:color w:themeColor="text1" w:val="000000"/>
                            </w:rPr>
                            <w:instrText xml:space="preserve"> PAGE </w:instrText>
                          </w:r>
                          <w:r>
                            <w:rPr>
                              <w:szCs w:val="32"/>
                              <w:rFonts w:ascii="宋体-简" w:hAnsi="宋体-简" w:cs="宋体-简" w:eastAsia="宋体-简"/>
                              <w:color w:themeColor="text1" w:val="000000"/>
                            </w:rPr>
                            <w:fldChar w:fldCharType="separate"/>
                          </w:r>
                          <w:r>
                            <w:rPr>
                              <w:szCs w:val="32"/>
                              <w:rFonts w:ascii="宋体-简" w:hAnsi="宋体-简" w:cs="宋体-简" w:eastAsia="宋体-简"/>
                              <w:color w:themeColor="text1" w:val="000000"/>
                            </w:rPr>
                            <w:t>20</w:t>
                          </w:r>
                          <w:r>
                            <w:rPr>
                              <w:szCs w:val="32"/>
                              <w:rFonts w:ascii="宋体-简" w:hAnsi="宋体-简" w:cs="宋体-简" w:eastAsia="宋体-简"/>
                              <w:color w:themeColor="text1" w:val="000000"/>
                            </w:rPr>
                            <w:fldChar w:fldCharType="end"/>
                          </w:r>
                          <w:r>
                            <w:rPr>
                              <w:rFonts w:ascii="宋体-简" w:hAnsi="宋体-简" w:cs="宋体-简" w:eastAsia="宋体-简"/>
                              <w:color w:themeColor="text1" w:val="000000"/>
                              <w:szCs w:val="32"/>
                            </w:rPr>
                            <w:t xml:space="preserve">页 共 </w:t>
                          </w:r>
                          <w:r>
                            <w:rPr>
                              <w:rFonts w:ascii="宋体-简" w:hAnsi="宋体-简" w:cs="宋体-简" w:eastAsia="宋体-简"/>
                              <w:color w:themeColor="text1" w:val="000000"/>
                              <w:szCs w:val="32"/>
                            </w:rPr>
                            <w:fldChar w:fldCharType="begin"/>
                          </w:r>
                          <w:r>
                            <w:rPr>
                              <w:szCs w:val="32"/>
                              <w:rFonts w:ascii="宋体-简" w:hAnsi="宋体-简" w:cs="宋体-简" w:eastAsia="宋体-简"/>
                              <w:color w:themeColor="text1" w:val="000000"/>
                            </w:rPr>
                            <w:instrText xml:space="preserve"> NUMPAGES </w:instrText>
                          </w:r>
                          <w:r>
                            <w:rPr>
                              <w:szCs w:val="32"/>
                              <w:rFonts w:ascii="宋体-简" w:hAnsi="宋体-简" w:cs="宋体-简" w:eastAsia="宋体-简"/>
                              <w:color w:themeColor="text1" w:val="000000"/>
                            </w:rPr>
                            <w:fldChar w:fldCharType="separate"/>
                          </w:r>
                          <w:r>
                            <w:rPr>
                              <w:szCs w:val="32"/>
                              <w:rFonts w:ascii="宋体-简" w:hAnsi="宋体-简" w:cs="宋体-简" w:eastAsia="宋体-简"/>
                              <w:color w:themeColor="text1" w:val="000000"/>
                            </w:rPr>
                            <w:t>21</w:t>
                          </w:r>
                          <w:r>
                            <w:rPr>
                              <w:szCs w:val="32"/>
                              <w:rFonts w:ascii="宋体-简" w:hAnsi="宋体-简" w:cs="宋体-简" w:eastAsia="宋体-简"/>
                              <w:color w:themeColor="text1" w:val="000000"/>
                            </w:rPr>
                            <w:fldChar w:fldCharType="end"/>
                          </w:r>
                          <w:r>
                            <w:rPr>
                              <w:rFonts w:ascii="宋体-简" w:hAnsi="宋体-简" w:cs="宋体-简" w:eastAsia="宋体-简"/>
                              <w:color w:themeColor="text1" w:val="000000"/>
                              <w:szCs w:val="32"/>
                            </w:rPr>
                            <w:t xml:space="preserve"> 页</w:t>
                          </w:r>
                        </w:p>
                      </w:txbxContent>
                    </wps:txbx>
                    <wps:bodyPr lIns="0" rIns="0" tIns="0" bIns="0" anchor="t">
                      <a:noAutofit/>
                    </wps:bodyPr>
                  </wps:wsp>
                </a:graphicData>
              </a:graphic>
            </wp:anchor>
          </w:drawing>
        </mc:Choice>
        <mc:Fallback>
          <w:pict>
            <v:rect id="shape_0" ID="文本框 1_0" path="m0,0l-2147483645,0l-2147483645,-2147483646l0,-2147483646xe" stroked="f" o:allowincell="f" style="position:absolute;margin-left:180.45pt;margin-top:-1.25pt;width:110.25pt;height:23.1pt;mso-wrap-style:square;v-text-anchor:top;mso-position-horizontal-relative:margin" wp14:anchorId="18779596">
              <v:fill o:detectmouseclick="t" on="false"/>
              <v:stroke color="#3465a4" weight="6480" joinstyle="round" endcap="flat"/>
              <v:textbox>
                <w:txbxContent>
                  <w:p>
                    <w:pPr>
                      <w:pStyle w:val="Style17"/>
                      <w:snapToGrid w:val="false"/>
                      <w:jc w:val="center"/>
                      <w:rPr>
                        <w:rFonts w:ascii="宋体-简" w:hAnsi="宋体-简" w:eastAsia="宋体-简" w:cs="宋体-简"/>
                        <w:color w:themeColor="text1" w:val="000000"/>
                        <w:szCs w:val="32"/>
                      </w:rPr>
                    </w:pPr>
                    <w:r>
                      <w:rPr>
                        <w:rFonts w:ascii="宋体-简" w:hAnsi="宋体-简" w:cs="宋体-简" w:eastAsia="宋体-简"/>
                        <w:color w:themeColor="text1" w:val="000000"/>
                        <w:szCs w:val="32"/>
                      </w:rPr>
                      <w:t xml:space="preserve">第  </w:t>
                    </w:r>
                    <w:r>
                      <w:rPr>
                        <w:rFonts w:ascii="宋体-简" w:hAnsi="宋体-简" w:cs="宋体-简" w:eastAsia="宋体-简"/>
                        <w:color w:themeColor="text1" w:val="000000"/>
                        <w:szCs w:val="32"/>
                      </w:rPr>
                      <w:fldChar w:fldCharType="begin"/>
                    </w:r>
                    <w:r>
                      <w:rPr>
                        <w:szCs w:val="32"/>
                        <w:rFonts w:ascii="宋体-简" w:hAnsi="宋体-简" w:cs="宋体-简" w:eastAsia="宋体-简"/>
                        <w:color w:themeColor="text1" w:val="000000"/>
                      </w:rPr>
                      <w:instrText xml:space="preserve"> PAGE </w:instrText>
                    </w:r>
                    <w:r>
                      <w:rPr>
                        <w:szCs w:val="32"/>
                        <w:rFonts w:ascii="宋体-简" w:hAnsi="宋体-简" w:cs="宋体-简" w:eastAsia="宋体-简"/>
                        <w:color w:themeColor="text1" w:val="000000"/>
                      </w:rPr>
                      <w:fldChar w:fldCharType="separate"/>
                    </w:r>
                    <w:r>
                      <w:rPr>
                        <w:szCs w:val="32"/>
                        <w:rFonts w:ascii="宋体-简" w:hAnsi="宋体-简" w:cs="宋体-简" w:eastAsia="宋体-简"/>
                        <w:color w:themeColor="text1" w:val="000000"/>
                      </w:rPr>
                      <w:t>20</w:t>
                    </w:r>
                    <w:r>
                      <w:rPr>
                        <w:szCs w:val="32"/>
                        <w:rFonts w:ascii="宋体-简" w:hAnsi="宋体-简" w:cs="宋体-简" w:eastAsia="宋体-简"/>
                        <w:color w:themeColor="text1" w:val="000000"/>
                      </w:rPr>
                      <w:fldChar w:fldCharType="end"/>
                    </w:r>
                    <w:r>
                      <w:rPr>
                        <w:rFonts w:ascii="宋体-简" w:hAnsi="宋体-简" w:cs="宋体-简" w:eastAsia="宋体-简"/>
                        <w:color w:themeColor="text1" w:val="000000"/>
                        <w:szCs w:val="32"/>
                      </w:rPr>
                      <w:t xml:space="preserve">页 共 </w:t>
                    </w:r>
                    <w:r>
                      <w:rPr>
                        <w:rFonts w:ascii="宋体-简" w:hAnsi="宋体-简" w:cs="宋体-简" w:eastAsia="宋体-简"/>
                        <w:color w:themeColor="text1" w:val="000000"/>
                        <w:szCs w:val="32"/>
                      </w:rPr>
                      <w:fldChar w:fldCharType="begin"/>
                    </w:r>
                    <w:r>
                      <w:rPr>
                        <w:szCs w:val="32"/>
                        <w:rFonts w:ascii="宋体-简" w:hAnsi="宋体-简" w:cs="宋体-简" w:eastAsia="宋体-简"/>
                        <w:color w:themeColor="text1" w:val="000000"/>
                      </w:rPr>
                      <w:instrText xml:space="preserve"> NUMPAGES </w:instrText>
                    </w:r>
                    <w:r>
                      <w:rPr>
                        <w:szCs w:val="32"/>
                        <w:rFonts w:ascii="宋体-简" w:hAnsi="宋体-简" w:cs="宋体-简" w:eastAsia="宋体-简"/>
                        <w:color w:themeColor="text1" w:val="000000"/>
                      </w:rPr>
                      <w:fldChar w:fldCharType="separate"/>
                    </w:r>
                    <w:r>
                      <w:rPr>
                        <w:szCs w:val="32"/>
                        <w:rFonts w:ascii="宋体-简" w:hAnsi="宋体-简" w:cs="宋体-简" w:eastAsia="宋体-简"/>
                        <w:color w:themeColor="text1" w:val="000000"/>
                      </w:rPr>
                      <w:t>21</w:t>
                    </w:r>
                    <w:r>
                      <w:rPr>
                        <w:szCs w:val="32"/>
                        <w:rFonts w:ascii="宋体-简" w:hAnsi="宋体-简" w:cs="宋体-简" w:eastAsia="宋体-简"/>
                        <w:color w:themeColor="text1" w:val="000000"/>
                      </w:rPr>
                      <w:fldChar w:fldCharType="end"/>
                    </w:r>
                    <w:r>
                      <w:rPr>
                        <w:rFonts w:ascii="宋体-简" w:hAnsi="宋体-简" w:cs="宋体-简" w:eastAsia="宋体-简"/>
                        <w:color w:themeColor="text1" w:val="000000"/>
                        <w:szCs w:val="32"/>
                      </w:rPr>
                      <w:t xml:space="preserve"> 页</w:t>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41" wp14:anchorId="18779596">
              <wp:simplePos x="0" y="0"/>
              <wp:positionH relativeFrom="margin">
                <wp:posOffset>2291715</wp:posOffset>
              </wp:positionH>
              <wp:positionV relativeFrom="paragraph">
                <wp:posOffset>-15875</wp:posOffset>
              </wp:positionV>
              <wp:extent cx="1400810" cy="294005"/>
              <wp:effectExtent l="0" t="0" r="0" b="0"/>
              <wp:wrapNone/>
              <wp:docPr id="5" name="文本框 1_0"/>
              <a:graphic xmlns:a="http://schemas.openxmlformats.org/drawingml/2006/main">
                <a:graphicData uri="http://schemas.microsoft.com/office/word/2010/wordprocessingShape">
                  <wps:wsp>
                    <wps:cNvSpPr/>
                    <wps:spPr>
                      <a:xfrm>
                        <a:off x="0" y="0"/>
                        <a:ext cx="1400760" cy="2941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Style17"/>
                            <w:snapToGrid w:val="false"/>
                            <w:jc w:val="center"/>
                            <w:rPr>
                              <w:rFonts w:ascii="宋体-简" w:hAnsi="宋体-简" w:eastAsia="宋体-简" w:cs="宋体-简"/>
                              <w:color w:themeColor="text1" w:val="000000"/>
                              <w:szCs w:val="32"/>
                            </w:rPr>
                          </w:pPr>
                          <w:r>
                            <w:rPr>
                              <w:rFonts w:ascii="宋体-简" w:hAnsi="宋体-简" w:cs="宋体-简" w:eastAsia="宋体-简"/>
                              <w:color w:themeColor="text1" w:val="000000"/>
                              <w:szCs w:val="32"/>
                            </w:rPr>
                            <w:t xml:space="preserve">第  </w:t>
                          </w:r>
                          <w:r>
                            <w:rPr>
                              <w:rFonts w:ascii="宋体-简" w:hAnsi="宋体-简" w:cs="宋体-简" w:eastAsia="宋体-简"/>
                              <w:color w:themeColor="text1" w:val="000000"/>
                              <w:szCs w:val="32"/>
                            </w:rPr>
                            <w:fldChar w:fldCharType="begin"/>
                          </w:r>
                          <w:r>
                            <w:rPr>
                              <w:szCs w:val="32"/>
                              <w:rFonts w:ascii="宋体-简" w:hAnsi="宋体-简" w:cs="宋体-简" w:eastAsia="宋体-简"/>
                              <w:color w:themeColor="text1" w:val="000000"/>
                            </w:rPr>
                            <w:instrText xml:space="preserve"> PAGE </w:instrText>
                          </w:r>
                          <w:r>
                            <w:rPr>
                              <w:szCs w:val="32"/>
                              <w:rFonts w:ascii="宋体-简" w:hAnsi="宋体-简" w:cs="宋体-简" w:eastAsia="宋体-简"/>
                              <w:color w:themeColor="text1" w:val="000000"/>
                            </w:rPr>
                            <w:fldChar w:fldCharType="separate"/>
                          </w:r>
                          <w:r>
                            <w:rPr>
                              <w:szCs w:val="32"/>
                              <w:rFonts w:ascii="宋体-简" w:hAnsi="宋体-简" w:cs="宋体-简" w:eastAsia="宋体-简"/>
                              <w:color w:themeColor="text1" w:val="000000"/>
                            </w:rPr>
                            <w:t>20</w:t>
                          </w:r>
                          <w:r>
                            <w:rPr>
                              <w:szCs w:val="32"/>
                              <w:rFonts w:ascii="宋体-简" w:hAnsi="宋体-简" w:cs="宋体-简" w:eastAsia="宋体-简"/>
                              <w:color w:themeColor="text1" w:val="000000"/>
                            </w:rPr>
                            <w:fldChar w:fldCharType="end"/>
                          </w:r>
                          <w:r>
                            <w:rPr>
                              <w:rFonts w:ascii="宋体-简" w:hAnsi="宋体-简" w:cs="宋体-简" w:eastAsia="宋体-简"/>
                              <w:color w:themeColor="text1" w:val="000000"/>
                              <w:szCs w:val="32"/>
                            </w:rPr>
                            <w:t xml:space="preserve">页 共 </w:t>
                          </w:r>
                          <w:r>
                            <w:rPr>
                              <w:rFonts w:ascii="宋体-简" w:hAnsi="宋体-简" w:cs="宋体-简" w:eastAsia="宋体-简"/>
                              <w:color w:themeColor="text1" w:val="000000"/>
                              <w:szCs w:val="32"/>
                            </w:rPr>
                            <w:fldChar w:fldCharType="begin"/>
                          </w:r>
                          <w:r>
                            <w:rPr>
                              <w:szCs w:val="32"/>
                              <w:rFonts w:ascii="宋体-简" w:hAnsi="宋体-简" w:cs="宋体-简" w:eastAsia="宋体-简"/>
                              <w:color w:themeColor="text1" w:val="000000"/>
                            </w:rPr>
                            <w:instrText xml:space="preserve"> NUMPAGES </w:instrText>
                          </w:r>
                          <w:r>
                            <w:rPr>
                              <w:szCs w:val="32"/>
                              <w:rFonts w:ascii="宋体-简" w:hAnsi="宋体-简" w:cs="宋体-简" w:eastAsia="宋体-简"/>
                              <w:color w:themeColor="text1" w:val="000000"/>
                            </w:rPr>
                            <w:fldChar w:fldCharType="separate"/>
                          </w:r>
                          <w:r>
                            <w:rPr>
                              <w:szCs w:val="32"/>
                              <w:rFonts w:ascii="宋体-简" w:hAnsi="宋体-简" w:cs="宋体-简" w:eastAsia="宋体-简"/>
                              <w:color w:themeColor="text1" w:val="000000"/>
                            </w:rPr>
                            <w:t>21</w:t>
                          </w:r>
                          <w:r>
                            <w:rPr>
                              <w:szCs w:val="32"/>
                              <w:rFonts w:ascii="宋体-简" w:hAnsi="宋体-简" w:cs="宋体-简" w:eastAsia="宋体-简"/>
                              <w:color w:themeColor="text1" w:val="000000"/>
                            </w:rPr>
                            <w:fldChar w:fldCharType="end"/>
                          </w:r>
                          <w:r>
                            <w:rPr>
                              <w:rFonts w:ascii="宋体-简" w:hAnsi="宋体-简" w:cs="宋体-简" w:eastAsia="宋体-简"/>
                              <w:color w:themeColor="text1" w:val="000000"/>
                              <w:szCs w:val="32"/>
                            </w:rPr>
                            <w:t xml:space="preserve"> 页</w:t>
                          </w:r>
                        </w:p>
                      </w:txbxContent>
                    </wps:txbx>
                    <wps:bodyPr lIns="0" rIns="0" tIns="0" bIns="0" anchor="t">
                      <a:noAutofit/>
                    </wps:bodyPr>
                  </wps:wsp>
                </a:graphicData>
              </a:graphic>
            </wp:anchor>
          </w:drawing>
        </mc:Choice>
        <mc:Fallback>
          <w:pict>
            <v:rect id="shape_0" ID="文本框 1_0" path="m0,0l-2147483645,0l-2147483645,-2147483646l0,-2147483646xe" stroked="f" o:allowincell="f" style="position:absolute;margin-left:180.45pt;margin-top:-1.25pt;width:110.25pt;height:23.1pt;mso-wrap-style:square;v-text-anchor:top;mso-position-horizontal-relative:margin" wp14:anchorId="18779596">
              <v:fill o:detectmouseclick="t" on="false"/>
              <v:stroke color="#3465a4" weight="6480" joinstyle="round" endcap="flat"/>
              <v:textbox>
                <w:txbxContent>
                  <w:p>
                    <w:pPr>
                      <w:pStyle w:val="Style17"/>
                      <w:snapToGrid w:val="false"/>
                      <w:jc w:val="center"/>
                      <w:rPr>
                        <w:rFonts w:ascii="宋体-简" w:hAnsi="宋体-简" w:eastAsia="宋体-简" w:cs="宋体-简"/>
                        <w:color w:themeColor="text1" w:val="000000"/>
                        <w:szCs w:val="32"/>
                      </w:rPr>
                    </w:pPr>
                    <w:r>
                      <w:rPr>
                        <w:rFonts w:ascii="宋体-简" w:hAnsi="宋体-简" w:cs="宋体-简" w:eastAsia="宋体-简"/>
                        <w:color w:themeColor="text1" w:val="000000"/>
                        <w:szCs w:val="32"/>
                      </w:rPr>
                      <w:t xml:space="preserve">第  </w:t>
                    </w:r>
                    <w:r>
                      <w:rPr>
                        <w:rFonts w:ascii="宋体-简" w:hAnsi="宋体-简" w:cs="宋体-简" w:eastAsia="宋体-简"/>
                        <w:color w:themeColor="text1" w:val="000000"/>
                        <w:szCs w:val="32"/>
                      </w:rPr>
                      <w:fldChar w:fldCharType="begin"/>
                    </w:r>
                    <w:r>
                      <w:rPr>
                        <w:szCs w:val="32"/>
                        <w:rFonts w:ascii="宋体-简" w:hAnsi="宋体-简" w:cs="宋体-简" w:eastAsia="宋体-简"/>
                        <w:color w:themeColor="text1" w:val="000000"/>
                      </w:rPr>
                      <w:instrText xml:space="preserve"> PAGE </w:instrText>
                    </w:r>
                    <w:r>
                      <w:rPr>
                        <w:szCs w:val="32"/>
                        <w:rFonts w:ascii="宋体-简" w:hAnsi="宋体-简" w:cs="宋体-简" w:eastAsia="宋体-简"/>
                        <w:color w:themeColor="text1" w:val="000000"/>
                      </w:rPr>
                      <w:fldChar w:fldCharType="separate"/>
                    </w:r>
                    <w:r>
                      <w:rPr>
                        <w:szCs w:val="32"/>
                        <w:rFonts w:ascii="宋体-简" w:hAnsi="宋体-简" w:cs="宋体-简" w:eastAsia="宋体-简"/>
                        <w:color w:themeColor="text1" w:val="000000"/>
                      </w:rPr>
                      <w:t>20</w:t>
                    </w:r>
                    <w:r>
                      <w:rPr>
                        <w:szCs w:val="32"/>
                        <w:rFonts w:ascii="宋体-简" w:hAnsi="宋体-简" w:cs="宋体-简" w:eastAsia="宋体-简"/>
                        <w:color w:themeColor="text1" w:val="000000"/>
                      </w:rPr>
                      <w:fldChar w:fldCharType="end"/>
                    </w:r>
                    <w:r>
                      <w:rPr>
                        <w:rFonts w:ascii="宋体-简" w:hAnsi="宋体-简" w:cs="宋体-简" w:eastAsia="宋体-简"/>
                        <w:color w:themeColor="text1" w:val="000000"/>
                        <w:szCs w:val="32"/>
                      </w:rPr>
                      <w:t xml:space="preserve">页 共 </w:t>
                    </w:r>
                    <w:r>
                      <w:rPr>
                        <w:rFonts w:ascii="宋体-简" w:hAnsi="宋体-简" w:cs="宋体-简" w:eastAsia="宋体-简"/>
                        <w:color w:themeColor="text1" w:val="000000"/>
                        <w:szCs w:val="32"/>
                      </w:rPr>
                      <w:fldChar w:fldCharType="begin"/>
                    </w:r>
                    <w:r>
                      <w:rPr>
                        <w:szCs w:val="32"/>
                        <w:rFonts w:ascii="宋体-简" w:hAnsi="宋体-简" w:cs="宋体-简" w:eastAsia="宋体-简"/>
                        <w:color w:themeColor="text1" w:val="000000"/>
                      </w:rPr>
                      <w:instrText xml:space="preserve"> NUMPAGES </w:instrText>
                    </w:r>
                    <w:r>
                      <w:rPr>
                        <w:szCs w:val="32"/>
                        <w:rFonts w:ascii="宋体-简" w:hAnsi="宋体-简" w:cs="宋体-简" w:eastAsia="宋体-简"/>
                        <w:color w:themeColor="text1" w:val="000000"/>
                      </w:rPr>
                      <w:fldChar w:fldCharType="separate"/>
                    </w:r>
                    <w:r>
                      <w:rPr>
                        <w:szCs w:val="32"/>
                        <w:rFonts w:ascii="宋体-简" w:hAnsi="宋体-简" w:cs="宋体-简" w:eastAsia="宋体-简"/>
                        <w:color w:themeColor="text1" w:val="000000"/>
                      </w:rPr>
                      <w:t>21</w:t>
                    </w:r>
                    <w:r>
                      <w:rPr>
                        <w:szCs w:val="32"/>
                        <w:rFonts w:ascii="宋体-简" w:hAnsi="宋体-简" w:cs="宋体-简" w:eastAsia="宋体-简"/>
                        <w:color w:themeColor="text1" w:val="000000"/>
                      </w:rPr>
                      <w:fldChar w:fldCharType="end"/>
                    </w:r>
                    <w:r>
                      <w:rPr>
                        <w:rFonts w:ascii="宋体-简" w:hAnsi="宋体-简" w:cs="宋体-简" w:eastAsia="宋体-简"/>
                        <w:color w:themeColor="text1" w:val="000000"/>
                        <w:szCs w:val="32"/>
                      </w:rPr>
                      <w:t xml:space="preserve"> 页</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宋体-简" w:hAnsi="宋体-简" w:eastAsia="宋体-简" w:cs="宋体-简"/>
        <w:color w:themeColor="text1" w:val="000000"/>
        <w:sz w:val="21"/>
        <w:szCs w:val="21"/>
        <w:lang w:eastAsia="zh-TW"/>
      </w:rPr>
    </w:pPr>
    <w:r>
      <w:rPr>
        <w:rFonts w:ascii="宋体-简" w:hAnsi="宋体-简" w:cs="宋体-简" w:eastAsia="宋体-简"/>
        <w:color w:themeColor="text1" w:val="000000"/>
        <w:sz w:val="21"/>
        <w:szCs w:val="21"/>
        <w:lang w:eastAsia="zh-TW"/>
      </w:rPr>
      <w:t>中華民族聯邦共和國憲法</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宋体-简" w:hAnsi="宋体-简" w:eastAsia="宋体-简" w:cs="宋体-简"/>
        <w:color w:themeColor="text1" w:val="000000"/>
        <w:sz w:val="21"/>
        <w:szCs w:val="21"/>
        <w:lang w:eastAsia="zh-TW"/>
      </w:rPr>
    </w:pPr>
    <w:r>
      <w:rPr>
        <w:rFonts w:ascii="宋体-简" w:hAnsi="宋体-简" w:cs="宋体-简" w:eastAsia="宋体-简"/>
        <w:color w:themeColor="text1" w:val="000000"/>
        <w:sz w:val="21"/>
        <w:szCs w:val="21"/>
        <w:lang w:eastAsia="zh-TW"/>
      </w:rPr>
      <w:t>中華民族聯邦共和國憲法</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宋体-简" w:hAnsi="宋体-简" w:eastAsia="宋体-简" w:cs="宋体-简"/>
        <w:color w:themeColor="text1" w:val="000000"/>
        <w:sz w:val="21"/>
        <w:szCs w:val="21"/>
        <w:lang w:eastAsia="zh-TW"/>
      </w:rPr>
    </w:pPr>
    <w:r>
      <w:rPr>
        <w:rFonts w:ascii="宋体-简" w:hAnsi="宋体-简" w:cs="宋体-简" w:eastAsia="宋体-简"/>
        <w:color w:themeColor="text1" w:val="000000"/>
        <w:sz w:val="21"/>
        <w:szCs w:val="21"/>
        <w:lang w:eastAsia="zh-TW"/>
      </w:rPr>
      <w:t>中華民族聯邦共和國憲法</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宋体-简" w:hAnsi="宋体-简" w:eastAsia="宋体-简" w:cs="宋体-简"/>
        <w:color w:themeColor="text1" w:val="000000"/>
        <w:sz w:val="21"/>
        <w:szCs w:val="21"/>
        <w:lang w:eastAsia="zh-TW"/>
      </w:rPr>
    </w:pPr>
    <w:r>
      <w:rPr>
        <w:rFonts w:ascii="宋体-简" w:hAnsi="宋体-简" w:cs="宋体-简" w:eastAsia="宋体-简"/>
        <w:color w:themeColor="text1" w:val="000000"/>
        <w:sz w:val="21"/>
        <w:szCs w:val="21"/>
        <w:lang w:eastAsia="zh-TW"/>
      </w:rPr>
      <w:t>中華民族聯邦共和國憲法</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chineseCountingThousand"/>
      <w:lvlText w:val="第%1章"/>
      <w:lvlJc w:val="center"/>
      <w:pPr>
        <w:tabs>
          <w:tab w:val="num" w:pos="0"/>
        </w:tabs>
        <w:ind w:left="0" w:hanging="0"/>
      </w:pPr>
      <w:rPr/>
    </w:lvl>
    <w:lvl w:ilvl="1">
      <w:start w:val="1"/>
      <w:numFmt w:val="decimal"/>
      <w:lvlText w:val="%1.%2"/>
      <w:lvlJc w:val="left"/>
      <w:pPr>
        <w:tabs>
          <w:tab w:val="num" w:pos="0"/>
        </w:tabs>
        <w:ind w:left="992" w:hanging="567"/>
      </w:pPr>
      <w:rPr/>
    </w:lvl>
    <w:lvl w:ilvl="2">
      <w:start w:val="1"/>
      <w:numFmt w:val="decimal"/>
      <w:lvlText w:val="%1.%2.%3"/>
      <w:lvlJc w:val="left"/>
      <w:pPr>
        <w:tabs>
          <w:tab w:val="num" w:pos="0"/>
        </w:tabs>
        <w:ind w:left="1418" w:hanging="567"/>
      </w:pPr>
      <w:rPr/>
    </w:lvl>
    <w:lvl w:ilvl="3">
      <w:start w:val="1"/>
      <w:numFmt w:val="decimal"/>
      <w:lvlText w:val="%1.%2.%3.%4"/>
      <w:lvlJc w:val="left"/>
      <w:pPr>
        <w:tabs>
          <w:tab w:val="num" w:pos="0"/>
        </w:tabs>
        <w:ind w:left="1984" w:hanging="708"/>
      </w:pPr>
      <w:rPr/>
    </w:lvl>
    <w:lvl w:ilvl="4">
      <w:start w:val="1"/>
      <w:numFmt w:val="decimal"/>
      <w:lvlText w:val="%1.%2.%3.%4.%5"/>
      <w:lvlJc w:val="left"/>
      <w:pPr>
        <w:tabs>
          <w:tab w:val="num" w:pos="0"/>
        </w:tabs>
        <w:ind w:left="2551" w:hanging="850"/>
      </w:pPr>
      <w:rPr/>
    </w:lvl>
    <w:lvl w:ilvl="5">
      <w:start w:val="1"/>
      <w:numFmt w:val="decimal"/>
      <w:lvlText w:val="%1.%2.%3.%4.%5.%6"/>
      <w:lvlJc w:val="left"/>
      <w:pPr>
        <w:tabs>
          <w:tab w:val="num" w:pos="0"/>
        </w:tabs>
        <w:ind w:left="3260" w:hanging="1134"/>
      </w:pPr>
      <w:rPr/>
    </w:lvl>
    <w:lvl w:ilvl="6">
      <w:start w:val="1"/>
      <w:numFmt w:val="decimal"/>
      <w:lvlText w:val="%1.%2.%3.%4.%5.%6.%7"/>
      <w:lvlJc w:val="left"/>
      <w:pPr>
        <w:tabs>
          <w:tab w:val="num" w:pos="0"/>
        </w:tabs>
        <w:ind w:left="3827" w:hanging="1276"/>
      </w:pPr>
      <w:rPr/>
    </w:lvl>
    <w:lvl w:ilvl="7">
      <w:start w:val="1"/>
      <w:numFmt w:val="decimal"/>
      <w:lvlText w:val="%1.%2.%3.%4.%5.%6.%7.%8"/>
      <w:lvlJc w:val="left"/>
      <w:pPr>
        <w:tabs>
          <w:tab w:val="num" w:pos="0"/>
        </w:tabs>
        <w:ind w:left="4394" w:hanging="1418"/>
      </w:pPr>
      <w:rPr/>
    </w:lvl>
    <w:lvl w:ilvl="8">
      <w:start w:val="1"/>
      <w:numFmt w:val="decimal"/>
      <w:lvlText w:val="%1.%2.%3.%4.%5.%6.%7.%8.%9"/>
      <w:lvlJc w:val="left"/>
      <w:pPr>
        <w:tabs>
          <w:tab w:val="num" w:pos="0"/>
        </w:tabs>
        <w:ind w:left="5102" w:hanging="1700"/>
      </w:pPr>
      <w:rPr/>
    </w:lvl>
  </w:abstractNum>
  <w:abstractNum w:abstractNumId="2">
    <w:lvl w:ilvl="0">
      <w:start w:val="1"/>
      <w:numFmt w:val="chineseCountingThousand"/>
      <w:lvlText w:val="第%1節"/>
      <w:lvlJc w:val="left"/>
      <w:pPr>
        <w:tabs>
          <w:tab w:val="num" w:pos="0"/>
        </w:tabs>
        <w:ind w:left="0" w:hanging="0"/>
      </w:pPr>
      <w:rPr>
        <w:rFonts w:ascii="宋体" w:hAnsi="宋体" w:eastAsia="宋体" w:cs="宋体"/>
      </w:rPr>
    </w:lvl>
    <w:lvl w:ilvl="1">
      <w:start w:val="1"/>
      <w:numFmt w:val="decimal"/>
      <w:lvlText w:val="%1.%2"/>
      <w:lvlJc w:val="left"/>
      <w:pPr>
        <w:tabs>
          <w:tab w:val="num" w:pos="0"/>
        </w:tabs>
        <w:ind w:left="992" w:hanging="567"/>
      </w:pPr>
      <w:rPr/>
    </w:lvl>
    <w:lvl w:ilvl="2">
      <w:start w:val="1"/>
      <w:numFmt w:val="decimal"/>
      <w:lvlText w:val="%1.%2.%3"/>
      <w:lvlJc w:val="left"/>
      <w:pPr>
        <w:tabs>
          <w:tab w:val="num" w:pos="0"/>
        </w:tabs>
        <w:ind w:left="1418" w:hanging="567"/>
      </w:pPr>
      <w:rPr/>
    </w:lvl>
    <w:lvl w:ilvl="3">
      <w:start w:val="1"/>
      <w:numFmt w:val="decimal"/>
      <w:lvlText w:val="%1.%2.%3.%4"/>
      <w:lvlJc w:val="left"/>
      <w:pPr>
        <w:tabs>
          <w:tab w:val="num" w:pos="0"/>
        </w:tabs>
        <w:ind w:left="1984" w:hanging="708"/>
      </w:pPr>
      <w:rPr/>
    </w:lvl>
    <w:lvl w:ilvl="4">
      <w:start w:val="1"/>
      <w:numFmt w:val="decimal"/>
      <w:lvlText w:val="%1.%2.%3.%4.%5"/>
      <w:lvlJc w:val="left"/>
      <w:pPr>
        <w:tabs>
          <w:tab w:val="num" w:pos="0"/>
        </w:tabs>
        <w:ind w:left="2551" w:hanging="850"/>
      </w:pPr>
      <w:rPr/>
    </w:lvl>
    <w:lvl w:ilvl="5">
      <w:start w:val="1"/>
      <w:numFmt w:val="decimal"/>
      <w:lvlText w:val="%1.%2.%3.%4.%5.%6"/>
      <w:lvlJc w:val="left"/>
      <w:pPr>
        <w:tabs>
          <w:tab w:val="num" w:pos="0"/>
        </w:tabs>
        <w:ind w:left="3260" w:hanging="1134"/>
      </w:pPr>
      <w:rPr/>
    </w:lvl>
    <w:lvl w:ilvl="6">
      <w:start w:val="1"/>
      <w:numFmt w:val="decimal"/>
      <w:lvlText w:val="%1.%2.%3.%4.%5.%6.%7"/>
      <w:lvlJc w:val="left"/>
      <w:pPr>
        <w:tabs>
          <w:tab w:val="num" w:pos="0"/>
        </w:tabs>
        <w:ind w:left="3827" w:hanging="1276"/>
      </w:pPr>
      <w:rPr/>
    </w:lvl>
    <w:lvl w:ilvl="7">
      <w:start w:val="1"/>
      <w:numFmt w:val="decimal"/>
      <w:lvlText w:val="%1.%2.%3.%4.%5.%6.%7.%8"/>
      <w:lvlJc w:val="left"/>
      <w:pPr>
        <w:tabs>
          <w:tab w:val="num" w:pos="0"/>
        </w:tabs>
        <w:ind w:left="4394" w:hanging="1418"/>
      </w:pPr>
      <w:rPr/>
    </w:lvl>
    <w:lvl w:ilvl="8">
      <w:start w:val="1"/>
      <w:numFmt w:val="decimal"/>
      <w:lvlText w:val="%1.%2.%3.%4.%5.%6.%7.%8.%9"/>
      <w:lvlJc w:val="left"/>
      <w:pPr>
        <w:tabs>
          <w:tab w:val="num" w:pos="0"/>
        </w:tabs>
        <w:ind w:left="5102" w:hanging="1700"/>
      </w:pPr>
      <w:rPr/>
    </w:lvl>
  </w:abstractNum>
  <w:abstractNum w:abstractNumId="3">
    <w:lvl w:ilvl="0">
      <w:start w:val="1"/>
      <w:numFmt w:val="chineseCountingThousand"/>
      <w:lvlText w:val="第%1條"/>
      <w:lvlJc w:val="left"/>
      <w:pPr>
        <w:tabs>
          <w:tab w:val="num" w:pos="0"/>
        </w:tabs>
        <w:ind w:left="0" w:hanging="0"/>
      </w:pPr>
      <w:rPr>
        <w:lang w:val="en-US"/>
      </w:rPr>
    </w:lvl>
    <w:lvl w:ilvl="1">
      <w:start w:val="1"/>
      <w:numFmt w:val="decimal"/>
      <w:lvlText w:val="%1.%2"/>
      <w:lvlJc w:val="left"/>
      <w:pPr>
        <w:tabs>
          <w:tab w:val="num" w:pos="0"/>
        </w:tabs>
        <w:ind w:left="992" w:hanging="567"/>
      </w:pPr>
      <w:rPr/>
    </w:lvl>
    <w:lvl w:ilvl="2">
      <w:start w:val="1"/>
      <w:numFmt w:val="decimal"/>
      <w:lvlText w:val="%1.%2.%3"/>
      <w:lvlJc w:val="left"/>
      <w:pPr>
        <w:tabs>
          <w:tab w:val="num" w:pos="0"/>
        </w:tabs>
        <w:ind w:left="1418" w:hanging="567"/>
      </w:pPr>
      <w:rPr/>
    </w:lvl>
    <w:lvl w:ilvl="3">
      <w:start w:val="1"/>
      <w:numFmt w:val="decimal"/>
      <w:lvlText w:val="%1.%2.%3.%4"/>
      <w:lvlJc w:val="left"/>
      <w:pPr>
        <w:tabs>
          <w:tab w:val="num" w:pos="0"/>
        </w:tabs>
        <w:ind w:left="1984" w:hanging="708"/>
      </w:pPr>
      <w:rPr/>
    </w:lvl>
    <w:lvl w:ilvl="4">
      <w:start w:val="1"/>
      <w:numFmt w:val="decimal"/>
      <w:lvlText w:val="%1.%2.%3.%4.%5"/>
      <w:lvlJc w:val="left"/>
      <w:pPr>
        <w:tabs>
          <w:tab w:val="num" w:pos="0"/>
        </w:tabs>
        <w:ind w:left="2551" w:hanging="850"/>
      </w:pPr>
      <w:rPr/>
    </w:lvl>
    <w:lvl w:ilvl="5">
      <w:start w:val="1"/>
      <w:numFmt w:val="decimal"/>
      <w:lvlText w:val="%1.%2.%3.%4.%5.%6"/>
      <w:lvlJc w:val="left"/>
      <w:pPr>
        <w:tabs>
          <w:tab w:val="num" w:pos="0"/>
        </w:tabs>
        <w:ind w:left="3260" w:hanging="1134"/>
      </w:pPr>
      <w:rPr/>
    </w:lvl>
    <w:lvl w:ilvl="6">
      <w:start w:val="1"/>
      <w:numFmt w:val="decimal"/>
      <w:lvlText w:val="%1.%2.%3.%4.%5.%6.%7"/>
      <w:lvlJc w:val="left"/>
      <w:pPr>
        <w:tabs>
          <w:tab w:val="num" w:pos="0"/>
        </w:tabs>
        <w:ind w:left="3827" w:hanging="1276"/>
      </w:pPr>
      <w:rPr/>
    </w:lvl>
    <w:lvl w:ilvl="7">
      <w:start w:val="1"/>
      <w:numFmt w:val="decimal"/>
      <w:lvlText w:val="%1.%2.%3.%4.%5.%6.%7.%8"/>
      <w:lvlJc w:val="left"/>
      <w:pPr>
        <w:tabs>
          <w:tab w:val="num" w:pos="0"/>
        </w:tabs>
        <w:ind w:left="4394" w:hanging="1418"/>
      </w:pPr>
      <w:rPr/>
    </w:lvl>
    <w:lvl w:ilvl="8">
      <w:start w:val="1"/>
      <w:numFmt w:val="decimal"/>
      <w:lvlText w:val="%1.%2.%3.%4.%5.%6.%7.%8.%9"/>
      <w:lvlJc w:val="left"/>
      <w:pPr>
        <w:tabs>
          <w:tab w:val="num" w:pos="0"/>
        </w:tabs>
        <w:ind w:left="5102" w:hanging="1700"/>
      </w:pPr>
      <w:rPr/>
    </w:lvl>
  </w:abstractNum>
  <w:abstractNum w:abstractNumId="4">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5">
    <w:lvl w:ilvl="0">
      <w:start w:val="1"/>
      <w:numFmt w:val="chineseCountingThousand"/>
      <w:lvlText w:val="第%1款"/>
      <w:lvlJc w:val="left"/>
      <w:pPr>
        <w:tabs>
          <w:tab w:val="num" w:pos="0"/>
        </w:tabs>
        <w:ind w:left="0" w:hanging="0"/>
      </w:pPr>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6">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7">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8">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9">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10">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11">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12">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13">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14">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15">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16">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17">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18">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19">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20">
    <w:lvl w:ilvl="0">
      <w:start w:val="1"/>
      <w:numFmt w:val="chineseCountingThousand"/>
      <w:lvlText w:val="第%1節"/>
      <w:lvlJc w:val="left"/>
      <w:pPr>
        <w:tabs>
          <w:tab w:val="num" w:pos="0"/>
        </w:tabs>
        <w:ind w:left="0" w:hanging="0"/>
      </w:pPr>
      <w:rPr>
        <w:rFonts w:ascii="宋体" w:hAnsi="宋体" w:eastAsia="宋体" w:cs="宋体"/>
      </w:rPr>
    </w:lvl>
    <w:lvl w:ilvl="1">
      <w:start w:val="1"/>
      <w:numFmt w:val="decimal"/>
      <w:lvlText w:val="%1.%2"/>
      <w:lvlJc w:val="left"/>
      <w:pPr>
        <w:tabs>
          <w:tab w:val="num" w:pos="0"/>
        </w:tabs>
        <w:ind w:left="992" w:hanging="567"/>
      </w:pPr>
      <w:rPr/>
    </w:lvl>
    <w:lvl w:ilvl="2">
      <w:start w:val="1"/>
      <w:numFmt w:val="decimal"/>
      <w:lvlText w:val="%1.%2.%3"/>
      <w:lvlJc w:val="left"/>
      <w:pPr>
        <w:tabs>
          <w:tab w:val="num" w:pos="0"/>
        </w:tabs>
        <w:ind w:left="1418" w:hanging="567"/>
      </w:pPr>
      <w:rPr/>
    </w:lvl>
    <w:lvl w:ilvl="3">
      <w:start w:val="1"/>
      <w:numFmt w:val="decimal"/>
      <w:lvlText w:val="%1.%2.%3.%4"/>
      <w:lvlJc w:val="left"/>
      <w:pPr>
        <w:tabs>
          <w:tab w:val="num" w:pos="0"/>
        </w:tabs>
        <w:ind w:left="1984" w:hanging="708"/>
      </w:pPr>
      <w:rPr/>
    </w:lvl>
    <w:lvl w:ilvl="4">
      <w:start w:val="1"/>
      <w:numFmt w:val="decimal"/>
      <w:lvlText w:val="%1.%2.%3.%4.%5"/>
      <w:lvlJc w:val="left"/>
      <w:pPr>
        <w:tabs>
          <w:tab w:val="num" w:pos="0"/>
        </w:tabs>
        <w:ind w:left="2551" w:hanging="850"/>
      </w:pPr>
      <w:rPr/>
    </w:lvl>
    <w:lvl w:ilvl="5">
      <w:start w:val="1"/>
      <w:numFmt w:val="decimal"/>
      <w:lvlText w:val="%1.%2.%3.%4.%5.%6"/>
      <w:lvlJc w:val="left"/>
      <w:pPr>
        <w:tabs>
          <w:tab w:val="num" w:pos="0"/>
        </w:tabs>
        <w:ind w:left="3260" w:hanging="1134"/>
      </w:pPr>
      <w:rPr/>
    </w:lvl>
    <w:lvl w:ilvl="6">
      <w:start w:val="1"/>
      <w:numFmt w:val="decimal"/>
      <w:lvlText w:val="%1.%2.%3.%4.%5.%6.%7"/>
      <w:lvlJc w:val="left"/>
      <w:pPr>
        <w:tabs>
          <w:tab w:val="num" w:pos="0"/>
        </w:tabs>
        <w:ind w:left="3827" w:hanging="1276"/>
      </w:pPr>
      <w:rPr/>
    </w:lvl>
    <w:lvl w:ilvl="7">
      <w:start w:val="1"/>
      <w:numFmt w:val="decimal"/>
      <w:lvlText w:val="%1.%2.%3.%4.%5.%6.%7.%8"/>
      <w:lvlJc w:val="left"/>
      <w:pPr>
        <w:tabs>
          <w:tab w:val="num" w:pos="0"/>
        </w:tabs>
        <w:ind w:left="4394" w:hanging="1418"/>
      </w:pPr>
      <w:rPr/>
    </w:lvl>
    <w:lvl w:ilvl="8">
      <w:start w:val="1"/>
      <w:numFmt w:val="decimal"/>
      <w:lvlText w:val="%1.%2.%3.%4.%5.%6.%7.%8.%9"/>
      <w:lvlJc w:val="left"/>
      <w:pPr>
        <w:tabs>
          <w:tab w:val="num" w:pos="0"/>
        </w:tabs>
        <w:ind w:left="5102" w:hanging="1700"/>
      </w:pPr>
      <w:rPr/>
    </w:lvl>
  </w:abstractNum>
  <w:abstractNum w:abstractNumId="21">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22">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23">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24">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25">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26">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27">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28">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29">
    <w:lvl w:ilvl="0">
      <w:start w:val="1"/>
      <w:numFmt w:val="chineseCountingThousand"/>
      <w:lvlText w:val="第%1節"/>
      <w:lvlJc w:val="left"/>
      <w:pPr>
        <w:tabs>
          <w:tab w:val="num" w:pos="0"/>
        </w:tabs>
        <w:ind w:left="0" w:hanging="0"/>
      </w:pPr>
      <w:rPr>
        <w:rFonts w:ascii="宋体" w:hAnsi="宋体" w:eastAsia="宋体" w:cs="宋体"/>
      </w:rPr>
    </w:lvl>
    <w:lvl w:ilvl="1">
      <w:start w:val="1"/>
      <w:numFmt w:val="decimal"/>
      <w:lvlText w:val="%1.%2"/>
      <w:lvlJc w:val="left"/>
      <w:pPr>
        <w:tabs>
          <w:tab w:val="num" w:pos="0"/>
        </w:tabs>
        <w:ind w:left="992" w:hanging="567"/>
      </w:pPr>
      <w:rPr/>
    </w:lvl>
    <w:lvl w:ilvl="2">
      <w:start w:val="1"/>
      <w:numFmt w:val="decimal"/>
      <w:lvlText w:val="%1.%2.%3"/>
      <w:lvlJc w:val="left"/>
      <w:pPr>
        <w:tabs>
          <w:tab w:val="num" w:pos="0"/>
        </w:tabs>
        <w:ind w:left="1418" w:hanging="567"/>
      </w:pPr>
      <w:rPr/>
    </w:lvl>
    <w:lvl w:ilvl="3">
      <w:start w:val="1"/>
      <w:numFmt w:val="decimal"/>
      <w:lvlText w:val="%1.%2.%3.%4"/>
      <w:lvlJc w:val="left"/>
      <w:pPr>
        <w:tabs>
          <w:tab w:val="num" w:pos="0"/>
        </w:tabs>
        <w:ind w:left="1984" w:hanging="708"/>
      </w:pPr>
      <w:rPr/>
    </w:lvl>
    <w:lvl w:ilvl="4">
      <w:start w:val="1"/>
      <w:numFmt w:val="decimal"/>
      <w:lvlText w:val="%1.%2.%3.%4.%5"/>
      <w:lvlJc w:val="left"/>
      <w:pPr>
        <w:tabs>
          <w:tab w:val="num" w:pos="0"/>
        </w:tabs>
        <w:ind w:left="2551" w:hanging="850"/>
      </w:pPr>
      <w:rPr/>
    </w:lvl>
    <w:lvl w:ilvl="5">
      <w:start w:val="1"/>
      <w:numFmt w:val="decimal"/>
      <w:lvlText w:val="%1.%2.%3.%4.%5.%6"/>
      <w:lvlJc w:val="left"/>
      <w:pPr>
        <w:tabs>
          <w:tab w:val="num" w:pos="0"/>
        </w:tabs>
        <w:ind w:left="3260" w:hanging="1134"/>
      </w:pPr>
      <w:rPr/>
    </w:lvl>
    <w:lvl w:ilvl="6">
      <w:start w:val="1"/>
      <w:numFmt w:val="decimal"/>
      <w:lvlText w:val="%1.%2.%3.%4.%5.%6.%7"/>
      <w:lvlJc w:val="left"/>
      <w:pPr>
        <w:tabs>
          <w:tab w:val="num" w:pos="0"/>
        </w:tabs>
        <w:ind w:left="3827" w:hanging="1276"/>
      </w:pPr>
      <w:rPr/>
    </w:lvl>
    <w:lvl w:ilvl="7">
      <w:start w:val="1"/>
      <w:numFmt w:val="decimal"/>
      <w:lvlText w:val="%1.%2.%3.%4.%5.%6.%7.%8"/>
      <w:lvlJc w:val="left"/>
      <w:pPr>
        <w:tabs>
          <w:tab w:val="num" w:pos="0"/>
        </w:tabs>
        <w:ind w:left="4394" w:hanging="1418"/>
      </w:pPr>
      <w:rPr/>
    </w:lvl>
    <w:lvl w:ilvl="8">
      <w:start w:val="1"/>
      <w:numFmt w:val="decimal"/>
      <w:lvlText w:val="%1.%2.%3.%4.%5.%6.%7.%8.%9"/>
      <w:lvlJc w:val="left"/>
      <w:pPr>
        <w:tabs>
          <w:tab w:val="num" w:pos="0"/>
        </w:tabs>
        <w:ind w:left="5102" w:hanging="1700"/>
      </w:pPr>
      <w:rPr/>
    </w:lvl>
  </w:abstractNum>
  <w:abstractNum w:abstractNumId="30">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31">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32">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33">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34">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35">
    <w:lvl w:ilvl="0">
      <w:start w:val="1"/>
      <w:numFmt w:val="chineseCountingThousand"/>
      <w:lvlText w:val="第%1節"/>
      <w:lvlJc w:val="left"/>
      <w:pPr>
        <w:tabs>
          <w:tab w:val="num" w:pos="0"/>
        </w:tabs>
        <w:ind w:left="0" w:hanging="0"/>
      </w:pPr>
      <w:rPr>
        <w:rFonts w:ascii="宋体" w:hAnsi="宋体" w:eastAsia="宋体" w:cs="宋体"/>
      </w:rPr>
    </w:lvl>
    <w:lvl w:ilvl="1">
      <w:start w:val="1"/>
      <w:numFmt w:val="decimal"/>
      <w:lvlText w:val="%1.%2"/>
      <w:lvlJc w:val="left"/>
      <w:pPr>
        <w:tabs>
          <w:tab w:val="num" w:pos="0"/>
        </w:tabs>
        <w:ind w:left="992" w:hanging="567"/>
      </w:pPr>
      <w:rPr/>
    </w:lvl>
    <w:lvl w:ilvl="2">
      <w:start w:val="1"/>
      <w:numFmt w:val="decimal"/>
      <w:lvlText w:val="%1.%2.%3"/>
      <w:lvlJc w:val="left"/>
      <w:pPr>
        <w:tabs>
          <w:tab w:val="num" w:pos="0"/>
        </w:tabs>
        <w:ind w:left="1418" w:hanging="567"/>
      </w:pPr>
      <w:rPr/>
    </w:lvl>
    <w:lvl w:ilvl="3">
      <w:start w:val="1"/>
      <w:numFmt w:val="decimal"/>
      <w:lvlText w:val="%1.%2.%3.%4"/>
      <w:lvlJc w:val="left"/>
      <w:pPr>
        <w:tabs>
          <w:tab w:val="num" w:pos="0"/>
        </w:tabs>
        <w:ind w:left="1984" w:hanging="708"/>
      </w:pPr>
      <w:rPr/>
    </w:lvl>
    <w:lvl w:ilvl="4">
      <w:start w:val="1"/>
      <w:numFmt w:val="decimal"/>
      <w:lvlText w:val="%1.%2.%3.%4.%5"/>
      <w:lvlJc w:val="left"/>
      <w:pPr>
        <w:tabs>
          <w:tab w:val="num" w:pos="0"/>
        </w:tabs>
        <w:ind w:left="2551" w:hanging="850"/>
      </w:pPr>
      <w:rPr/>
    </w:lvl>
    <w:lvl w:ilvl="5">
      <w:start w:val="1"/>
      <w:numFmt w:val="decimal"/>
      <w:lvlText w:val="%1.%2.%3.%4.%5.%6"/>
      <w:lvlJc w:val="left"/>
      <w:pPr>
        <w:tabs>
          <w:tab w:val="num" w:pos="0"/>
        </w:tabs>
        <w:ind w:left="3260" w:hanging="1134"/>
      </w:pPr>
      <w:rPr/>
    </w:lvl>
    <w:lvl w:ilvl="6">
      <w:start w:val="1"/>
      <w:numFmt w:val="decimal"/>
      <w:lvlText w:val="%1.%2.%3.%4.%5.%6.%7"/>
      <w:lvlJc w:val="left"/>
      <w:pPr>
        <w:tabs>
          <w:tab w:val="num" w:pos="0"/>
        </w:tabs>
        <w:ind w:left="3827" w:hanging="1276"/>
      </w:pPr>
      <w:rPr/>
    </w:lvl>
    <w:lvl w:ilvl="7">
      <w:start w:val="1"/>
      <w:numFmt w:val="decimal"/>
      <w:lvlText w:val="%1.%2.%3.%4.%5.%6.%7.%8"/>
      <w:lvlJc w:val="left"/>
      <w:pPr>
        <w:tabs>
          <w:tab w:val="num" w:pos="0"/>
        </w:tabs>
        <w:ind w:left="4394" w:hanging="1418"/>
      </w:pPr>
      <w:rPr/>
    </w:lvl>
    <w:lvl w:ilvl="8">
      <w:start w:val="1"/>
      <w:numFmt w:val="decimal"/>
      <w:lvlText w:val="%1.%2.%3.%4.%5.%6.%7.%8.%9"/>
      <w:lvlJc w:val="left"/>
      <w:pPr>
        <w:tabs>
          <w:tab w:val="num" w:pos="0"/>
        </w:tabs>
        <w:ind w:left="5102" w:hanging="1700"/>
      </w:pPr>
      <w:rPr/>
    </w:lvl>
  </w:abstractNum>
  <w:abstractNum w:abstractNumId="36">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37">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38">
    <w:lvl w:ilvl="0">
      <w:start w:val="1"/>
      <w:numFmt w:val="chineseCountingThousand"/>
      <w:lvlText w:val="第%1節"/>
      <w:lvlJc w:val="left"/>
      <w:pPr>
        <w:tabs>
          <w:tab w:val="num" w:pos="0"/>
        </w:tabs>
        <w:ind w:left="0" w:hanging="0"/>
      </w:pPr>
      <w:rPr>
        <w:rFonts w:ascii="宋体" w:hAnsi="宋体" w:eastAsia="宋体" w:cs="宋体"/>
        <w:lang w:val="en-US"/>
      </w:rPr>
    </w:lvl>
    <w:lvl w:ilvl="1">
      <w:start w:val="1"/>
      <w:numFmt w:val="decimal"/>
      <w:lvlText w:val="%1.%2"/>
      <w:lvlJc w:val="left"/>
      <w:pPr>
        <w:tabs>
          <w:tab w:val="num" w:pos="0"/>
        </w:tabs>
        <w:ind w:left="992" w:hanging="567"/>
      </w:pPr>
      <w:rPr/>
    </w:lvl>
    <w:lvl w:ilvl="2">
      <w:start w:val="1"/>
      <w:numFmt w:val="decimal"/>
      <w:lvlText w:val="%1.%2.%3"/>
      <w:lvlJc w:val="left"/>
      <w:pPr>
        <w:tabs>
          <w:tab w:val="num" w:pos="0"/>
        </w:tabs>
        <w:ind w:left="1418" w:hanging="567"/>
      </w:pPr>
      <w:rPr/>
    </w:lvl>
    <w:lvl w:ilvl="3">
      <w:start w:val="1"/>
      <w:numFmt w:val="decimal"/>
      <w:lvlText w:val="%1.%2.%3.%4"/>
      <w:lvlJc w:val="left"/>
      <w:pPr>
        <w:tabs>
          <w:tab w:val="num" w:pos="0"/>
        </w:tabs>
        <w:ind w:left="1984" w:hanging="708"/>
      </w:pPr>
      <w:rPr/>
    </w:lvl>
    <w:lvl w:ilvl="4">
      <w:start w:val="1"/>
      <w:numFmt w:val="decimal"/>
      <w:lvlText w:val="%1.%2.%3.%4.%5"/>
      <w:lvlJc w:val="left"/>
      <w:pPr>
        <w:tabs>
          <w:tab w:val="num" w:pos="0"/>
        </w:tabs>
        <w:ind w:left="2551" w:hanging="850"/>
      </w:pPr>
      <w:rPr/>
    </w:lvl>
    <w:lvl w:ilvl="5">
      <w:start w:val="1"/>
      <w:numFmt w:val="decimal"/>
      <w:lvlText w:val="%1.%2.%3.%4.%5.%6"/>
      <w:lvlJc w:val="left"/>
      <w:pPr>
        <w:tabs>
          <w:tab w:val="num" w:pos="0"/>
        </w:tabs>
        <w:ind w:left="3260" w:hanging="1134"/>
      </w:pPr>
      <w:rPr/>
    </w:lvl>
    <w:lvl w:ilvl="6">
      <w:start w:val="1"/>
      <w:numFmt w:val="decimal"/>
      <w:lvlText w:val="%1.%2.%3.%4.%5.%6.%7"/>
      <w:lvlJc w:val="left"/>
      <w:pPr>
        <w:tabs>
          <w:tab w:val="num" w:pos="0"/>
        </w:tabs>
        <w:ind w:left="3827" w:hanging="1276"/>
      </w:pPr>
      <w:rPr/>
    </w:lvl>
    <w:lvl w:ilvl="7">
      <w:start w:val="1"/>
      <w:numFmt w:val="decimal"/>
      <w:lvlText w:val="%1.%2.%3.%4.%5.%6.%7.%8"/>
      <w:lvlJc w:val="left"/>
      <w:pPr>
        <w:tabs>
          <w:tab w:val="num" w:pos="0"/>
        </w:tabs>
        <w:ind w:left="4394" w:hanging="1418"/>
      </w:pPr>
      <w:rPr/>
    </w:lvl>
    <w:lvl w:ilvl="8">
      <w:start w:val="1"/>
      <w:numFmt w:val="decimal"/>
      <w:lvlText w:val="%1.%2.%3.%4.%5.%6.%7.%8.%9"/>
      <w:lvlJc w:val="left"/>
      <w:pPr>
        <w:tabs>
          <w:tab w:val="num" w:pos="0"/>
        </w:tabs>
        <w:ind w:left="5102" w:hanging="1700"/>
      </w:pPr>
      <w:rPr/>
    </w:lvl>
  </w:abstractNum>
  <w:abstractNum w:abstractNumId="39">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40">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41">
    <w:lvl w:ilvl="0">
      <w:start w:val="1"/>
      <w:numFmt w:val="chineseCountingThousand"/>
      <w:lvlText w:val="第%1款"/>
      <w:lvlJc w:val="left"/>
      <w:pPr>
        <w:tabs>
          <w:tab w:val="num" w:pos="0"/>
        </w:tabs>
        <w:ind w:left="0" w:hanging="0"/>
      </w:pPr>
      <w:rPr>
        <w:b w:val="false"/>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42">
    <w:lvl w:ilvl="0">
      <w:start w:val="1"/>
      <w:numFmt w:val="chineseCountingThousand"/>
      <w:lvlText w:val="第%1款"/>
      <w:lvlJc w:val="left"/>
      <w:pPr>
        <w:tabs>
          <w:tab w:val="num" w:pos="0"/>
        </w:tabs>
        <w:ind w:left="0" w:hanging="0"/>
      </w:pPr>
      <w:rPr>
        <w:b w:val="false"/>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43">
    <w:lvl w:ilvl="0">
      <w:start w:val="1"/>
      <w:numFmt w:val="chineseCountingThousand"/>
      <w:lvlText w:val="第%1款"/>
      <w:lvlJc w:val="left"/>
      <w:pPr>
        <w:tabs>
          <w:tab w:val="num" w:pos="0"/>
        </w:tabs>
        <w:ind w:left="0" w:hanging="0"/>
      </w:pPr>
      <w:rPr>
        <w:b w:val="false"/>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44">
    <w:lvl w:ilvl="0">
      <w:start w:val="1"/>
      <w:numFmt w:val="chineseCountingThousand"/>
      <w:lvlText w:val="第%1節"/>
      <w:lvlJc w:val="left"/>
      <w:pPr>
        <w:tabs>
          <w:tab w:val="num" w:pos="0"/>
        </w:tabs>
        <w:ind w:left="0" w:hanging="0"/>
      </w:pPr>
      <w:rPr>
        <w:rFonts w:ascii="宋体" w:hAnsi="宋体" w:eastAsia="宋体" w:cs="宋体"/>
      </w:rPr>
    </w:lvl>
    <w:lvl w:ilvl="1">
      <w:start w:val="1"/>
      <w:numFmt w:val="decimal"/>
      <w:lvlText w:val="%1.%2"/>
      <w:lvlJc w:val="left"/>
      <w:pPr>
        <w:tabs>
          <w:tab w:val="num" w:pos="0"/>
        </w:tabs>
        <w:ind w:left="992" w:hanging="567"/>
      </w:pPr>
      <w:rPr/>
    </w:lvl>
    <w:lvl w:ilvl="2">
      <w:start w:val="1"/>
      <w:numFmt w:val="decimal"/>
      <w:lvlText w:val="%1.%2.%3"/>
      <w:lvlJc w:val="left"/>
      <w:pPr>
        <w:tabs>
          <w:tab w:val="num" w:pos="0"/>
        </w:tabs>
        <w:ind w:left="1418" w:hanging="567"/>
      </w:pPr>
      <w:rPr/>
    </w:lvl>
    <w:lvl w:ilvl="3">
      <w:start w:val="1"/>
      <w:numFmt w:val="decimal"/>
      <w:lvlText w:val="%1.%2.%3.%4"/>
      <w:lvlJc w:val="left"/>
      <w:pPr>
        <w:tabs>
          <w:tab w:val="num" w:pos="0"/>
        </w:tabs>
        <w:ind w:left="1984" w:hanging="708"/>
      </w:pPr>
      <w:rPr/>
    </w:lvl>
    <w:lvl w:ilvl="4">
      <w:start w:val="1"/>
      <w:numFmt w:val="decimal"/>
      <w:lvlText w:val="%1.%2.%3.%4.%5"/>
      <w:lvlJc w:val="left"/>
      <w:pPr>
        <w:tabs>
          <w:tab w:val="num" w:pos="0"/>
        </w:tabs>
        <w:ind w:left="2551" w:hanging="850"/>
      </w:pPr>
      <w:rPr/>
    </w:lvl>
    <w:lvl w:ilvl="5">
      <w:start w:val="1"/>
      <w:numFmt w:val="decimal"/>
      <w:lvlText w:val="%1.%2.%3.%4.%5.%6"/>
      <w:lvlJc w:val="left"/>
      <w:pPr>
        <w:tabs>
          <w:tab w:val="num" w:pos="0"/>
        </w:tabs>
        <w:ind w:left="3260" w:hanging="1134"/>
      </w:pPr>
      <w:rPr/>
    </w:lvl>
    <w:lvl w:ilvl="6">
      <w:start w:val="1"/>
      <w:numFmt w:val="decimal"/>
      <w:lvlText w:val="%1.%2.%3.%4.%5.%6.%7"/>
      <w:lvlJc w:val="left"/>
      <w:pPr>
        <w:tabs>
          <w:tab w:val="num" w:pos="0"/>
        </w:tabs>
        <w:ind w:left="3827" w:hanging="1276"/>
      </w:pPr>
      <w:rPr/>
    </w:lvl>
    <w:lvl w:ilvl="7">
      <w:start w:val="1"/>
      <w:numFmt w:val="decimal"/>
      <w:lvlText w:val="%1.%2.%3.%4.%5.%6.%7.%8"/>
      <w:lvlJc w:val="left"/>
      <w:pPr>
        <w:tabs>
          <w:tab w:val="num" w:pos="0"/>
        </w:tabs>
        <w:ind w:left="4394" w:hanging="1418"/>
      </w:pPr>
      <w:rPr/>
    </w:lvl>
    <w:lvl w:ilvl="8">
      <w:start w:val="1"/>
      <w:numFmt w:val="decimal"/>
      <w:lvlText w:val="%1.%2.%3.%4.%5.%6.%7.%8.%9"/>
      <w:lvlJc w:val="left"/>
      <w:pPr>
        <w:tabs>
          <w:tab w:val="num" w:pos="0"/>
        </w:tabs>
        <w:ind w:left="5102" w:hanging="1700"/>
      </w:pPr>
      <w:rPr/>
    </w:lvl>
  </w:abstractNum>
  <w:abstractNum w:abstractNumId="45">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46">
    <w:lvl w:ilvl="0">
      <w:start w:val="1"/>
      <w:numFmt w:val="chineseCountingThousand"/>
      <w:lvlText w:val="第%1節"/>
      <w:lvlJc w:val="left"/>
      <w:pPr>
        <w:tabs>
          <w:tab w:val="num" w:pos="0"/>
        </w:tabs>
        <w:ind w:left="0" w:hanging="0"/>
      </w:pPr>
      <w:rPr>
        <w:rFonts w:ascii="宋体" w:hAnsi="宋体" w:eastAsia="宋体" w:cs="宋体"/>
      </w:rPr>
    </w:lvl>
    <w:lvl w:ilvl="1">
      <w:start w:val="1"/>
      <w:numFmt w:val="decimal"/>
      <w:lvlText w:val="%1.%2"/>
      <w:lvlJc w:val="left"/>
      <w:pPr>
        <w:tabs>
          <w:tab w:val="num" w:pos="0"/>
        </w:tabs>
        <w:ind w:left="992" w:hanging="567"/>
      </w:pPr>
      <w:rPr/>
    </w:lvl>
    <w:lvl w:ilvl="2">
      <w:start w:val="1"/>
      <w:numFmt w:val="decimal"/>
      <w:lvlText w:val="%1.%2.%3"/>
      <w:lvlJc w:val="left"/>
      <w:pPr>
        <w:tabs>
          <w:tab w:val="num" w:pos="0"/>
        </w:tabs>
        <w:ind w:left="1418" w:hanging="567"/>
      </w:pPr>
      <w:rPr/>
    </w:lvl>
    <w:lvl w:ilvl="3">
      <w:start w:val="1"/>
      <w:numFmt w:val="decimal"/>
      <w:lvlText w:val="%1.%2.%3.%4"/>
      <w:lvlJc w:val="left"/>
      <w:pPr>
        <w:tabs>
          <w:tab w:val="num" w:pos="0"/>
        </w:tabs>
        <w:ind w:left="1984" w:hanging="708"/>
      </w:pPr>
      <w:rPr/>
    </w:lvl>
    <w:lvl w:ilvl="4">
      <w:start w:val="1"/>
      <w:numFmt w:val="decimal"/>
      <w:lvlText w:val="%1.%2.%3.%4.%5"/>
      <w:lvlJc w:val="left"/>
      <w:pPr>
        <w:tabs>
          <w:tab w:val="num" w:pos="0"/>
        </w:tabs>
        <w:ind w:left="2551" w:hanging="850"/>
      </w:pPr>
      <w:rPr/>
    </w:lvl>
    <w:lvl w:ilvl="5">
      <w:start w:val="1"/>
      <w:numFmt w:val="decimal"/>
      <w:lvlText w:val="%1.%2.%3.%4.%5.%6"/>
      <w:lvlJc w:val="left"/>
      <w:pPr>
        <w:tabs>
          <w:tab w:val="num" w:pos="0"/>
        </w:tabs>
        <w:ind w:left="3260" w:hanging="1134"/>
      </w:pPr>
      <w:rPr/>
    </w:lvl>
    <w:lvl w:ilvl="6">
      <w:start w:val="1"/>
      <w:numFmt w:val="decimal"/>
      <w:lvlText w:val="%1.%2.%3.%4.%5.%6.%7"/>
      <w:lvlJc w:val="left"/>
      <w:pPr>
        <w:tabs>
          <w:tab w:val="num" w:pos="0"/>
        </w:tabs>
        <w:ind w:left="3827" w:hanging="1276"/>
      </w:pPr>
      <w:rPr/>
    </w:lvl>
    <w:lvl w:ilvl="7">
      <w:start w:val="1"/>
      <w:numFmt w:val="decimal"/>
      <w:lvlText w:val="%1.%2.%3.%4.%5.%6.%7.%8"/>
      <w:lvlJc w:val="left"/>
      <w:pPr>
        <w:tabs>
          <w:tab w:val="num" w:pos="0"/>
        </w:tabs>
        <w:ind w:left="4394" w:hanging="1418"/>
      </w:pPr>
      <w:rPr/>
    </w:lvl>
    <w:lvl w:ilvl="8">
      <w:start w:val="1"/>
      <w:numFmt w:val="decimal"/>
      <w:lvlText w:val="%1.%2.%3.%4.%5.%6.%7.%8.%9"/>
      <w:lvlJc w:val="left"/>
      <w:pPr>
        <w:tabs>
          <w:tab w:val="num" w:pos="0"/>
        </w:tabs>
        <w:ind w:left="5102" w:hanging="1700"/>
      </w:pPr>
      <w:rPr/>
    </w:lvl>
  </w:abstractNum>
  <w:abstractNum w:abstractNumId="47">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48">
    <w:lvl w:ilvl="0">
      <w:start w:val="1"/>
      <w:numFmt w:val="chineseCountingThousand"/>
      <w:lvlText w:val="第%1款"/>
      <w:lvlJc w:val="left"/>
      <w:pPr>
        <w:tabs>
          <w:tab w:val="num" w:pos="0"/>
        </w:tabs>
        <w:ind w:left="0" w:hanging="0"/>
      </w:pPr>
      <w:rPr>
        <w:lang w:val="en-US"/>
      </w:rPr>
    </w:lvl>
    <w:lvl w:ilvl="1">
      <w:start w:val="1"/>
      <w:numFmt w:val="lowerLetter"/>
      <w:lvlText w:val="%2)"/>
      <w:lvlJc w:val="left"/>
      <w:pPr>
        <w:tabs>
          <w:tab w:val="num" w:pos="0"/>
        </w:tabs>
        <w:ind w:left="840" w:hanging="420"/>
      </w:pPr>
      <w:rPr/>
    </w:lvl>
    <w:lvl w:ilvl="2">
      <w:start w:val="1"/>
      <w:numFmt w:val="lowerRoman"/>
      <w:lvlText w:val="%3."/>
      <w:lvlJc w:val="right"/>
      <w:pPr>
        <w:tabs>
          <w:tab w:val="num" w:pos="0"/>
        </w:tabs>
        <w:ind w:left="1260" w:hanging="420"/>
      </w:pPr>
      <w:rPr/>
    </w:lvl>
    <w:lvl w:ilvl="3">
      <w:start w:val="1"/>
      <w:numFmt w:val="decimal"/>
      <w:lvlText w:val="%4."/>
      <w:lvlJc w:val="left"/>
      <w:pPr>
        <w:tabs>
          <w:tab w:val="num" w:pos="0"/>
        </w:tabs>
        <w:ind w:left="1680" w:hanging="420"/>
      </w:pPr>
      <w:rPr/>
    </w:lvl>
    <w:lvl w:ilvl="4">
      <w:start w:val="1"/>
      <w:numFmt w:val="lowerLetter"/>
      <w:lvlText w:val="%5)"/>
      <w:lvlJc w:val="left"/>
      <w:pPr>
        <w:tabs>
          <w:tab w:val="num" w:pos="0"/>
        </w:tabs>
        <w:ind w:left="2100" w:hanging="420"/>
      </w:pPr>
      <w:rPr/>
    </w:lvl>
    <w:lvl w:ilvl="5">
      <w:start w:val="1"/>
      <w:numFmt w:val="lowerRoman"/>
      <w:lvlText w:val="%6."/>
      <w:lvlJc w:val="right"/>
      <w:pPr>
        <w:tabs>
          <w:tab w:val="num" w:pos="0"/>
        </w:tabs>
        <w:ind w:left="2520" w:hanging="420"/>
      </w:pPr>
      <w:rPr/>
    </w:lvl>
    <w:lvl w:ilvl="6">
      <w:start w:val="1"/>
      <w:numFmt w:val="decimal"/>
      <w:lvlText w:val="%7."/>
      <w:lvlJc w:val="left"/>
      <w:pPr>
        <w:tabs>
          <w:tab w:val="num" w:pos="0"/>
        </w:tabs>
        <w:ind w:left="2940" w:hanging="420"/>
      </w:pPr>
      <w:rPr/>
    </w:lvl>
    <w:lvl w:ilvl="7">
      <w:start w:val="1"/>
      <w:numFmt w:val="lowerLetter"/>
      <w:lvlText w:val="%8)"/>
      <w:lvlJc w:val="left"/>
      <w:pPr>
        <w:tabs>
          <w:tab w:val="num" w:pos="0"/>
        </w:tabs>
        <w:ind w:left="3360" w:hanging="420"/>
      </w:pPr>
      <w:rPr/>
    </w:lvl>
    <w:lvl w:ilvl="8">
      <w:start w:val="1"/>
      <w:numFmt w:val="lowerRoman"/>
      <w:lvlText w:val="%9."/>
      <w:lvlJc w:val="right"/>
      <w:pPr>
        <w:tabs>
          <w:tab w:val="num" w:pos="0"/>
        </w:tabs>
        <w:ind w:left="3780" w:hanging="420"/>
      </w:pPr>
      <w:rPr/>
    </w:lvl>
  </w:abstractNum>
  <w:abstractNum w:abstractNumId="4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w="http://schemas.openxmlformats.org/wordprocessingml/2006/main">
  <w:zoom w:percent="100"/>
  <w:defaultTabStop w:val="210"/>
  <w:autoHyphenation w:val="true"/>
  <w:hyphenationZone w:val="36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both"/>
    </w:pPr>
    <w:rPr>
      <w:rFonts w:ascii="等线" w:hAnsi="等线" w:eastAsia="" w:cs="" w:asciiTheme="minorHAnsi" w:cstheme="minorBidi" w:eastAsiaTheme="minorEastAsia" w:hAnsiTheme="minorHAnsi"/>
      <w:color w:val="auto"/>
      <w:kern w:val="2"/>
      <w:sz w:val="21"/>
      <w:szCs w:val="24"/>
      <w:lang w:val="en-US" w:eastAsia="zh-CN" w:bidi="ar-SA"/>
    </w:rPr>
  </w:style>
  <w:style w:type="paragraph" w:styleId="Heading1">
    <w:name w:val="heading 1"/>
    <w:basedOn w:val="Normal"/>
    <w:next w:val="Normal"/>
    <w:uiPriority w:val="9"/>
    <w:qFormat/>
    <w:pPr>
      <w:keepNext w:val="true"/>
      <w:keepLines/>
      <w:spacing w:lineRule="auto" w:line="578" w:before="340" w:after="330"/>
      <w:outlineLvl w:val="0"/>
    </w:pPr>
    <w:rPr>
      <w:b/>
      <w:bCs/>
      <w:kern w:val="2"/>
      <w:sz w:val="48"/>
      <w:szCs w:val="44"/>
    </w:rPr>
  </w:style>
  <w:style w:type="character" w:styleId="DefaultParagraphFont" w:default="1">
    <w:name w:val="Default Paragraph Font"/>
    <w:uiPriority w:val="1"/>
    <w:semiHidden/>
    <w:unhideWhenUsed/>
    <w:qFormat/>
    <w:rPr/>
  </w:style>
  <w:style w:type="character" w:styleId="1" w:customStyle="1">
    <w:name w:val="标题 1 字符"/>
    <w:basedOn w:val="DefaultParagraphFont"/>
    <w:uiPriority w:val="9"/>
    <w:qFormat/>
    <w:rPr>
      <w:b/>
      <w:bCs/>
      <w:kern w:val="2"/>
      <w:sz w:val="48"/>
      <w:szCs w:val="44"/>
    </w:rPr>
  </w:style>
  <w:style w:type="character" w:styleId="InternetLink">
    <w:name w:val="Internet Link"/>
    <w:basedOn w:val="DefaultParagraphFont"/>
    <w:uiPriority w:val="99"/>
    <w:unhideWhenUsed/>
    <w:qFormat/>
    <w:rsid w:val="00cf143a"/>
    <w:rPr>
      <w:color w:themeColor="hyperlink" w:val="0563C1"/>
      <w:u w:val="single"/>
    </w:rPr>
  </w:style>
  <w:style w:type="character" w:styleId="Style13">
    <w:name w:val="索引链接"/>
    <w:qFormat/>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InternetLink4">
    <w:name w:val="Internet Link4"/>
    <w:qFormat/>
    <w:rPr>
      <w:color w:val="000080"/>
      <w:u w:val="single"/>
    </w:rPr>
  </w:style>
  <w:style w:type="character" w:styleId="Hyperlink">
    <w:name w:val="Hyperlink"/>
    <w:rPr>
      <w:color w:val="000080"/>
      <w:u w:val="single"/>
    </w:rPr>
  </w:style>
  <w:style w:type="paragraph" w:styleId="Style14">
    <w:name w:val="标题样式"/>
    <w:basedOn w:val="Normal"/>
    <w:next w:val="BodyText"/>
    <w:qFormat/>
    <w:pPr>
      <w:keepNext w:val="true"/>
      <w:spacing w:before="240" w:after="120"/>
    </w:pPr>
    <w:rPr>
      <w:rFonts w:ascii="Liberation Sans" w:hAnsi="Liberation Sans" w:eastAsia="Noto Sans CJK SC" w:cs="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CJK SC"/>
    </w:rPr>
  </w:style>
  <w:style w:type="paragraph" w:styleId="Caption">
    <w:name w:val="caption"/>
    <w:basedOn w:val="Normal"/>
    <w:qFormat/>
    <w:pPr>
      <w:suppressLineNumbers/>
      <w:spacing w:before="120" w:after="120"/>
    </w:pPr>
    <w:rPr>
      <w:rFonts w:cs="Noto Sans CJK SC"/>
      <w:i/>
      <w:iCs/>
      <w:sz w:val="24"/>
      <w:szCs w:val="24"/>
    </w:rPr>
  </w:style>
  <w:style w:type="paragraph" w:styleId="Style15">
    <w:name w:val="索引"/>
    <w:basedOn w:val="Normal"/>
    <w:qFormat/>
    <w:pPr>
      <w:suppressLineNumbers/>
    </w:pPr>
    <w:rPr>
      <w:rFonts w:cs="Noto Sans CJK SC"/>
    </w:rPr>
  </w:style>
  <w:style w:type="paragraph" w:styleId="CommentText">
    <w:name w:val="annotation text"/>
    <w:basedOn w:val="Normal"/>
    <w:uiPriority w:val="99"/>
    <w:unhideWhenUsed/>
    <w:qFormat/>
    <w:pPr>
      <w:jc w:val="left"/>
    </w:pPr>
    <w:rPr/>
  </w:style>
  <w:style w:type="paragraph" w:styleId="Style16">
    <w:name w:val="页眉与页脚"/>
    <w:basedOn w:val="Normal"/>
    <w:qFormat/>
    <w:pPr/>
    <w:rPr/>
  </w:style>
  <w:style w:type="paragraph" w:styleId="Footer">
    <w:name w:val="footer"/>
    <w:basedOn w:val="Normal"/>
    <w:uiPriority w:val="99"/>
    <w:unhideWhenUsed/>
    <w:qFormat/>
    <w:pPr>
      <w:tabs>
        <w:tab w:val="clear" w:pos="210"/>
        <w:tab w:val="center" w:pos="4153" w:leader="none"/>
        <w:tab w:val="right" w:pos="8306" w:leader="none"/>
      </w:tabs>
      <w:snapToGrid w:val="false"/>
      <w:jc w:val="left"/>
    </w:pPr>
    <w:rPr>
      <w:sz w:val="18"/>
    </w:rPr>
  </w:style>
  <w:style w:type="paragraph" w:styleId="Header">
    <w:name w:val="header"/>
    <w:basedOn w:val="Normal"/>
    <w:uiPriority w:val="99"/>
    <w:unhideWhenUsed/>
    <w:qFormat/>
    <w:pPr>
      <w:tabs>
        <w:tab w:val="clear" w:pos="210"/>
        <w:tab w:val="center" w:pos="4153" w:leader="none"/>
        <w:tab w:val="right" w:pos="8306" w:leader="none"/>
      </w:tabs>
      <w:snapToGrid w:val="false"/>
    </w:pPr>
    <w:rPr>
      <w:rFonts w:ascii="DejaVu Sans" w:hAnsi="DejaVu Sans"/>
      <w:sz w:val="18"/>
    </w:rPr>
  </w:style>
  <w:style w:type="paragraph" w:styleId="TOC1">
    <w:name w:val="toc 1"/>
    <w:basedOn w:val="Normal"/>
    <w:next w:val="Normal"/>
    <w:uiPriority w:val="39"/>
    <w:unhideWhenUsed/>
    <w:qFormat/>
    <w:pPr>
      <w:spacing w:before="85" w:after="0"/>
    </w:pPr>
    <w:rPr/>
  </w:style>
  <w:style w:type="paragraph" w:styleId="TOC2">
    <w:name w:val="toc 2"/>
    <w:basedOn w:val="Normal"/>
    <w:next w:val="Normal"/>
    <w:uiPriority w:val="39"/>
    <w:unhideWhenUsed/>
    <w:qFormat/>
    <w:pPr>
      <w:spacing w:before="0" w:after="0"/>
      <w:ind w:hanging="0" w:left="0"/>
    </w:pPr>
    <w:rPr/>
  </w:style>
  <w:style w:type="paragraph" w:styleId="11" w:customStyle="1">
    <w:name w:val="列表段落1"/>
    <w:basedOn w:val="Normal"/>
    <w:uiPriority w:val="34"/>
    <w:qFormat/>
    <w:pPr>
      <w:ind w:firstLine="420"/>
    </w:pPr>
    <w:rPr/>
  </w:style>
  <w:style w:type="paragraph" w:styleId="Style17">
    <w:name w:val="框架内容"/>
    <w:basedOn w:val="Normal"/>
    <w:qFormat/>
    <w:pPr/>
    <w:rPr/>
  </w:style>
  <w:style w:type="numbering" w:styleId="Style18" w:default="1">
    <w:name w:val="无列表"/>
    <w:uiPriority w:val="99"/>
    <w:semiHidden/>
    <w:unhideWhenUsed/>
    <w:qFormat/>
  </w:style>
  <w:style w:type="numbering" w:styleId="12" w:customStyle="1">
    <w:name w:val="当前列表1"/>
    <w:uiPriority w:val="99"/>
    <w:qFormat/>
    <w:rsid w:val="00547474"/>
  </w:style>
  <w:style w:type="numbering" w:styleId="2" w:customStyle="1">
    <w:name w:val="当前列表2"/>
    <w:uiPriority w:val="99"/>
    <w:qFormat/>
    <w:rsid w:val="00547474"/>
  </w:style>
  <w:style w:type="numbering" w:styleId="3" w:customStyle="1">
    <w:name w:val="当前列表3"/>
    <w:uiPriority w:val="99"/>
    <w:qFormat/>
    <w:rsid w:val="00547474"/>
  </w:style>
  <w:style w:type="numbering" w:styleId="4" w:customStyle="1">
    <w:name w:val="当前列表4"/>
    <w:uiPriority w:val="99"/>
    <w:qFormat/>
    <w:rsid w:val="00547474"/>
  </w:style>
  <w:style w:type="numbering" w:styleId="5" w:customStyle="1">
    <w:name w:val="当前列表5"/>
    <w:uiPriority w:val="99"/>
    <w:qFormat/>
    <w:rsid w:val="00547474"/>
  </w:style>
  <w:style w:type="numbering" w:styleId="6" w:customStyle="1">
    <w:name w:val="当前列表6"/>
    <w:uiPriority w:val="99"/>
    <w:qFormat/>
    <w:rsid w:val="00547474"/>
  </w:style>
  <w:style w:type="numbering" w:styleId="7" w:customStyle="1">
    <w:name w:val="当前列表7"/>
    <w:uiPriority w:val="99"/>
    <w:qFormat/>
    <w:rsid w:val="00677995"/>
  </w:style>
  <w:style w:type="numbering" w:styleId="8" w:customStyle="1">
    <w:name w:val="当前列表8"/>
    <w:uiPriority w:val="99"/>
    <w:qFormat/>
    <w:rsid w:val="00677995"/>
  </w:style>
  <w:style w:type="numbering" w:styleId="9" w:customStyle="1">
    <w:name w:val="当前列表9"/>
    <w:uiPriority w:val="99"/>
    <w:qFormat/>
    <w:rsid w:val="00677995"/>
  </w:style>
  <w:style w:type="numbering" w:styleId="10" w:customStyle="1">
    <w:name w:val="当前列表10"/>
    <w:uiPriority w:val="99"/>
    <w:qFormat/>
    <w:rsid w:val="006a2d3a"/>
  </w:style>
  <w:style w:type="numbering" w:styleId="111" w:customStyle="1">
    <w:name w:val="当前列表11"/>
    <w:uiPriority w:val="99"/>
    <w:qFormat/>
    <w:rsid w:val="006a2d3a"/>
  </w:style>
  <w:style w:type="numbering" w:styleId="121" w:customStyle="1">
    <w:name w:val="当前列表12"/>
    <w:uiPriority w:val="99"/>
    <w:qFormat/>
    <w:rsid w:val="006a2d3a"/>
  </w:style>
  <w:style w:type="numbering" w:styleId="13" w:customStyle="1">
    <w:name w:val="当前列表13"/>
    <w:uiPriority w:val="99"/>
    <w:qFormat/>
    <w:rsid w:val="006a2d3a"/>
  </w:style>
  <w:style w:type="numbering" w:styleId="14" w:customStyle="1">
    <w:name w:val="当前列表14"/>
    <w:uiPriority w:val="99"/>
    <w:qFormat/>
    <w:rsid w:val="00472cc3"/>
  </w:style>
  <w:style w:type="numbering" w:styleId="15" w:customStyle="1">
    <w:name w:val="当前列表15"/>
    <w:uiPriority w:val="99"/>
    <w:qFormat/>
    <w:rsid w:val="00c95a7e"/>
  </w:style>
  <w:style w:type="numbering" w:styleId="16" w:customStyle="1">
    <w:name w:val="当前列表16"/>
    <w:uiPriority w:val="99"/>
    <w:qFormat/>
    <w:rsid w:val="00c95a7e"/>
  </w:style>
  <w:style w:type="numbering" w:styleId="17" w:customStyle="1">
    <w:name w:val="当前列表17"/>
    <w:uiPriority w:val="99"/>
    <w:qFormat/>
    <w:rsid w:val="00c95a7e"/>
  </w:style>
  <w:style w:type="numbering" w:styleId="18" w:customStyle="1">
    <w:name w:val="当前列表18"/>
    <w:uiPriority w:val="99"/>
    <w:qFormat/>
    <w:rsid w:val="00262a17"/>
  </w:style>
  <w:style w:type="numbering" w:styleId="19" w:customStyle="1">
    <w:name w:val="当前列表19"/>
    <w:uiPriority w:val="99"/>
    <w:qFormat/>
    <w:rsid w:val="00262a17"/>
  </w:style>
  <w:style w:type="numbering" w:styleId="20" w:customStyle="1">
    <w:name w:val="当前列表20"/>
    <w:uiPriority w:val="99"/>
    <w:qFormat/>
    <w:rsid w:val="006f0407"/>
  </w:style>
  <w:style w:type="numbering" w:styleId="21" w:customStyle="1">
    <w:name w:val="当前列表21"/>
    <w:uiPriority w:val="99"/>
    <w:qFormat/>
    <w:rsid w:val="009d0d5f"/>
  </w:style>
  <w:style w:type="numbering" w:styleId="22" w:customStyle="1">
    <w:name w:val="当前列表22"/>
    <w:uiPriority w:val="99"/>
    <w:qFormat/>
    <w:rsid w:val="009d0d5f"/>
  </w:style>
  <w:style w:type="numbering" w:styleId="23" w:customStyle="1">
    <w:name w:val="当前列表23"/>
    <w:uiPriority w:val="99"/>
    <w:qFormat/>
    <w:rsid w:val="009d0d5f"/>
  </w:style>
  <w:style w:type="numbering" w:styleId="24" w:customStyle="1">
    <w:name w:val="当前列表24"/>
    <w:uiPriority w:val="99"/>
    <w:qFormat/>
    <w:rsid w:val="009d0d5f"/>
  </w:style>
  <w:style w:type="numbering" w:styleId="25" w:customStyle="1">
    <w:name w:val="当前列表25"/>
    <w:uiPriority w:val="99"/>
    <w:qFormat/>
    <w:rsid w:val="009d0d5f"/>
  </w:style>
  <w:style w:type="numbering" w:styleId="26" w:customStyle="1">
    <w:name w:val="当前列表26"/>
    <w:uiPriority w:val="99"/>
    <w:qFormat/>
    <w:rsid w:val="009d0d5f"/>
  </w:style>
  <w:style w:type="numbering" w:styleId="27" w:customStyle="1">
    <w:name w:val="当前列表27"/>
    <w:uiPriority w:val="99"/>
    <w:qFormat/>
    <w:rsid w:val="00891832"/>
  </w:style>
  <w:style w:type="numbering" w:styleId="28" w:customStyle="1">
    <w:name w:val="当前列表28"/>
    <w:uiPriority w:val="99"/>
    <w:qFormat/>
    <w:rsid w:val="00891832"/>
  </w:style>
  <w:style w:type="numbering" w:styleId="29" w:customStyle="1">
    <w:name w:val="当前列表29"/>
    <w:uiPriority w:val="99"/>
    <w:qFormat/>
    <w:rsid w:val="00891832"/>
  </w:style>
  <w:style w:type="numbering" w:styleId="30" w:customStyle="1">
    <w:name w:val="当前列表30"/>
    <w:uiPriority w:val="99"/>
    <w:qFormat/>
    <w:rsid w:val="00891832"/>
  </w:style>
  <w:style w:type="numbering" w:styleId="31" w:customStyle="1">
    <w:name w:val="当前列表31"/>
    <w:uiPriority w:val="99"/>
    <w:qFormat/>
    <w:rsid w:val="00891832"/>
  </w:style>
  <w:style w:type="numbering" w:styleId="32" w:customStyle="1">
    <w:name w:val="当前列表32"/>
    <w:uiPriority w:val="99"/>
    <w:qFormat/>
    <w:rsid w:val="00891832"/>
  </w:style>
  <w:style w:type="numbering" w:styleId="33" w:customStyle="1">
    <w:name w:val="当前列表33"/>
    <w:uiPriority w:val="99"/>
    <w:qFormat/>
    <w:rsid w:val="005f5cbb"/>
  </w:style>
  <w:style w:type="numbering" w:styleId="34" w:customStyle="1">
    <w:name w:val="当前列表34"/>
    <w:uiPriority w:val="99"/>
    <w:qFormat/>
    <w:rsid w:val="005f5cbb"/>
  </w:style>
  <w:style w:type="numbering" w:styleId="35" w:customStyle="1">
    <w:name w:val="当前列表35"/>
    <w:uiPriority w:val="99"/>
    <w:qFormat/>
    <w:rsid w:val="005f5cbb"/>
  </w:style>
  <w:style w:type="numbering" w:styleId="36" w:customStyle="1">
    <w:name w:val="当前列表36"/>
    <w:uiPriority w:val="99"/>
    <w:qFormat/>
    <w:rsid w:val="005f5cbb"/>
  </w:style>
  <w:style w:type="numbering" w:styleId="37" w:customStyle="1">
    <w:name w:val="当前列表37"/>
    <w:uiPriority w:val="99"/>
    <w:qFormat/>
    <w:rsid w:val="005f5cbb"/>
  </w:style>
  <w:style w:type="numbering" w:styleId="38" w:customStyle="1">
    <w:name w:val="当前列表38"/>
    <w:uiPriority w:val="99"/>
    <w:qFormat/>
    <w:rsid w:val="005f5cbb"/>
  </w:style>
  <w:style w:type="numbering" w:styleId="39" w:customStyle="1">
    <w:name w:val="当前列表39"/>
    <w:uiPriority w:val="99"/>
    <w:qFormat/>
    <w:rsid w:val="005f5cbb"/>
  </w:style>
  <w:style w:type="numbering" w:styleId="40" w:customStyle="1">
    <w:name w:val="当前列表40"/>
    <w:uiPriority w:val="99"/>
    <w:qFormat/>
    <w:rsid w:val="005f5cbb"/>
  </w:style>
  <w:style w:type="numbering" w:styleId="41" w:customStyle="1">
    <w:name w:val="当前列表41"/>
    <w:uiPriority w:val="99"/>
    <w:qFormat/>
    <w:rsid w:val="005f5cbb"/>
  </w:style>
  <w:style w:type="numbering" w:styleId="42" w:customStyle="1">
    <w:name w:val="当前列表42"/>
    <w:uiPriority w:val="99"/>
    <w:qFormat/>
    <w:rsid w:val="005f5cbb"/>
  </w:style>
  <w:style w:type="numbering" w:styleId="43" w:customStyle="1">
    <w:name w:val="当前列表43"/>
    <w:uiPriority w:val="99"/>
    <w:qFormat/>
    <w:rsid w:val="00505d89"/>
  </w:style>
  <w:style w:type="numbering" w:styleId="44" w:customStyle="1">
    <w:name w:val="当前列表44"/>
    <w:uiPriority w:val="99"/>
    <w:qFormat/>
    <w:rsid w:val="00505d89"/>
  </w:style>
  <w:style w:type="numbering" w:styleId="45" w:customStyle="1">
    <w:name w:val="当前列表45"/>
    <w:uiPriority w:val="99"/>
    <w:qFormat/>
    <w:rsid w:val="00505d89"/>
  </w:style>
  <w:style w:type="numbering" w:styleId="46" w:customStyle="1">
    <w:name w:val="当前列表46"/>
    <w:uiPriority w:val="99"/>
    <w:qFormat/>
    <w:rsid w:val="00505d89"/>
  </w:style>
  <w:style w:type="numbering" w:styleId="47" w:customStyle="1">
    <w:name w:val="当前列表47"/>
    <w:uiPriority w:val="99"/>
    <w:qFormat/>
    <w:rsid w:val="00505d89"/>
  </w:style>
  <w:style w:type="numbering" w:styleId="48" w:customStyle="1">
    <w:name w:val="当前列表48"/>
    <w:uiPriority w:val="99"/>
    <w:qFormat/>
    <w:rsid w:val="00505d89"/>
  </w:style>
  <w:style w:type="numbering" w:styleId="49" w:customStyle="1">
    <w:name w:val="当前列表49"/>
    <w:uiPriority w:val="99"/>
    <w:qFormat/>
    <w:rsid w:val="00c53c1f"/>
  </w:style>
  <w:style w:type="numbering" w:styleId="50" w:customStyle="1">
    <w:name w:val="当前列表50"/>
    <w:uiPriority w:val="99"/>
    <w:qFormat/>
    <w:rsid w:val="00c53c1f"/>
  </w:style>
  <w:style w:type="numbering" w:styleId="51" w:customStyle="1">
    <w:name w:val="当前列表51"/>
    <w:uiPriority w:val="99"/>
    <w:qFormat/>
    <w:rsid w:val="00c53c1f"/>
  </w:style>
  <w:style w:type="numbering" w:styleId="52" w:customStyle="1">
    <w:name w:val="当前列表52"/>
    <w:uiPriority w:val="99"/>
    <w:qFormat/>
    <w:rsid w:val="00ad4f00"/>
  </w:style>
  <w:style w:type="numbering" w:styleId="53" w:customStyle="1">
    <w:name w:val="当前列表53"/>
    <w:uiPriority w:val="99"/>
    <w:qFormat/>
    <w:rsid w:val="00ad4f00"/>
  </w:style>
  <w:style w:type="numbering" w:styleId="54" w:customStyle="1">
    <w:name w:val="当前列表54"/>
    <w:uiPriority w:val="99"/>
    <w:qFormat/>
    <w:rsid w:val="00ad4f00"/>
  </w:style>
  <w:style w:type="numbering" w:styleId="55" w:customStyle="1">
    <w:name w:val="当前列表55"/>
    <w:uiPriority w:val="99"/>
    <w:qFormat/>
    <w:rsid w:val="00550320"/>
  </w:style>
  <w:style w:type="numbering" w:styleId="56" w:customStyle="1">
    <w:name w:val="当前列表56"/>
    <w:uiPriority w:val="99"/>
    <w:qFormat/>
    <w:rsid w:val="00550320"/>
  </w:style>
  <w:style w:type="numbering" w:styleId="57" w:customStyle="1">
    <w:name w:val="当前列表57"/>
    <w:uiPriority w:val="99"/>
    <w:qFormat/>
    <w:rsid w:val="00550320"/>
  </w:style>
  <w:style w:type="numbering" w:styleId="58" w:customStyle="1">
    <w:name w:val="当前列表58"/>
    <w:uiPriority w:val="99"/>
    <w:qFormat/>
    <w:rsid w:val="00550320"/>
  </w:style>
  <w:style w:type="numbering" w:styleId="59" w:customStyle="1">
    <w:name w:val="当前列表59"/>
    <w:uiPriority w:val="99"/>
    <w:qFormat/>
    <w:rsid w:val="00550320"/>
  </w:style>
  <w:style w:type="numbering" w:styleId="60" w:customStyle="1">
    <w:name w:val="当前列表60"/>
    <w:uiPriority w:val="99"/>
    <w:qFormat/>
    <w:rsid w:val="00550320"/>
  </w:style>
  <w:style w:type="numbering" w:styleId="61" w:customStyle="1">
    <w:name w:val="当前列表61"/>
    <w:uiPriority w:val="99"/>
    <w:qFormat/>
    <w:rsid w:val="00550320"/>
  </w:style>
  <w:style w:type="numbering" w:styleId="62" w:customStyle="1">
    <w:name w:val="当前列表62"/>
    <w:uiPriority w:val="99"/>
    <w:qFormat/>
    <w:rsid w:val="00550320"/>
  </w:style>
  <w:style w:type="numbering" w:styleId="63" w:customStyle="1">
    <w:name w:val="当前列表63"/>
    <w:uiPriority w:val="99"/>
    <w:qFormat/>
    <w:rsid w:val="00550320"/>
  </w:style>
  <w:style w:type="numbering" w:styleId="64" w:customStyle="1">
    <w:name w:val="当前列表64"/>
    <w:uiPriority w:val="99"/>
    <w:qFormat/>
    <w:rsid w:val="00550320"/>
  </w:style>
  <w:style w:type="numbering" w:styleId="65" w:customStyle="1">
    <w:name w:val="当前列表65"/>
    <w:uiPriority w:val="99"/>
    <w:qFormat/>
    <w:rsid w:val="00550320"/>
  </w:style>
  <w:style w:type="numbering" w:styleId="66" w:customStyle="1">
    <w:name w:val="当前列表66"/>
    <w:uiPriority w:val="99"/>
    <w:qFormat/>
    <w:rsid w:val="00550320"/>
  </w:style>
  <w:style w:type="numbering" w:styleId="67" w:customStyle="1">
    <w:name w:val="当前列表67"/>
    <w:uiPriority w:val="99"/>
    <w:qFormat/>
    <w:rsid w:val="00d31b76"/>
  </w:style>
  <w:style w:type="numbering" w:styleId="68" w:customStyle="1">
    <w:name w:val="当前列表68"/>
    <w:uiPriority w:val="99"/>
    <w:qFormat/>
    <w:rsid w:val="00d31b76"/>
  </w:style>
  <w:style w:type="numbering" w:styleId="69" w:customStyle="1">
    <w:name w:val="当前列表69"/>
    <w:uiPriority w:val="99"/>
    <w:qFormat/>
    <w:rsid w:val="00d31b76"/>
  </w:style>
  <w:style w:type="numbering" w:styleId="70" w:customStyle="1">
    <w:name w:val="当前列表70"/>
    <w:uiPriority w:val="99"/>
    <w:qFormat/>
    <w:rsid w:val="00d31b76"/>
  </w:style>
  <w:style w:type="numbering" w:styleId="71" w:customStyle="1">
    <w:name w:val="当前列表71"/>
    <w:uiPriority w:val="99"/>
    <w:qFormat/>
    <w:rsid w:val="00d31b76"/>
  </w:style>
  <w:style w:type="numbering" w:styleId="72" w:customStyle="1">
    <w:name w:val="当前列表72"/>
    <w:uiPriority w:val="99"/>
    <w:qFormat/>
    <w:rsid w:val="00d31b76"/>
  </w:style>
  <w:style w:type="numbering" w:styleId="73" w:customStyle="1">
    <w:name w:val="当前列表73"/>
    <w:uiPriority w:val="99"/>
    <w:qFormat/>
    <w:rsid w:val="00d31b76"/>
  </w:style>
  <w:style w:type="numbering" w:styleId="74" w:customStyle="1">
    <w:name w:val="当前列表74"/>
    <w:uiPriority w:val="99"/>
    <w:qFormat/>
    <w:rsid w:val="00d31b76"/>
  </w:style>
  <w:style w:type="numbering" w:styleId="75" w:customStyle="1">
    <w:name w:val="当前列表75"/>
    <w:uiPriority w:val="99"/>
    <w:qFormat/>
    <w:rsid w:val="00d31b76"/>
  </w:style>
  <w:style w:type="numbering" w:styleId="76" w:customStyle="1">
    <w:name w:val="当前列表76"/>
    <w:uiPriority w:val="99"/>
    <w:qFormat/>
    <w:rsid w:val="00d31b76"/>
  </w:style>
  <w:style w:type="numbering" w:styleId="77" w:customStyle="1">
    <w:name w:val="当前列表77"/>
    <w:uiPriority w:val="99"/>
    <w:qFormat/>
    <w:rsid w:val="00d31b76"/>
  </w:style>
  <w:style w:type="numbering" w:styleId="78" w:customStyle="1">
    <w:name w:val="当前列表78"/>
    <w:uiPriority w:val="99"/>
    <w:qFormat/>
    <w:rsid w:val="00d31b76"/>
  </w:style>
  <w:style w:type="numbering" w:styleId="79" w:customStyle="1">
    <w:name w:val="当前列表79"/>
    <w:uiPriority w:val="99"/>
    <w:qFormat/>
    <w:rsid w:val="00d31b76"/>
  </w:style>
  <w:style w:type="numbering" w:styleId="80" w:customStyle="1">
    <w:name w:val="当前列表80"/>
    <w:uiPriority w:val="99"/>
    <w:qFormat/>
    <w:rsid w:val="00d31b76"/>
  </w:style>
  <w:style w:type="numbering" w:styleId="81" w:customStyle="1">
    <w:name w:val="当前列表81"/>
    <w:uiPriority w:val="99"/>
    <w:qFormat/>
    <w:rsid w:val="00d31b76"/>
  </w:style>
  <w:style w:type="numbering" w:styleId="82" w:customStyle="1">
    <w:name w:val="当前列表82"/>
    <w:uiPriority w:val="99"/>
    <w:qFormat/>
    <w:rsid w:val="00d31b76"/>
  </w:style>
  <w:style w:type="numbering" w:styleId="83" w:customStyle="1">
    <w:name w:val="当前列表83"/>
    <w:uiPriority w:val="99"/>
    <w:qFormat/>
    <w:rsid w:val="00d31b76"/>
  </w:style>
  <w:style w:type="numbering" w:styleId="84" w:customStyle="1">
    <w:name w:val="当前列表84"/>
    <w:uiPriority w:val="99"/>
    <w:qFormat/>
    <w:rsid w:val="00d31b76"/>
  </w:style>
  <w:style w:type="numbering" w:styleId="85" w:customStyle="1">
    <w:name w:val="当前列表85"/>
    <w:uiPriority w:val="99"/>
    <w:qFormat/>
    <w:rsid w:val="00d31b76"/>
  </w:style>
  <w:style w:type="numbering" w:styleId="86" w:customStyle="1">
    <w:name w:val="当前列表86"/>
    <w:uiPriority w:val="99"/>
    <w:qFormat/>
    <w:rsid w:val="00d31b76"/>
  </w:style>
  <w:style w:type="numbering" w:styleId="87" w:customStyle="1">
    <w:name w:val="当前列表87"/>
    <w:uiPriority w:val="99"/>
    <w:qFormat/>
    <w:rsid w:val="00d31b76"/>
  </w:style>
  <w:style w:type="numbering" w:styleId="88" w:customStyle="1">
    <w:name w:val="当前列表88"/>
    <w:uiPriority w:val="99"/>
    <w:qFormat/>
    <w:rsid w:val="00d31b76"/>
  </w:style>
  <w:style w:type="numbering" w:styleId="89" w:customStyle="1">
    <w:name w:val="当前列表89"/>
    <w:uiPriority w:val="99"/>
    <w:qFormat/>
    <w:rsid w:val="00d31b76"/>
  </w:style>
  <w:style w:type="numbering" w:styleId="90" w:customStyle="1">
    <w:name w:val="当前列表90"/>
    <w:uiPriority w:val="99"/>
    <w:qFormat/>
    <w:rsid w:val="00d31b76"/>
  </w:style>
  <w:style w:type="numbering" w:styleId="91" w:customStyle="1">
    <w:name w:val="当前列表91"/>
    <w:uiPriority w:val="99"/>
    <w:qFormat/>
    <w:rsid w:val="00d31b76"/>
  </w:style>
  <w:style w:type="numbering" w:styleId="92" w:customStyle="1">
    <w:name w:val="当前列表92"/>
    <w:uiPriority w:val="99"/>
    <w:qFormat/>
    <w:rsid w:val="00d31b76"/>
  </w:style>
  <w:style w:type="numbering" w:styleId="93" w:customStyle="1">
    <w:name w:val="当前列表93"/>
    <w:uiPriority w:val="99"/>
    <w:qFormat/>
    <w:rsid w:val="00d31b76"/>
  </w:style>
  <w:style w:type="numbering" w:styleId="94" w:customStyle="1">
    <w:name w:val="当前列表94"/>
    <w:uiPriority w:val="99"/>
    <w:qFormat/>
    <w:rsid w:val="00d31b76"/>
  </w:style>
  <w:style w:type="numbering" w:styleId="95" w:customStyle="1">
    <w:name w:val="当前列表95"/>
    <w:uiPriority w:val="99"/>
    <w:qFormat/>
    <w:rsid w:val="00d31b76"/>
  </w:style>
  <w:style w:type="numbering" w:styleId="96" w:customStyle="1">
    <w:name w:val="当前列表96"/>
    <w:uiPriority w:val="99"/>
    <w:qFormat/>
    <w:rsid w:val="00d31b76"/>
  </w:style>
  <w:style w:type="numbering" w:styleId="97" w:customStyle="1">
    <w:name w:val="当前列表97"/>
    <w:uiPriority w:val="99"/>
    <w:qFormat/>
    <w:rsid w:val="00d31b76"/>
  </w:style>
  <w:style w:type="numbering" w:styleId="98" w:customStyle="1">
    <w:name w:val="当前列表98"/>
    <w:uiPriority w:val="99"/>
    <w:qFormat/>
    <w:rsid w:val="00d31b76"/>
  </w:style>
  <w:style w:type="numbering" w:styleId="99" w:customStyle="1">
    <w:name w:val="当前列表99"/>
    <w:uiPriority w:val="99"/>
    <w:qFormat/>
    <w:rsid w:val="00d31b76"/>
  </w:style>
  <w:style w:type="numbering" w:styleId="100" w:customStyle="1">
    <w:name w:val="当前列表100"/>
    <w:uiPriority w:val="99"/>
    <w:qFormat/>
    <w:rsid w:val="00d31b76"/>
  </w:style>
  <w:style w:type="numbering" w:styleId="101" w:customStyle="1">
    <w:name w:val="当前列表101"/>
    <w:uiPriority w:val="99"/>
    <w:qFormat/>
    <w:rsid w:val="00d31b76"/>
  </w:style>
  <w:style w:type="numbering" w:styleId="102" w:customStyle="1">
    <w:name w:val="当前列表102"/>
    <w:uiPriority w:val="99"/>
    <w:qFormat/>
    <w:rsid w:val="0099359c"/>
  </w:style>
  <w:style w:type="numbering" w:styleId="103" w:customStyle="1">
    <w:name w:val="当前列表103"/>
    <w:uiPriority w:val="99"/>
    <w:qFormat/>
    <w:rsid w:val="004e79d4"/>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主题​​">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itchFamily="0" charset="1"/>
        <a:ea typeface=""/>
        <a:cs typeface=""/>
      </a:majorFont>
      <a:minorFont>
        <a:latin typeface="等线"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sectNamePr val="目录页"/>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Application>LibreOffice/24.8.2.1$MacOSX_AARCH64 LibreOffice_project/0f794b6e29741098670a3b95d60478a65d05ef13</Application>
  <AppVersion>15.0000</AppVersion>
  <Pages>21</Pages>
  <Words>26746</Words>
  <Characters>26937</Characters>
  <CharactersWithSpaces>27033</CharactersWithSpaces>
  <Paragraphs>352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2019-05-08T17:22:00Z</dcterms:created>
  <dc:creator>Microsoft Office User</dc:creator>
  <dc:description/>
  <dc:language>zh-CN</dc:language>
  <cp:lastModifiedBy/>
  <cp:lastPrinted>2023-10-13T04:58:00Z</cp:lastPrinted>
  <dcterms:modified xsi:type="dcterms:W3CDTF">2024-10-04T12:48:34Z</dcterms:modified>
  <cp:revision>184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ies>
</file>