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Microsoft YaHei" w:ascii="Calibri" w:hAnsi="Calibri"/>
          <w:b/>
          <w:i w:val="0"/>
          <w:color w:val="1F3B73"/>
          <w:sz w:val="56"/>
        </w:rPr>
        <w:t>AI 产品商业化策略</w:t>
      </w:r>
    </w:p>
    <w:p>
      <w:pPr>
        <w:jc w:val="center"/>
      </w:pPr>
      <w:r>
        <w:rPr>
          <w:rFonts w:eastAsia="Microsoft YaHei" w:ascii="Calibri" w:hAnsi="Calibri"/>
          <w:b w:val="0"/>
          <w:i w:val="0"/>
          <w:color w:val="2E5C8A"/>
          <w:sz w:val="32"/>
        </w:rPr>
        <w:t>菲律宾电信运营商 / 数据中心商</w:t>
      </w:r>
    </w:p>
    <w:p>
      <w:pPr>
        <w:jc w:val="center"/>
      </w:pPr>
      <w:r>
        <w:rPr>
          <w:rFonts w:eastAsia="Microsoft YaHei" w:ascii="Calibri" w:hAnsi="Calibri"/>
          <w:b w:val="0"/>
          <w:i/>
          <w:color w:val="808080"/>
          <w:sz w:val="24"/>
        </w:rPr>
        <w:t>基于实时搜索数据校准 (2025)</w:t>
      </w:r>
    </w:p>
    <w:p>
      <w:pPr>
        <w:pBdr>
          <w:bottom w:val="single" w:sz="6" w:space="1" w:color="1F3B73"/>
        </w:pBdr>
      </w:pPr>
    </w:p>
    <w:p>
      <w:pPr>
        <w:jc w:val="center"/>
      </w:pPr>
      <w:r>
        <w:rPr>
          <w:rFonts w:eastAsia="Microsoft YaHei" w:ascii="Calibri" w:hAnsi="Calibri"/>
          <w:b/>
          <w:i w:val="0"/>
          <w:color w:val="228B22"/>
          <w:sz w:val="26"/>
        </w:rPr>
        <w:t>核心结论：先基建后生态，3 年 EBITDA 转正，5 年年收入 $68M</w:t>
      </w:r>
    </w:p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目录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1. 执行摘要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2. 产品组合优先级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3. GPUaaS 竞品价格对标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4. 单卡 TCO 成本结构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5. 定价策略与毛利率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6. MaaS Token 经济学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7. 5 年收入预测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8. 市场规模 (TAM/SAM/SOM)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9. PLDT VITRO 竞争定位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10. 关键风险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附录 A. 数据文件清单</w:t>
      </w:r>
    </w:p>
    <w:p>
      <w:pPr>
        <w:spacing w:after="80"/>
      </w:pPr>
      <w:r>
        <w:rPr>
          <w:rFonts w:eastAsia="Microsoft YaHei" w:ascii="Calibri" w:hAnsi="Calibri"/>
          <w:b w:val="0"/>
          <w:i w:val="0"/>
          <w:color w:val="333333"/>
          <w:sz w:val="22"/>
        </w:rPr>
        <w:t>附录 B. 转售中国 GPUaaS 可行性分析</w:t>
      </w:r>
    </w:p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1. 执行摘要</w:t>
      </w:r>
    </w:p>
    <w:p>
      <w:pPr>
        <w:spacing w:after="120" w:line="276" w:lineRule="auto"/>
        <w:jc w:val="both"/>
      </w:pPr>
      <w:r>
        <w:rPr>
          <w:rFonts w:eastAsia="Microsoft YaHei" w:ascii="Calibri" w:hAnsi="Calibri"/>
          <w:b w:val="0"/>
          <w:i w:val="0"/>
          <w:color w:val="333333"/>
          <w:sz w:val="21"/>
        </w:rPr>
        <w:t>本报告为菲律宾电信运营商/数据中心商设计 AI 产品商业化路线图，涵盖产品优先级、定价机制、毛利率控制和 5 年收入预测。所有关键数据通过 Z.AI MCP Web Search 实时检索校准。</w:t>
      </w:r>
    </w:p>
    <w:p>
      <w:pPr>
        <w:spacing w:after="200" w:line="276" w:lineRule="auto"/>
        <w:jc w:val="both"/>
      </w:pPr>
      <w:r>
        <w:rPr>
          <w:rFonts w:eastAsia="Microsoft YaHei" w:ascii="Calibri" w:hAnsi="Calibri"/>
          <w:b w:val="0"/>
          <w:i w:val="0"/>
          <w:color w:val="228B22"/>
          <w:sz w:val="21"/>
        </w:rPr>
      </w:r>
      <w:r>
        <w:rPr>
          <w:rFonts w:eastAsia="Microsoft YaHei" w:ascii="Calibri" w:hAnsi="Calibri"/>
          <w:b/>
          <w:i w:val="0"/>
          <w:color w:val="228B22"/>
          <w:sz w:val="21"/>
        </w:rPr>
        <w:t>核心结论：先基建后生态，3 年 EBITDA 转正，5 年年收入 $68M。</w:t>
      </w:r>
      <w:r>
        <w:rPr>
          <w:rFonts w:eastAsia="Microsoft YaHei" w:ascii="Calibri" w:hAnsi="Calibri"/>
          <w:b w:val="0"/>
          <w:i w:val="0"/>
          <w:color w:val="228B22"/>
          <w:sz w:val="21"/>
        </w:rPr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2. 产品组合优先级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评分矩阵 (加权综合评分)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产品线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综合得分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启动阶段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AI+连接融合 (AI-Network)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4.25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3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行业解决方案 (垂直AI)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4.10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2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MaaS (模型API服务)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3.75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1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AIaaS (AI平台/PaaS)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3.70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2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Agent服务 (智能体即服务)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3.55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3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GPUaaS (GPU裸算力出租)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3.40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1</w:t>
            </w:r>
          </w:p>
        </w:tc>
      </w:tr>
    </w:tbl>
    <w:p/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执行路线图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产品线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Phase 1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0-12 月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GPUaaS + MaaS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快速变现，跑通基础设施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Phase 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12-36 月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AIaaS + 行业方案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建平台，拉高毛利至 50%+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Phase 3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24-36 月+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Agent + AI+连接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高黏性护城河，毛利 60%+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D98300"/>
            </w:tcBorders>
          </w:tcPr>
          <w:p>
            <w:pPr>
              <w:spacing w:after="40"/>
            </w:pPr>
            <w:r>
              <w:rPr>
                <w:rFonts w:eastAsia="Microsoft YaHei" w:ascii="Calibri" w:hAnsi="Calibri"/>
                <w:b/>
                <w:i w:val="0"/>
                <w:color w:val="D98300"/>
                <w:sz w:val="19"/>
              </w:rPr>
              <w:t xml:space="preserve">💡 </w:t>
            </w:r>
            <w:r>
              <w:rPr>
                <w:rFonts w:eastAsia="Microsoft YaHei" w:ascii="Calibri" w:hAnsi="Calibri"/>
                <w:b w:val="0"/>
                <w:i w:val="0"/>
                <w:color w:val="554400"/>
                <w:sz w:val="19"/>
              </w:rPr>
              <w:t>战略原则：矩阵评分最高的产品（AI+连接融合）需要最长时间建设，而评分最低的 GPUaaS 变现最快且是上层产品的基础设施。执行顺序与战略价值排序相反。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3. GPUaaS 竞品价格对标 (2025 实时搜索)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H100 按需价格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供应商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按需 $/hr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实例类型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Spheron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$2.01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官网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市场最低价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Vast.ai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实时竞价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波动大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CoreWeave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$2.49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官网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专注 AI 云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Lambda Labs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$2.69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官网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透明定价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Oracle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$3.00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OCI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适中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GCP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$3.67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A3 实例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稳定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AWS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$6.88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p5.48xlarge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2025 大幅涨价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Azure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$12.29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ND H100 v5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最高价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D98300"/>
            </w:tcBorders>
          </w:tcPr>
          <w:p>
            <w:pPr>
              <w:spacing w:after="40"/>
            </w:pPr>
            <w:r>
              <w:rPr>
                <w:rFonts w:eastAsia="Microsoft YaHei" w:ascii="Calibri" w:hAnsi="Calibri"/>
                <w:b/>
                <w:i w:val="0"/>
                <w:color w:val="D98300"/>
                <w:sz w:val="19"/>
              </w:rPr>
              <w:t xml:space="preserve">💡 </w:t>
            </w:r>
            <w:r>
              <w:rPr>
                <w:rFonts w:eastAsia="Microsoft YaHei" w:ascii="Calibri" w:hAnsi="Calibri"/>
                <w:b w:val="0"/>
                <w:i w:val="0"/>
                <w:color w:val="554400"/>
                <w:sz w:val="19"/>
              </w:rPr>
              <w:t>关键发现：超大规模云（AWS/Azure）2025 年大幅涨价，与专业 AI 云（CoreWeave/Lambda）的价格差距从 1.6× 扩大到 3-6×。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4. 单卡 TCO 成本结构 (菲律宾, H100)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成本分解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成本项</w:t>
            </w:r>
          </w:p>
        </w:tc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PPA 电价 ($/卡/年)</w:t>
            </w:r>
          </w:p>
        </w:tc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商业电价 ($/卡/年)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GPU 折旧 ($30K/卡, 4yr, 残值20%)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$6,000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$6,000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服务器系统折旧 ($60K, 4yr, 残值15%)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$1,594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$1,594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电力 (PPA $0.085/kWh)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$521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电力 (商业 $0.161/kWh)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$987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设施 (Tier-III DC)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$1,500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$1,500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网络互联 (PLDT 骨干网)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$400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$400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运维人力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$600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$600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软件/许可/保险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$500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$500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合计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$11,115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$11,581</w:t>
            </w:r>
          </w:p>
        </w:tc>
      </w:tr>
    </w:tbl>
    <w:p/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保本价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利用率</w:t>
            </w:r>
          </w:p>
        </w:tc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PPA 电价</w:t>
            </w:r>
          </w:p>
        </w:tc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商业电价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50%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$2.54/hr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$2.64/hr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60%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$2.11/hr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$2.20/hr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70%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$1.81/hr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$1.89/hr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80%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$1.59/hr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$1.65/hr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D98300"/>
            </w:tcBorders>
          </w:tcPr>
          <w:p>
            <w:pPr>
              <w:spacing w:after="40"/>
            </w:pPr>
            <w:r>
              <w:rPr>
                <w:rFonts w:eastAsia="Microsoft YaHei" w:ascii="Calibri" w:hAnsi="Calibri"/>
                <w:b/>
                <w:i w:val="0"/>
                <w:color w:val="D98300"/>
                <w:sz w:val="19"/>
              </w:rPr>
              <w:t xml:space="preserve">💡 </w:t>
            </w:r>
            <w:r>
              <w:rPr>
                <w:rFonts w:eastAsia="Microsoft YaHei" w:ascii="Calibri" w:hAnsi="Calibri"/>
                <w:b w:val="0"/>
                <w:i w:val="0"/>
                <w:color w:val="554400"/>
                <w:sz w:val="19"/>
              </w:rPr>
              <w:t>电价数据来源：GlobalPetrolPrices (2025.12), WESM 批发价 PHP 4.14/kWh (2025 H1, 同比-26%), PPA 估算 $0.085/kWh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5. 定价策略与毛利率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毛利率敏感性矩阵 (PPA 电价, 成本 $11,115/yr/卡)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50%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55%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60%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65%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70%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75%</w:t>
            </w:r>
          </w:p>
        </w:tc>
        <w:tc>
          <w:tcPr>
            <w:tcW w:type="dxa" w:w="1205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80%</w:t>
            </w:r>
          </w:p>
        </w:tc>
      </w:tr>
      <w:tr>
        <w:tc>
          <w:tcPr>
            <w:tcW w:type="dxa" w:w="1205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渗透 $2.20/hr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❌-15%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❌-5%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D98300"/>
                <w:sz w:val="18"/>
              </w:rPr>
              <w:t>⚠️+4%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D98300"/>
                <w:sz w:val="18"/>
              </w:rPr>
              <w:t>⚠️+11%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✅+18%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✅+23%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✅+28%</w:t>
            </w:r>
          </w:p>
        </w:tc>
      </w:tr>
      <w:tr>
        <w:tc>
          <w:tcPr>
            <w:tcW w:type="dxa" w:w="1205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对标 $2.69/hr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D98300"/>
                <w:sz w:val="18"/>
              </w:rPr>
              <w:t>⚠️+6%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D98300"/>
                <w:sz w:val="18"/>
              </w:rPr>
              <w:t>⚠️+14%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✅+21%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✅+27%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✅+33%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✅+37%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✅+41%</w:t>
            </w:r>
          </w:p>
        </w:tc>
      </w:tr>
      <w:tr>
        <w:tc>
          <w:tcPr>
            <w:tcW w:type="dxa" w:w="1205"/>
            <w:shd w:val="clear" w:color="auto" w:fill="EAF0F7"/>
          </w:tcPr>
          <w:p>
            <w:r>
              <w:rPr>
                <w:rFonts w:ascii="" w:hAnsi="" w:eastAsia="Microsoft YaHei"/>
                <w:b/>
                <w:color w:val="333333"/>
                <w:sz w:val="18"/>
              </w:rPr>
              <w:t>价值 $3.20/hr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✅+21%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✅+28%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✅+34%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✅+39%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228B22"/>
                <w:sz w:val="18"/>
              </w:rPr>
              <w:t>✅+43%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✅+47%</w:t>
            </w:r>
          </w:p>
        </w:tc>
        <w:tc>
          <w:tcPr>
            <w:tcW w:type="dxa" w:w="1205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✅+50%</w:t>
            </w:r>
          </w:p>
        </w:tc>
      </w:tr>
      <w:tr>
        <w:tc>
          <w:tcPr>
            <w:tcW w:type="dxa" w:w="1205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高端 $3.67/hr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✅+31%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✅+37%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✅+42%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✅+47%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✅+51%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✅+54%</w:t>
            </w:r>
          </w:p>
        </w:tc>
        <w:tc>
          <w:tcPr>
            <w:tcW w:type="dxa" w:w="1205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✅+57%</w:t>
            </w:r>
          </w:p>
        </w:tc>
      </w:tr>
    </w:tbl>
    <w:p/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推荐策略：价值定价 $3.20/hr</w:t>
      </w:r>
    </w:p>
    <w:p>
      <w:pPr>
        <w:spacing w:after="80" w:line="276" w:lineRule="auto"/>
        <w:jc w:val="both"/>
      </w:pPr>
      <w:r>
        <w:rPr>
          <w:rFonts w:eastAsia="Microsoft YaHei" w:ascii="Calibri" w:hAnsi="Calibri"/>
          <w:b/>
          <w:i w:val="0"/>
          <w:color w:val="333333"/>
          <w:sz w:val="21"/>
        </w:rPr>
        <w:t>理由：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不和 Spheron/Vast.ai 打价格战（它们没有数据中心/网络/合规）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不追 AWS/Azure 非理性溢价（$6-12/hr）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$3.20 = 本地数据中心 + 数据主权 + &lt;5ms 延迟 + SLA 的合理溢价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70% 利用率下毛利率 43%，50% 利用率下仍盈利（21%）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四种定价模式对比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定价模式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适用产品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毛利率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收入可预测性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客户门槛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推荐阶段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按 GPU 时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GPUaaS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30-45%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需技术能力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1</w:t>
            </w:r>
          </w:p>
        </w:tc>
      </w:tr>
      <w:tr>
        <w:tc>
          <w:tcPr>
            <w:tcW w:type="dxa" w:w="1606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按 Token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MaaS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55-70%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开发者友好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1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订阅制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AIaaS/行业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50-65%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企业友好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2</w:t>
            </w:r>
          </w:p>
        </w:tc>
      </w:tr>
      <w:tr>
        <w:tc>
          <w:tcPr>
            <w:tcW w:type="dxa" w:w="1606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按效果分成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Agent/行业方案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60-80%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零门槛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Phase 3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6. MaaS Token 经济学 (自托管开源模型)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GPU 配置</w:t>
            </w:r>
          </w:p>
        </w:tc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聚合吞吐 (tok/s)</w:t>
            </w:r>
          </w:p>
        </w:tc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成本 $/M tok</w:t>
            </w:r>
          </w:p>
        </w:tc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竞品价 $/M</w:t>
            </w:r>
          </w:p>
        </w:tc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建议定价 $/M</w:t>
            </w:r>
          </w:p>
        </w:tc>
        <w:tc>
          <w:tcPr>
            <w:tcW w:type="dxa" w:w="1377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毛利率</w:t>
            </w:r>
          </w:p>
        </w:tc>
      </w:tr>
      <w:tr>
        <w:tc>
          <w:tcPr>
            <w:tcW w:type="dxa" w:w="1377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Llama 3.1 8B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1×H100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15,000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$0.03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$0.26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$0.13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76%</w:t>
            </w:r>
          </w:p>
        </w:tc>
      </w:tr>
      <w:tr>
        <w:tc>
          <w:tcPr>
            <w:tcW w:type="dxa" w:w="137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Llama 3.1 70B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8×H100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30,000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$0.64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$0.32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61%</w:t>
            </w:r>
          </w:p>
        </w:tc>
      </w:tr>
      <w:tr>
        <w:tc>
          <w:tcPr>
            <w:tcW w:type="dxa" w:w="1377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Llama 3.1 405B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16×H100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20,000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$0.38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$2.72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$1.36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72%</w:t>
            </w:r>
          </w:p>
        </w:tc>
      </w:tr>
      <w:tr>
        <w:tc>
          <w:tcPr>
            <w:tcW w:type="dxa" w:w="137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DeepSeek V3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8×H100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25,000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$0.15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$0.48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$0.24</w:t>
            </w:r>
          </w:p>
        </w:tc>
        <w:tc>
          <w:tcPr>
            <w:tcW w:type="dxa" w:w="137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37%</w:t>
            </w:r>
          </w:p>
        </w:tc>
      </w:tr>
      <w:tr>
        <w:tc>
          <w:tcPr>
            <w:tcW w:type="dxa" w:w="1377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GLM-4-9B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1×H100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12,000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$0.04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$0.26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$0.13</w:t>
            </w:r>
          </w:p>
        </w:tc>
        <w:tc>
          <w:tcPr>
            <w:tcW w:type="dxa" w:w="1377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70%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D98300"/>
            </w:tcBorders>
          </w:tcPr>
          <w:p>
            <w:pPr>
              <w:spacing w:after="40"/>
            </w:pPr>
            <w:r>
              <w:rPr>
                <w:rFonts w:eastAsia="Microsoft YaHei" w:ascii="Calibri" w:hAnsi="Calibri"/>
                <w:b/>
                <w:i w:val="0"/>
                <w:color w:val="D98300"/>
                <w:sz w:val="19"/>
              </w:rPr>
              <w:t xml:space="preserve">💡 </w:t>
            </w:r>
            <w:r>
              <w:rPr>
                <w:rFonts w:eastAsia="Microsoft YaHei" w:ascii="Calibri" w:hAnsi="Calibri"/>
                <w:b w:val="0"/>
                <w:i w:val="0"/>
                <w:color w:val="554400"/>
                <w:sz w:val="19"/>
              </w:rPr>
              <w:t>基于 vLLM 连续批处理聚合吞吐，GPU 成本 $1.81/hr (PPA, 70% util)</w:t>
            </w:r>
          </w:p>
        </w:tc>
      </w:tr>
    </w:tbl>
    <w:p/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客户分层定价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客户类型</w:t>
            </w:r>
          </w:p>
        </w:tc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推荐模型</w:t>
            </w:r>
          </w:p>
        </w:tc>
        <w:tc>
          <w:tcPr>
            <w:tcW w:type="dxa" w:w="3213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定价模式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开发者/初创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Llama 8B/70B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按 Token, 极低价</w:t>
            </w:r>
          </w:p>
        </w:tc>
      </w:tr>
      <w:tr>
        <w:tc>
          <w:tcPr>
            <w:tcW w:type="dxa" w:w="3213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企业/BPO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70B/DeepSeek V3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订阅制+SLA</w:t>
            </w:r>
          </w:p>
        </w:tc>
      </w:tr>
      <w:tr>
        <w:tc>
          <w:tcPr>
            <w:tcW w:type="dxa" w:w="3213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政府/金融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私有部署 70B/405B</w:t>
            </w:r>
          </w:p>
        </w:tc>
        <w:tc>
          <w:tcPr>
            <w:tcW w:type="dxa" w:w="3213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按实例/年费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7. 5 年收入预测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收入 ($M)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GPUaaS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MaaS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AIaaS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行业方案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AI+连接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总收入</w:t>
            </w:r>
          </w:p>
        </w:tc>
        <w:tc>
          <w:tcPr>
            <w:tcW w:type="dxa" w:w="1071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YoY</w:t>
            </w:r>
          </w:p>
        </w:tc>
      </w:tr>
      <w:tr>
        <w:tc>
          <w:tcPr>
            <w:tcW w:type="dxa" w:w="1071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2025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$1.2M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$0.6M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$0.8M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$0.0M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$0.0M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$2.6M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071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2026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$4.2M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$2.1M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$0.4M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$2.2M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$0.1M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$9.1M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+253%</w:t>
            </w:r>
          </w:p>
        </w:tc>
      </w:tr>
      <w:tr>
        <w:tc>
          <w:tcPr>
            <w:tcW w:type="dxa" w:w="1071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2027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$8.2M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$4.2M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$1.3M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$5.8M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$0.5M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$1.2M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$21.1M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+131%</w:t>
            </w:r>
          </w:p>
        </w:tc>
      </w:tr>
      <w:tr>
        <w:tc>
          <w:tcPr>
            <w:tcW w:type="dxa" w:w="1071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2028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$13.2M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$6.9M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$2.8M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$12.2M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$2.5M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$4.0M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$41.6M</w:t>
            </w:r>
          </w:p>
        </w:tc>
        <w:tc>
          <w:tcPr>
            <w:tcW w:type="dxa" w:w="1071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+97%</w:t>
            </w:r>
          </w:p>
        </w:tc>
      </w:tr>
      <w:tr>
        <w:tc>
          <w:tcPr>
            <w:tcW w:type="dxa" w:w="1071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2029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$16.6M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$9.0M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$4.5M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$20.9M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$7.0M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$10.0M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$67.9M</w:t>
            </w:r>
          </w:p>
        </w:tc>
        <w:tc>
          <w:tcPr>
            <w:tcW w:type="dxa" w:w="1071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+63%</w:t>
            </w:r>
          </w:p>
        </w:tc>
      </w:tr>
    </w:tbl>
    <w:p/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毛利 ($M)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总毛利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综合毛利率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EBITDA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净现金流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累计现金流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2025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$0.9M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37%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$0.7M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-$6.7M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-$6.7M</w:t>
            </w:r>
          </w:p>
        </w:tc>
      </w:tr>
      <w:tr>
        <w:tc>
          <w:tcPr>
            <w:tcW w:type="dxa" w:w="1606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44%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$3.2M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-$10.0M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-$16.7M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2027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$10.7M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51%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$9.2M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-$3.7M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-$20.4M</w:t>
            </w:r>
          </w:p>
        </w:tc>
      </w:tr>
      <w:tr>
        <w:tc>
          <w:tcPr>
            <w:tcW w:type="dxa" w:w="1606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$23.1M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56%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$20.6M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+$8.0M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-$12.4M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2029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$40.3M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59%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$36.9M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+$29.3M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333333"/>
                <w:sz w:val="18"/>
              </w:rPr>
              <w:t>+$16.9M</w:t>
            </w:r>
          </w:p>
        </w:tc>
      </w:tr>
    </w:tbl>
    <w:p/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CapEx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GPU 采购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设施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软件平台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CapEx 合计</w:t>
            </w:r>
          </w:p>
        </w:tc>
        <w:tc>
          <w:tcPr>
            <w:tcW w:type="dxa" w:w="1606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累计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2025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$3.8M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$3.0M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$0.5M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$7.3M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$7.3M</w:t>
            </w:r>
          </w:p>
        </w:tc>
      </w:tr>
      <w:tr>
        <w:tc>
          <w:tcPr>
            <w:tcW w:type="dxa" w:w="1606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$7.2M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$13.2M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$20.5M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2027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$6.4M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$5.0M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$1.5M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$12.9M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$33.4M</w:t>
            </w:r>
          </w:p>
        </w:tc>
      </w:tr>
      <w:tr>
        <w:tc>
          <w:tcPr>
            <w:tcW w:type="dxa" w:w="1606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$5.6M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$2.0M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$12.6M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$46.0M</w:t>
            </w:r>
          </w:p>
        </w:tc>
      </w:tr>
      <w:tr>
        <w:tc>
          <w:tcPr>
            <w:tcW w:type="dxa" w:w="1606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2029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$2.6M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$3.0M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$2.0M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$7.6M</w:t>
            </w:r>
          </w:p>
        </w:tc>
        <w:tc>
          <w:tcPr>
            <w:tcW w:type="dxa" w:w="1606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$53.6M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8. 市场规模 (TAM/SAM/SOM)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规模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年份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CAGR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928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全球 GPUaaS (TAM)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$8.21B → $26.62B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2025→2030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26.5%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MarketsandMarkets</w:t>
            </w:r>
          </w:p>
        </w:tc>
      </w:tr>
      <w:tr>
        <w:tc>
          <w:tcPr>
            <w:tcW w:type="dxa" w:w="1928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亚太 AI 数据中心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$9.59B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2025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22.7%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Asia-Pacific AI DC Report</w:t>
            </w:r>
          </w:p>
        </w:tc>
      </w:tr>
      <w:tr>
        <w:tc>
          <w:tcPr>
            <w:tcW w:type="dxa" w:w="1928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东南亚公共云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$6B → $30B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→2030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18%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LinkedIn Industry Analysis</w:t>
            </w:r>
          </w:p>
        </w:tc>
      </w:tr>
      <w:tr>
        <w:tc>
          <w:tcPr>
            <w:tcW w:type="dxa" w:w="1928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菲律宾 DC 市场 (SAM)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$633M → $1.97B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2024→2030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Mordor Intelligence</w:t>
            </w:r>
          </w:p>
        </w:tc>
      </w:tr>
      <w:tr>
        <w:tc>
          <w:tcPr>
            <w:tcW w:type="dxa" w:w="1928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菲律宾 BPO 产业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$37.38B → $102.37B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2024→2034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10.5%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IBPAP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6"/>
            <w:tcBorders>
              <w:left w:val="single" w:sz="24" w:color="D98300"/>
            </w:tcBorders>
          </w:tcPr>
          <w:p>
            <w:pPr>
              <w:spacing w:after="40"/>
            </w:pPr>
            <w:r>
              <w:rPr>
                <w:rFonts w:eastAsia="Microsoft YaHei" w:ascii="Calibri" w:hAnsi="Calibri"/>
                <w:b/>
                <w:i w:val="0"/>
                <w:color w:val="D98300"/>
                <w:sz w:val="19"/>
              </w:rPr>
              <w:t xml:space="preserve">💡 </w:t>
            </w:r>
            <w:r>
              <w:rPr>
                <w:rFonts w:eastAsia="Microsoft YaHei" w:ascii="Calibri" w:hAnsi="Calibri"/>
                <w:b w:val="0"/>
                <w:i w:val="0"/>
                <w:color w:val="554400"/>
                <w:sz w:val="19"/>
              </w:rPr>
              <w:t>PLDT 占菲律宾 DC 市场 65%，可服务市场 (SOM) 约 $411M</w:t>
            </w:r>
          </w:p>
        </w:tc>
      </w:tr>
    </w:tbl>
    <w:p/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9. PLDT VITRO 竞争定位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现状 (2025 搜索)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11 个数据中心, 计划第 12 个 ($10 亿投资)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VITRO Sta. Rosa: 50MW→100MW, NVIDIA GPU, 2025 年 4 月启用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13,000+ sqm 白空间, 已推出 GPUaaS (菲律宾首创)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占菲律宾 DC 市场 65% 份额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PLDT 2025 总收入 ₱196.2B, EBITDA ₱111.2B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差异化优势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PLDT VITRO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AWS/Azure/GCP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CoreWeave/Lambda</w:t>
            </w:r>
          </w:p>
        </w:tc>
        <w:tc>
          <w:tcPr>
            <w:tcW w:type="dxa" w:w="1928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Spheron/Vast.ai</w:t>
            </w:r>
          </w:p>
        </w:tc>
      </w:tr>
      <w:tr>
        <w:tc>
          <w:tcPr>
            <w:tcW w:type="dxa" w:w="1928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H100 $/hr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$2.69-3.20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$3.67-12.29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$2.49-2.69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$2.00-2.01</w:t>
            </w:r>
          </w:p>
        </w:tc>
      </w:tr>
      <w:tr>
        <w:tc>
          <w:tcPr>
            <w:tcW w:type="dxa" w:w="1928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数据主权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 完全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需出境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需出境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需出境</w:t>
            </w:r>
          </w:p>
        </w:tc>
      </w:tr>
      <w:tr>
        <w:tc>
          <w:tcPr>
            <w:tcW w:type="dxa" w:w="1928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本地延迟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&lt;5ms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200ms+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200ms+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不可控</w:t>
            </w:r>
          </w:p>
        </w:tc>
      </w:tr>
      <w:tr>
        <w:tc>
          <w:tcPr>
            <w:tcW w:type="dxa" w:w="1928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网络互联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 自有骨干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⬜ 第三方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⬜ 第三方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最弱</w:t>
            </w:r>
          </w:p>
        </w:tc>
      </w:tr>
      <w:tr>
        <w:tc>
          <w:tcPr>
            <w:tcW w:type="dxa" w:w="1928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AI 平台层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⬜ 待建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 成熟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⬜ 基础</w:t>
            </w:r>
          </w:p>
        </w:tc>
        <w:tc>
          <w:tcPr>
            <w:tcW w:type="dxa" w:w="1928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无</w:t>
            </w:r>
          </w:p>
        </w:tc>
      </w:tr>
      <w:tr>
        <w:tc>
          <w:tcPr>
            <w:tcW w:type="dxa" w:w="1928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BPO 生态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228B22"/>
                <w:sz w:val="18"/>
              </w:rPr>
              <w:t>✅ 深度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⬜ 有限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无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CC0000"/>
                <w:sz w:val="18"/>
              </w:rPr>
              <w:t>❌ 无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10. 关键风险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409"/>
            <w:shd w:val="clear" w:color="auto" w:fill="1F3B73"/>
          </w:tcPr>
          <w:p>
            <w:pPr>
              <w:jc w:val="center"/>
            </w:pPr>
            <w:r>
              <w:rPr>
                <w:rFonts w:ascii="" w:hAnsi="" w:eastAsia="Microsoft YaHei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GPU 利用率不足 (&lt;55%)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致命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预留合同锁定 60%+ 容量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GPU 价格快速贬值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4 年折旧 + 残值 20% 对冲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电价上涨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太阳能 PPA + RECs 对冲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国际云降价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打本地化差异化牌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人才招聘困难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远程团队 + 本地培训计划</w:t>
            </w:r>
          </w:p>
        </w:tc>
      </w:tr>
      <w:tr>
        <w:tc>
          <w:tcPr>
            <w:tcW w:type="dxa" w:w="2409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客户迁移到自建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中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MaaS 生态黏性 + 转换成本</w:t>
            </w:r>
          </w:p>
        </w:tc>
      </w:tr>
      <w:tr>
        <w:tc>
          <w:tcPr>
            <w:tcW w:type="dxa" w:w="2409"/>
            <w:shd w:val="clear" w:color="auto" w:fill="EAF0F7"/>
          </w:tcPr>
          <w:p>
            <w:r>
              <w:rPr>
                <w:rFonts w:ascii="" w:hAnsi="" w:eastAsia="Microsoft YaHei"/>
                <w:b w:val="0"/>
                <w:color w:val="333333"/>
                <w:sz w:val="18"/>
              </w:rPr>
              <w:t>地缘政治/供应链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低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高</w:t>
            </w:r>
          </w:p>
        </w:tc>
        <w:tc>
          <w:tcPr>
            <w:tcW w:type="dxa" w:w="2409"/>
            <w:shd w:val="clear" w:color="auto" w:fill="EAF0F7"/>
          </w:tcPr>
          <w:p>
            <w:pPr>
              <w:jc w:val="center"/>
            </w:pPr>
            <w:r>
              <w:rPr>
                <w:rFonts w:ascii="" w:hAnsi="" w:eastAsia="Microsoft YaHei"/>
                <w:b w:val="0"/>
                <w:color w:val="333333"/>
                <w:sz w:val="18"/>
              </w:rPr>
              <w:t>多供应商 (AMD + NVIDIA)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附录 A：数据文件清单</w:t>
      </w:r>
    </w:p>
    <w:p>
      <w:pPr>
        <w:spacing w:after="80" w:before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ai-monetization/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├── data/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raw_search_results.json      # Z.AI MCP 原始搜索数据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gpuaas_competitive_pricing.csv   # GPUaaS 竞品价格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maas_competitive_pricing.csv     # MaaS 竞品价格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└── maas_token_economics.csv         # 自托管模型 Token 经济学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├── models/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run_analysis.py              # 可复现分析脚本 (参数可调)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revenue_forecast_v2.csv      # 收入预测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gross_profit_forecast_v2.csv # 毛利预测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capex_plan_v2.csv            # CapEx 计划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cashflow_v2.csv              # 现金流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gpu_deployment_plan.csv      # GPU 部署计划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├── gpu_tco_breakdown.csv        # 单卡 TCO 分解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│   └── gross_margin_sensitivity.csv # 毛利率敏感性矩阵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>└── reports/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7"/>
              </w:rPr>
              <w:t xml:space="preserve">    └── D_AI_Monetization_Strategy_V2.md  # 本报告</w:t>
            </w:r>
          </w:p>
        </w:tc>
      </w:tr>
    </w:tbl>
    <w:p/>
    <w:p>
      <w:pPr>
        <w:pStyle w:val="Heading1"/>
        <w:jc w:val="left"/>
      </w:pPr>
      <w:r>
        <w:rPr>
          <w:rFonts w:eastAsia="Microsoft YaHei"/>
          <w:b/>
          <w:color w:val="1F3B73"/>
          <w:sz w:val="36"/>
        </w:rPr>
        <w:t>附录 B：转售中国 GPUaaS 可行性分析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B1. 电价对比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中国西部(内蒙/四川): $0.06/kWh (全球最低档)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菲律宾 PPA: $0.085/kWh (+42%)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菲律宾商业: $0.161/kWh (+168%)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中国电价确实更便宜, 但 PLDT 走 PPA 差距不大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B2. 中国 GPUaaS 源头价格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大厂(阿里/腾讯) A100: ~$4.85/hr (并不比国际便宜!)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散户(AutoDL) A100: ~$0.7/hr (极便宜, 但无 SLA)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H100 在中国: $11-17/hr (比国际更贵, 出口管制)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B3. 转售毛利率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转售 AutoDL A100: 成本$0.7 → 卖$2.69 → 毛利67% ✅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转售阿里云 A100: 成本$4.85 → 卖$4.85 → 毛利0% ❌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转售 AutoDL H100: 成本$2.5 → 卖$3.20 → 毛利22% ⚠️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B4. 五大致命问题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数据主权: 跨境数据 → 核心卖点归零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延迟: 200ms+ vs 本地5ms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无 SLA: 散户平台做不了企业级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H100 出口管制: 中国更贵</w:t>
      </w:r>
    </w:p>
    <w:p>
      <w:pPr>
        <w:pStyle w:val="ListNumber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合规风险: NPC监管 + 南海光缆</w:t>
      </w:r>
    </w:p>
    <w:p>
      <w:pPr>
        <w:pStyle w:val="Heading2"/>
        <w:jc w:val="left"/>
      </w:pPr>
      <w:r>
        <w:rPr>
          <w:rFonts w:eastAsia="Microsoft YaHei"/>
          <w:b/>
          <w:color w:val="2E5C8A"/>
          <w:sz w:val="30"/>
        </w:rPr>
        <w:t>B5. 最优策略: 混合架构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70% 本地自建 VITRO (企业客户)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30% 海外转售 (训练/溢出/开发者)</w:t>
      </w:r>
    </w:p>
    <w:p>
      <w:pPr>
        <w:pStyle w:val="ListBullet"/>
        <w:spacing w:after="40"/>
      </w:pPr>
      <w:r>
        <w:rPr>
          <w:rFonts w:eastAsia="Microsoft YaHei" w:ascii="Calibri" w:hAnsi="Calibri"/>
          <w:b w:val="0"/>
          <w:i w:val="0"/>
          <w:color w:val="333333"/>
          <w:sz w:val="20"/>
        </w:rPr>
        <w:t>CapEx 降低30%, 毛利率提升到50%</w:t>
      </w:r>
    </w:p>
    <w:p>
      <w:pPr>
        <w:pBdr>
          <w:bottom w:val="single" w:sz="6" w:space="1" w:color="1F3B73"/>
        </w:pBdr>
      </w:pPr>
    </w:p>
    <w:p>
      <w:pPr>
        <w:jc w:val="center"/>
      </w:pPr>
      <w:r>
        <w:rPr>
          <w:rFonts w:eastAsia="Microsoft YaHei" w:ascii="Calibri" w:hAnsi="Calibri"/>
          <w:b w:val="0"/>
          <w:i/>
          <w:color w:val="808080"/>
          <w:sz w:val="18"/>
        </w:rPr>
        <w:t>Generated by Prime Agent with Z.AI MCP Web Search, 2025</w:t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