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3"/>
        <w:tblW w:w="10138" w:type="dxa"/>
        <w:jc w:val="left"/>
        <w:tblInd w:w="0" w:type="dxa"/>
        <w:tblCellMar>
          <w:top w:w="0" w:type="dxa"/>
          <w:left w:w="108" w:type="dxa"/>
          <w:bottom w:w="0" w:type="dxa"/>
          <w:right w:w="108" w:type="dxa"/>
        </w:tblCellMar>
        <w:tblLook w:val="04a0" w:noHBand="0" w:noVBand="1" w:firstColumn="1" w:lastRow="0" w:lastColumn="0" w:firstRow="1"/>
      </w:tblPr>
      <w:tblGrid>
        <w:gridCol w:w="5070"/>
        <w:gridCol w:w="5067"/>
      </w:tblGrid>
      <w:tr>
        <w:trPr/>
        <w:tc>
          <w:tcPr>
            <w:tcW w:w="5070" w:type="dxa"/>
            <w:tcBorders>
              <w:top w:val="nil"/>
              <w:left w:val="nil"/>
              <w:bottom w:val="nil"/>
              <w:right w:val="nil"/>
            </w:tcBorders>
          </w:tcPr>
          <w:p>
            <w:pPr>
              <w:pStyle w:val="Normal"/>
              <w:spacing w:lineRule="auto" w:line="240" w:before="0" w:after="0"/>
              <w:rPr>
                <w:sz w:val="24"/>
                <w:szCs w:val="24"/>
              </w:rPr>
            </w:pPr>
            <w:r>
              <w:rPr>
                <w:sz w:val="24"/>
                <w:szCs w:val="24"/>
              </w:rPr>
              <w:t>Internationaler Wettbewerb für Schüler und Studenten des TRIZ Developers Summit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lang w:val="en-US"/>
              </w:rPr>
              <w:t>2</w:t>
            </w:r>
            <w:r>
              <w:rPr>
                <w:sz w:val="24"/>
                <w:szCs w:val="24"/>
              </w:rPr>
              <w:t xml:space="preserve">8 </w:t>
            </w:r>
            <w:r>
              <w:rPr>
                <w:rFonts w:eastAsia="Calibri" w:cs="" w:cstheme="minorBidi" w:eastAsiaTheme="minorHAnsi"/>
                <w:color w:val="auto"/>
                <w:kern w:val="0"/>
                <w:sz w:val="24"/>
                <w:szCs w:val="24"/>
                <w:lang w:val="ru-RU" w:eastAsia="en-US" w:bidi="ar-SA"/>
              </w:rPr>
              <w:t xml:space="preserve">Oktober </w:t>
            </w:r>
            <w:r>
              <w:rPr>
                <w:sz w:val="24"/>
                <w:szCs w:val="24"/>
              </w:rPr>
              <w:t>20</w:t>
            </w:r>
            <w:r>
              <w:rPr>
                <w:sz w:val="24"/>
                <w:szCs w:val="24"/>
                <w:lang w:val="en-US"/>
              </w:rPr>
              <w:t>20</w:t>
            </w:r>
          </w:p>
        </w:tc>
        <w:tc>
          <w:tcPr>
            <w:tcW w:w="5067" w:type="dxa"/>
            <w:tcBorders>
              <w:top w:val="nil"/>
              <w:left w:val="nil"/>
              <w:bottom w:val="nil"/>
              <w:right w:val="nil"/>
            </w:tcBorders>
          </w:tcPr>
          <w:p>
            <w:pPr>
              <w:pStyle w:val="Normal"/>
              <w:spacing w:lineRule="auto" w:line="240" w:before="0" w:after="0"/>
              <w:jc w:val="right"/>
              <w:rPr>
                <w:sz w:val="24"/>
                <w:szCs w:val="24"/>
                <w:lang w:val="en-US"/>
              </w:rPr>
            </w:pPr>
            <w:r>
              <w:rPr>
                <w:sz w:val="24"/>
                <w:szCs w:val="24"/>
                <w:lang w:val="en-US"/>
              </w:rPr>
              <w:drawing>
                <wp:anchor behindDoc="0" distT="0" distB="0" distL="114300" distR="114300" simplePos="0" locked="0" layoutInCell="1" allowOverlap="1" relativeHeight="2">
                  <wp:simplePos x="0" y="0"/>
                  <wp:positionH relativeFrom="column">
                    <wp:posOffset>1118870</wp:posOffset>
                  </wp:positionH>
                  <wp:positionV relativeFrom="paragraph">
                    <wp:posOffset>3810</wp:posOffset>
                  </wp:positionV>
                  <wp:extent cx="1828800" cy="1155065"/>
                  <wp:effectExtent l="0" t="0" r="0" b="0"/>
                  <wp:wrapTight wrapText="bothSides">
                    <wp:wrapPolygon edited="0">
                      <wp:start x="-60" y="0"/>
                      <wp:lineTo x="-60" y="21313"/>
                      <wp:lineTo x="21365" y="21313"/>
                      <wp:lineTo x="21365" y="0"/>
                      <wp:lineTo x="-60" y="0"/>
                    </wp:wrapPolygon>
                  </wp:wrapTight>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1828800" cy="1155065"/>
                          </a:xfrm>
                          <a:prstGeom prst="rect">
                            <a:avLst/>
                          </a:prstGeom>
                        </pic:spPr>
                      </pic:pic>
                    </a:graphicData>
                  </a:graphic>
                </wp:anchor>
              </w:drawing>
            </w:r>
          </w:p>
        </w:tc>
      </w:tr>
    </w:tbl>
    <w:p>
      <w:pPr>
        <w:pStyle w:val="Berschrift1"/>
        <w:numPr>
          <w:ilvl w:val="0"/>
          <w:numId w:val="2"/>
        </w:numPr>
        <w:jc w:val="center"/>
        <w:rPr/>
      </w:pPr>
      <w:r>
        <w:rPr/>
        <w:t>Informationsschreiben Nr. 1</w:t>
      </w:r>
    </w:p>
    <w:p>
      <w:pPr>
        <w:pStyle w:val="Normal"/>
        <w:spacing w:before="0" w:after="85"/>
        <w:ind w:firstLine="567"/>
        <w:jc w:val="both"/>
        <w:rPr/>
      </w:pPr>
      <w:r>
        <w:rPr>
          <w:sz w:val="24"/>
          <w:szCs w:val="24"/>
        </w:rPr>
        <w:t>Die Internationale Öffentliche Organisation "TRIZ Developers Summit" schreibt einen Wettbe</w:t>
        <w:softHyphen/>
        <w:t xml:space="preserve">werb </w:t>
      </w:r>
      <w:r>
        <w:rPr>
          <w:b/>
          <w:bCs/>
          <w:sz w:val="24"/>
          <w:szCs w:val="24"/>
        </w:rPr>
        <w:t>TRIZ Summit 2021 Cup</w:t>
      </w:r>
      <w:r>
        <w:rPr>
          <w:sz w:val="24"/>
          <w:szCs w:val="24"/>
        </w:rPr>
        <w:t xml:space="preserve"> zur Theorie des erfinderischen Problemlösens (TRIZ) für Schüler und Studenten aus. Schüler und Studenten, die TRIZ studieren, sowie TRIZ-Lehrende können am Wett</w:t>
        <w:softHyphen/>
        <w:t xml:space="preserve">bewerb teilnehmen. </w:t>
      </w:r>
    </w:p>
    <w:p>
      <w:pPr>
        <w:pStyle w:val="Normal"/>
        <w:spacing w:before="0" w:after="85"/>
        <w:ind w:firstLine="567"/>
        <w:jc w:val="both"/>
        <w:rPr/>
      </w:pPr>
      <w:r>
        <w:rPr>
          <w:sz w:val="24"/>
          <w:szCs w:val="24"/>
        </w:rPr>
        <w:t xml:space="preserve">Der Wettbewerb wird in den Kategorien </w:t>
      </w:r>
      <w:r>
        <w:rPr>
          <w:i/>
          <w:iCs/>
          <w:sz w:val="24"/>
          <w:szCs w:val="24"/>
        </w:rPr>
        <w:t>Erfinden</w:t>
      </w:r>
      <w:r>
        <w:rPr>
          <w:sz w:val="24"/>
          <w:szCs w:val="24"/>
        </w:rPr>
        <w:t xml:space="preserve">; </w:t>
      </w:r>
      <w:r>
        <w:rPr>
          <w:i/>
          <w:iCs/>
          <w:sz w:val="24"/>
          <w:szCs w:val="24"/>
        </w:rPr>
        <w:t>Fantasieren</w:t>
      </w:r>
      <w:r>
        <w:rPr>
          <w:sz w:val="24"/>
          <w:szCs w:val="24"/>
        </w:rPr>
        <w:t xml:space="preserve">; </w:t>
      </w:r>
      <w:r>
        <w:rPr>
          <w:i/>
          <w:iCs/>
          <w:sz w:val="24"/>
          <w:szCs w:val="24"/>
        </w:rPr>
        <w:t>TRIZ-Werkzeuge</w:t>
      </w:r>
      <w:r>
        <w:rPr>
          <w:sz w:val="24"/>
          <w:szCs w:val="24"/>
        </w:rPr>
        <w:t xml:space="preserve">; </w:t>
      </w:r>
      <w:r>
        <w:rPr>
          <w:i/>
          <w:iCs/>
          <w:sz w:val="24"/>
          <w:szCs w:val="24"/>
        </w:rPr>
        <w:t>Forschungs</w:t>
        <w:softHyphen/>
        <w:t>projekte</w:t>
      </w:r>
      <w:r>
        <w:rPr>
          <w:sz w:val="24"/>
          <w:szCs w:val="24"/>
        </w:rPr>
        <w:t xml:space="preserve">; </w:t>
      </w:r>
      <w:r>
        <w:rPr>
          <w:i/>
          <w:iCs/>
          <w:sz w:val="24"/>
          <w:szCs w:val="24"/>
        </w:rPr>
        <w:t>TRIZ-Videos</w:t>
      </w:r>
      <w:r>
        <w:rPr>
          <w:sz w:val="24"/>
          <w:szCs w:val="24"/>
        </w:rPr>
        <w:t xml:space="preserve"> durchgeführt. TRIZ-Lehrende reichen für den Wettbewerb Programme, metho</w:t>
        <w:softHyphen/>
        <w:t xml:space="preserve">dologische und didaktische Materialien zu TRIZ-Kursen für verschiedene Kategorien von Jugendlichen ein. </w:t>
      </w:r>
    </w:p>
    <w:p>
      <w:pPr>
        <w:pStyle w:val="Normal"/>
        <w:spacing w:before="0" w:after="85"/>
        <w:ind w:firstLine="567"/>
        <w:jc w:val="both"/>
        <w:rPr/>
      </w:pPr>
      <w:r>
        <w:rPr>
          <w:sz w:val="24"/>
          <w:szCs w:val="24"/>
        </w:rPr>
        <w:t>Die Ergebnisse des Wettbewerbs werden nach den Alterskategorien 8-10 Jahre; 11-14 Jahre; 15-17 Jahre; Studenten; Lehrer ausgewertet.</w:t>
      </w:r>
    </w:p>
    <w:p>
      <w:pPr>
        <w:pStyle w:val="Normal"/>
        <w:spacing w:before="0" w:after="85"/>
        <w:ind w:firstLine="567"/>
        <w:jc w:val="both"/>
        <w:rPr/>
      </w:pPr>
      <w:r>
        <w:rPr>
          <w:sz w:val="24"/>
          <w:szCs w:val="24"/>
        </w:rPr>
        <w:t xml:space="preserve">Die Gewinner des internationalen Wettbewerbs erhalten Diplome, Teilnehmerzertifikate und spannende Preise. </w:t>
      </w:r>
    </w:p>
    <w:p>
      <w:pPr>
        <w:pStyle w:val="Normal"/>
        <w:spacing w:before="0" w:after="85"/>
        <w:ind w:firstLine="567"/>
        <w:jc w:val="both"/>
        <w:rPr/>
      </w:pPr>
      <w:r>
        <w:rPr>
          <w:sz w:val="24"/>
          <w:szCs w:val="24"/>
        </w:rPr>
        <w:t xml:space="preserve">Der Wettbewerb findet ab dem Zeitpunkt der Versendung dieses Informationsschreibens statt und dauert bis zum </w:t>
      </w:r>
      <w:r>
        <w:rPr>
          <w:b/>
          <w:bCs/>
          <w:sz w:val="24"/>
          <w:szCs w:val="24"/>
        </w:rPr>
        <w:t>20. März 2021</w:t>
      </w:r>
      <w:r>
        <w:rPr>
          <w:sz w:val="24"/>
          <w:szCs w:val="24"/>
        </w:rPr>
        <w:t>. Das Reglement des Wettbewerbs und die Wettbewerbsaufgaben sind diesem Schreiben beigefügt. Die Arbeitssprachen des Wettbewerbs sind Russisch und Englisch. Der Wettbewerb kann in Landessprachen abgehalten werden, aber es muss ein Vertreter des Organi</w:t>
        <w:softHyphen/>
        <w:t>sationskomitees des Wettbewerbs, das diese Sprache versteht, anwesend sein, welches das Recht hat, die eingereichten Werke zu bewerten. Einreichungen werden nut elektronisch entgegengenom</w:t>
        <w:softHyphen/>
        <w:t xml:space="preserve">men. Die Adresse für die Korrespondenz und die Einsendung von Wettbewerbsbeiträgen lautet </w:t>
      </w:r>
      <w:hyperlink r:id="rId3">
        <w:r>
          <w:rPr>
            <w:rStyle w:val="Internetverknpfung"/>
            <w:sz w:val="24"/>
            <w:szCs w:val="24"/>
          </w:rPr>
          <w:t>TDS-2015@yandex.ru</w:t>
        </w:r>
      </w:hyperlink>
      <w:r>
        <w:rPr>
          <w:sz w:val="24"/>
          <w:szCs w:val="24"/>
        </w:rPr>
        <w:t xml:space="preserve">. </w:t>
      </w:r>
    </w:p>
    <w:p>
      <w:pPr>
        <w:pStyle w:val="Normal"/>
        <w:spacing w:before="0" w:after="85"/>
        <w:ind w:firstLine="567"/>
        <w:jc w:val="both"/>
        <w:rPr/>
      </w:pPr>
      <w:r>
        <w:rPr>
          <w:sz w:val="24"/>
          <w:szCs w:val="24"/>
        </w:rPr>
        <w:t xml:space="preserve">Zur Organisation des Wettbewerbs ernennt das Organisationskomitee Regionalvertreter, die die Verteilung der Wettbewerbsaufgaben sowie die Entgegennahmen und Weiterleitung der Beiträge aus der Region an das Organisationskomitee organisieren. Bitte senden Sie Ihre Bewerbungen für das Recht, Regionalvertreter des Wettbewerbs zu sein, bis zum </w:t>
      </w:r>
      <w:r>
        <w:rPr>
          <w:b/>
          <w:bCs/>
          <w:sz w:val="24"/>
          <w:szCs w:val="24"/>
        </w:rPr>
        <w:t xml:space="preserve">20. Dezember 2020 </w:t>
      </w:r>
      <w:r>
        <w:rPr>
          <w:sz w:val="24"/>
          <w:szCs w:val="24"/>
        </w:rPr>
        <w:t>ein. Regionalevertre</w:t>
        <w:softHyphen/>
        <w:t>ter haben das Recht, methodologische Empfehlungen und zusätzliche Beratung zur Organisation der regionalen Phase des Wettbewerbs zu erhalten. In einer Region kann es mehrere Wettbewerbs</w:t>
        <w:softHyphen/>
        <w:t xml:space="preserve">vertreter geben. </w:t>
      </w:r>
    </w:p>
    <w:p>
      <w:pPr>
        <w:pStyle w:val="Normal"/>
        <w:spacing w:before="0" w:after="85"/>
        <w:ind w:firstLine="567"/>
        <w:jc w:val="both"/>
        <w:rPr/>
      </w:pPr>
      <w:r>
        <w:rPr>
          <w:sz w:val="24"/>
          <w:szCs w:val="24"/>
        </w:rPr>
        <w:t xml:space="preserve">Die Ergebnisse des Wettbewerbs werden bis zum </w:t>
      </w:r>
      <w:r>
        <w:rPr>
          <w:b/>
          <w:bCs/>
          <w:sz w:val="24"/>
          <w:szCs w:val="24"/>
        </w:rPr>
        <w:t xml:space="preserve">12. April 2021 </w:t>
      </w:r>
      <w:r>
        <w:rPr>
          <w:sz w:val="24"/>
          <w:szCs w:val="24"/>
        </w:rPr>
        <w:t>bekannt gegeben. Den Gewin</w:t>
        <w:softHyphen/>
        <w:t xml:space="preserve">nern und den aktivsten Teilnehmern des Wettbewerbs werden für die Zertifizierung nach dem System "Ikarus und Dädalus" empfohlen, das von der NGO "TRIZ Developers Summit" und dem "International TRIZ Master Council (TRIZ IMS)" organisiert wird. </w:t>
      </w:r>
    </w:p>
    <w:p>
      <w:pPr>
        <w:pStyle w:val="Normal"/>
        <w:spacing w:before="0" w:after="85"/>
        <w:ind w:firstLine="567"/>
        <w:jc w:val="both"/>
        <w:rPr/>
      </w:pPr>
      <w:r>
        <w:rPr>
          <w:sz w:val="24"/>
          <w:szCs w:val="24"/>
        </w:rPr>
        <w:t>Organisationskomitee für den Wettbewerb: N.V. Rubina, M.S. Rubin, P.R. Amnuel.</w:t>
      </w:r>
    </w:p>
    <w:sectPr>
      <w:type w:val="nextPage"/>
      <w:pgSz w:w="11906" w:h="16838"/>
      <w:pgMar w:left="1134"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09a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Style13" w:customStyle="1">
    <w:name w:val="Текст выноски Знак"/>
    <w:basedOn w:val="DefaultParagraphFont"/>
    <w:link w:val="a4"/>
    <w:uiPriority w:val="99"/>
    <w:semiHidden/>
    <w:qFormat/>
    <w:rsid w:val="009109a6"/>
    <w:rPr>
      <w:rFonts w:ascii="Tahoma" w:hAnsi="Tahoma" w:cs="Tahoma"/>
      <w:sz w:val="16"/>
      <w:szCs w:val="16"/>
    </w:rPr>
  </w:style>
  <w:style w:type="character" w:styleId="Internetverknpfung">
    <w:name w:val="Internetverknüpfung"/>
    <w:basedOn w:val="DefaultParagraphFont"/>
    <w:uiPriority w:val="99"/>
    <w:unhideWhenUsed/>
    <w:rsid w:val="003660c3"/>
    <w:rPr>
      <w:color w:val="0000FF" w:themeColor="hyperlink"/>
      <w:u w:val="singl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BalloonText">
    <w:name w:val="Balloon Text"/>
    <w:basedOn w:val="Normal"/>
    <w:link w:val="a5"/>
    <w:uiPriority w:val="99"/>
    <w:semiHidden/>
    <w:unhideWhenUsed/>
    <w:qFormat/>
    <w:rsid w:val="009109a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59"/>
    <w:rsid w:val="009109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TDS-2015@yandex.r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LibreOffice/6.4.6.2$Linux_X86_64 LibreOffice_project/40$Build-2</Application>
  <Pages>1</Pages>
  <Words>326</Words>
  <Characters>2286</Characters>
  <CharactersWithSpaces>2608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2018-09-18T19:58:00Z</dcterms:created>
  <dc:creator>Natalya PC</dc:creator>
  <dc:description/>
  <dc:language>de-DE</dc:language>
  <cp:lastModifiedBy/>
  <dcterms:modified xsi:type="dcterms:W3CDTF">2020-11-16T09:15:14Z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