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138" w:type="dxa"/>
        <w:jc w:val="left"/>
        <w:tblInd w:w="0" w:type="dxa"/>
        <w:tblCellMar>
          <w:top w:w="0" w:type="dxa"/>
          <w:left w:w="108" w:type="dxa"/>
          <w:bottom w:w="0" w:type="dxa"/>
          <w:right w:w="108" w:type="dxa"/>
        </w:tblCellMar>
        <w:tblLook w:val="04a0" w:noHBand="0" w:noVBand="1" w:firstColumn="1" w:lastRow="0" w:lastColumn="0" w:firstRow="1"/>
      </w:tblPr>
      <w:tblGrid>
        <w:gridCol w:w="5070"/>
        <w:gridCol w:w="5067"/>
      </w:tblGrid>
      <w:tr>
        <w:trPr/>
        <w:tc>
          <w:tcPr>
            <w:tcW w:w="5070" w:type="dxa"/>
            <w:tcBorders>
              <w:top w:val="nil"/>
              <w:left w:val="nil"/>
              <w:bottom w:val="nil"/>
              <w:right w:val="nil"/>
            </w:tcBorders>
          </w:tcPr>
          <w:p>
            <w:pPr>
              <w:pStyle w:val="Normal"/>
              <w:spacing w:lineRule="auto" w:line="240" w:before="0" w:after="0"/>
              <w:rPr>
                <w:sz w:val="24"/>
                <w:szCs w:val="24"/>
              </w:rPr>
            </w:pPr>
            <w:r>
              <w:rPr>
                <w:sz w:val="24"/>
                <w:szCs w:val="24"/>
              </w:rPr>
              <w:t>International contest for pupils and students of the TRIZ Developers Summit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lang w:val="en-US"/>
              </w:rPr>
              <w:t>2</w:t>
            </w:r>
            <w:r>
              <w:rPr>
                <w:sz w:val="24"/>
                <w:szCs w:val="24"/>
              </w:rPr>
              <w:t xml:space="preserve">8 </w:t>
            </w:r>
            <w:r>
              <w:rPr>
                <w:rFonts w:eastAsia="Calibri" w:cs="" w:cstheme="minorBidi" w:eastAsiaTheme="minorHAnsi"/>
                <w:color w:val="auto"/>
                <w:kern w:val="0"/>
                <w:sz w:val="24"/>
                <w:szCs w:val="24"/>
                <w:lang w:val="ru-RU" w:eastAsia="en-US" w:bidi="ar-SA"/>
              </w:rPr>
              <w:t xml:space="preserve">October </w:t>
            </w:r>
            <w:r>
              <w:rPr>
                <w:sz w:val="24"/>
                <w:szCs w:val="24"/>
              </w:rPr>
              <w:t>20</w:t>
            </w:r>
            <w:r>
              <w:rPr>
                <w:sz w:val="24"/>
                <w:szCs w:val="24"/>
                <w:lang w:val="en-US"/>
              </w:rPr>
              <w:t>20</w:t>
            </w:r>
            <w:r>
              <w:rPr>
                <w:sz w:val="24"/>
                <w:szCs w:val="24"/>
              </w:rPr>
              <w:t xml:space="preserve"> </w:t>
            </w:r>
          </w:p>
        </w:tc>
        <w:tc>
          <w:tcPr>
            <w:tcW w:w="5067" w:type="dxa"/>
            <w:tcBorders>
              <w:top w:val="nil"/>
              <w:left w:val="nil"/>
              <w:bottom w:val="nil"/>
              <w:right w:val="nil"/>
            </w:tcBorders>
          </w:tcPr>
          <w:p>
            <w:pPr>
              <w:pStyle w:val="Normal"/>
              <w:spacing w:lineRule="auto" w:line="240" w:before="0" w:after="0"/>
              <w:jc w:val="right"/>
              <w:rPr>
                <w:sz w:val="24"/>
                <w:szCs w:val="24"/>
                <w:lang w:val="en-US"/>
              </w:rPr>
            </w:pPr>
            <w:r>
              <w:rPr>
                <w:sz w:val="24"/>
                <w:szCs w:val="24"/>
                <w:lang w:val="en-US"/>
              </w:rPr>
              <w:drawing>
                <wp:anchor behindDoc="0" distT="0" distB="0" distL="114300" distR="114300" simplePos="0" locked="0" layoutInCell="1" allowOverlap="1" relativeHeight="2">
                  <wp:simplePos x="0" y="0"/>
                  <wp:positionH relativeFrom="column">
                    <wp:posOffset>1118870</wp:posOffset>
                  </wp:positionH>
                  <wp:positionV relativeFrom="paragraph">
                    <wp:posOffset>3810</wp:posOffset>
                  </wp:positionV>
                  <wp:extent cx="1828800" cy="1155065"/>
                  <wp:effectExtent l="0" t="0" r="0" b="0"/>
                  <wp:wrapTight wrapText="bothSides">
                    <wp:wrapPolygon edited="0">
                      <wp:start x="-85" y="0"/>
                      <wp:lineTo x="-85" y="21282"/>
                      <wp:lineTo x="21360" y="21282"/>
                      <wp:lineTo x="21360" y="0"/>
                      <wp:lineTo x="-85" y="0"/>
                    </wp:wrapPolygon>
                  </wp:wrapTight>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828800" cy="1155065"/>
                          </a:xfrm>
                          <a:prstGeom prst="rect">
                            <a:avLst/>
                          </a:prstGeom>
                        </pic:spPr>
                      </pic:pic>
                    </a:graphicData>
                  </a:graphic>
                </wp:anchor>
              </w:drawing>
            </w:r>
          </w:p>
        </w:tc>
      </w:tr>
    </w:tbl>
    <w:p>
      <w:pPr>
        <w:pStyle w:val="Berschrift1"/>
        <w:numPr>
          <w:ilvl w:val="0"/>
          <w:numId w:val="2"/>
        </w:numPr>
        <w:jc w:val="center"/>
        <w:rPr/>
      </w:pPr>
      <w:r>
        <w:rPr/>
        <w:t>Information letter No. 1</w:t>
      </w:r>
    </w:p>
    <w:p>
      <w:pPr>
        <w:pStyle w:val="Normal"/>
        <w:ind w:firstLine="567"/>
        <w:jc w:val="both"/>
        <w:rPr/>
      </w:pPr>
      <w:r>
        <w:rPr>
          <w:sz w:val="24"/>
          <w:szCs w:val="24"/>
        </w:rPr>
        <w:t xml:space="preserve">The international public organisation TRIZ Developer Summit announces a competition on the Theory of Inventive Problem Solving (TRIZ) for schoolchildren and students </w:t>
      </w:r>
      <w:r>
        <w:rPr>
          <w:b/>
          <w:bCs/>
          <w:i w:val="false"/>
          <w:iCs w:val="false"/>
          <w:sz w:val="24"/>
          <w:szCs w:val="24"/>
        </w:rPr>
        <w:t>TRIZ Summit 2021 Cup</w:t>
      </w:r>
      <w:r>
        <w:rPr>
          <w:sz w:val="24"/>
          <w:szCs w:val="24"/>
        </w:rPr>
        <w:t xml:space="preserve">. Pupils and students studying TRIZ, as well as TRIZ teachers, may take part in the contest. </w:t>
      </w:r>
    </w:p>
    <w:p>
      <w:pPr>
        <w:pStyle w:val="Normal"/>
        <w:ind w:firstLine="567"/>
        <w:jc w:val="both"/>
        <w:rPr/>
      </w:pPr>
      <w:r>
        <w:rPr>
          <w:sz w:val="24"/>
          <w:szCs w:val="24"/>
        </w:rPr>
        <w:t xml:space="preserve">The competition is held in the categories: </w:t>
      </w:r>
      <w:r>
        <w:rPr>
          <w:i/>
          <w:iCs/>
          <w:sz w:val="24"/>
          <w:szCs w:val="24"/>
        </w:rPr>
        <w:t>Invention</w:t>
      </w:r>
      <w:r>
        <w:rPr>
          <w:sz w:val="24"/>
          <w:szCs w:val="24"/>
        </w:rPr>
        <w:t xml:space="preserve">; </w:t>
      </w:r>
      <w:r>
        <w:rPr>
          <w:i/>
          <w:iCs/>
          <w:sz w:val="24"/>
          <w:szCs w:val="24"/>
        </w:rPr>
        <w:t>Fantasy</w:t>
      </w:r>
      <w:r>
        <w:rPr>
          <w:sz w:val="24"/>
          <w:szCs w:val="24"/>
        </w:rPr>
        <w:t xml:space="preserve">; </w:t>
      </w:r>
      <w:r>
        <w:rPr>
          <w:i/>
          <w:iCs/>
          <w:sz w:val="24"/>
          <w:szCs w:val="24"/>
        </w:rPr>
        <w:t>TRIZ Tools</w:t>
      </w:r>
      <w:r>
        <w:rPr>
          <w:sz w:val="24"/>
          <w:szCs w:val="24"/>
        </w:rPr>
        <w:t xml:space="preserve">; </w:t>
      </w:r>
      <w:r>
        <w:rPr>
          <w:i/>
          <w:iCs/>
          <w:sz w:val="24"/>
          <w:szCs w:val="24"/>
        </w:rPr>
        <w:t>Research projects</w:t>
      </w:r>
      <w:r>
        <w:rPr>
          <w:sz w:val="24"/>
          <w:szCs w:val="24"/>
        </w:rPr>
        <w:t xml:space="preserve">; </w:t>
      </w:r>
      <w:r>
        <w:rPr>
          <w:i/>
          <w:iCs/>
          <w:sz w:val="24"/>
          <w:szCs w:val="24"/>
        </w:rPr>
        <w:t>TRIZ videos</w:t>
      </w:r>
      <w:r>
        <w:rPr>
          <w:sz w:val="24"/>
          <w:szCs w:val="24"/>
        </w:rPr>
        <w:t xml:space="preserve">. TRIZ instructors submit programs, methodological and didactical materials for different categories of students on TRIZ to the contest. </w:t>
      </w:r>
    </w:p>
    <w:p>
      <w:pPr>
        <w:pStyle w:val="Normal"/>
        <w:ind w:firstLine="567"/>
        <w:jc w:val="both"/>
        <w:rPr/>
      </w:pPr>
      <w:r>
        <w:rPr>
          <w:sz w:val="24"/>
          <w:szCs w:val="24"/>
        </w:rPr>
        <w:t>The results of the contest will be summed up by age categories: 8-10 years; 11-14 years; 15-17 years; students; teachers.</w:t>
      </w:r>
    </w:p>
    <w:p>
      <w:pPr>
        <w:pStyle w:val="Normal"/>
        <w:ind w:firstLine="567"/>
        <w:jc w:val="both"/>
        <w:rPr/>
      </w:pPr>
      <w:r>
        <w:rPr>
          <w:sz w:val="24"/>
          <w:szCs w:val="24"/>
        </w:rPr>
        <w:t xml:space="preserve">The winners of the international competition will receive diplomas, participant certificates and memorable prizes. </w:t>
      </w:r>
    </w:p>
    <w:p>
      <w:pPr>
        <w:pStyle w:val="Normal"/>
        <w:ind w:firstLine="567"/>
        <w:jc w:val="both"/>
        <w:rPr/>
      </w:pPr>
      <w:r>
        <w:rPr>
          <w:sz w:val="24"/>
          <w:szCs w:val="24"/>
        </w:rPr>
        <w:t xml:space="preserve">The competition is held from the moment this information letter is sent out and will continue until </w:t>
      </w:r>
      <w:r>
        <w:rPr>
          <w:b/>
          <w:bCs/>
          <w:sz w:val="24"/>
          <w:szCs w:val="24"/>
        </w:rPr>
        <w:t>20 March 2021</w:t>
      </w:r>
      <w:r>
        <w:rPr>
          <w:sz w:val="24"/>
          <w:szCs w:val="24"/>
        </w:rPr>
        <w:t xml:space="preserve">. The Regulations for the competition and competition tasks are attached to this letter. The working languages of the competition are Russian and English. The Competition may be held in national languages, but there must be a representative of the Competition Organising Committee who works in this language and has the right to evaluate submitted works. All submissions are accepted in electronic form only. Address for correspondence and submission of contributions: </w:t>
      </w:r>
      <w:hyperlink r:id="rId3">
        <w:r>
          <w:rPr>
            <w:rStyle w:val="Internetverknpfung"/>
            <w:sz w:val="24"/>
            <w:szCs w:val="24"/>
          </w:rPr>
          <w:t>TDS-2015@yandex.ru</w:t>
        </w:r>
      </w:hyperlink>
      <w:r>
        <w:rPr>
          <w:sz w:val="24"/>
          <w:szCs w:val="24"/>
        </w:rPr>
        <w:t xml:space="preserve">.  </w:t>
      </w:r>
    </w:p>
    <w:p>
      <w:pPr>
        <w:pStyle w:val="Normal"/>
        <w:ind w:firstLine="567"/>
        <w:jc w:val="both"/>
        <w:rPr/>
      </w:pPr>
      <w:r>
        <w:rPr>
          <w:sz w:val="24"/>
          <w:szCs w:val="24"/>
        </w:rPr>
        <w:t>In order to organise the Competition, the Organising Committee appoints its regional represen</w:t>
        <w:softHyphen/>
        <w:t xml:space="preserve">tatives, who will organise the distribution of the competition tasks and the receipt and dispatch of responses to the Competition Organising Committee. Please send your applications for the right to represent the competition </w:t>
      </w:r>
      <w:r>
        <w:rPr>
          <w:b/>
          <w:bCs/>
          <w:sz w:val="24"/>
          <w:szCs w:val="24"/>
        </w:rPr>
        <w:t>until 20 December 2020</w:t>
      </w:r>
      <w:r>
        <w:rPr>
          <w:sz w:val="24"/>
          <w:szCs w:val="24"/>
        </w:rPr>
        <w:t xml:space="preserve">. Regional representatives have the right to receive methodological recommendations and additional advice on organising the regional stage of the competition. There may be several competition representatives in one region. </w:t>
      </w:r>
    </w:p>
    <w:p>
      <w:pPr>
        <w:pStyle w:val="Normal"/>
        <w:ind w:firstLine="567"/>
        <w:jc w:val="both"/>
        <w:rPr/>
      </w:pPr>
      <w:r>
        <w:rPr>
          <w:sz w:val="24"/>
          <w:szCs w:val="24"/>
        </w:rPr>
        <w:t xml:space="preserve">The results of the competition will be announced by </w:t>
      </w:r>
      <w:r>
        <w:rPr>
          <w:b/>
          <w:bCs/>
          <w:sz w:val="24"/>
          <w:szCs w:val="24"/>
        </w:rPr>
        <w:t>12 April 2021</w:t>
      </w:r>
      <w:r>
        <w:rPr>
          <w:sz w:val="24"/>
          <w:szCs w:val="24"/>
        </w:rPr>
        <w:t xml:space="preserve">. The winners and most active participants of the competition will be recommended for certification under the Icarus &amp; Daedalus system organised by the TRIZ Developers Summit and the International Association of International TRIZ Master Council (TRIZ IMS). </w:t>
      </w:r>
    </w:p>
    <w:p>
      <w:pPr>
        <w:pStyle w:val="Normal"/>
        <w:spacing w:before="0" w:after="200"/>
        <w:ind w:firstLine="567"/>
        <w:jc w:val="both"/>
        <w:rPr>
          <w:sz w:val="24"/>
          <w:szCs w:val="24"/>
        </w:rPr>
      </w:pPr>
      <w:r>
        <w:rPr>
          <w:sz w:val="24"/>
          <w:szCs w:val="24"/>
        </w:rPr>
        <w:t>Competition Organizing Committee: N.V. Rubina, M.S. Rubin, P.R. Amnuel</w:t>
      </w:r>
    </w:p>
    <w:sectPr>
      <w:type w:val="nextPage"/>
      <w:pgSz w:w="11906" w:h="16838"/>
      <w:pgMar w:left="1134"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09a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4"/>
    <w:uiPriority w:val="99"/>
    <w:semiHidden/>
    <w:qFormat/>
    <w:rsid w:val="009109a6"/>
    <w:rPr>
      <w:rFonts w:ascii="Tahoma" w:hAnsi="Tahoma" w:cs="Tahoma"/>
      <w:sz w:val="16"/>
      <w:szCs w:val="16"/>
    </w:rPr>
  </w:style>
  <w:style w:type="character" w:styleId="Internetverknpfung">
    <w:name w:val="Internetverknüpfung"/>
    <w:basedOn w:val="DefaultParagraphFont"/>
    <w:uiPriority w:val="99"/>
    <w:unhideWhenUsed/>
    <w:rsid w:val="003660c3"/>
    <w:rPr>
      <w:color w:val="0000FF" w:themeColor="hyperlink"/>
      <w:u w:val="single"/>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BalloonText">
    <w:name w:val="Balloon Text"/>
    <w:basedOn w:val="Normal"/>
    <w:link w:val="a5"/>
    <w:uiPriority w:val="99"/>
    <w:semiHidden/>
    <w:unhideWhenUsed/>
    <w:qFormat/>
    <w:rsid w:val="009109a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9109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TDS-2015@yandex.r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LibreOffice/6.4.6.2$Linux_X86_64 LibreOffice_project/40$Build-2</Application>
  <Pages>1</Pages>
  <Words>354</Words>
  <Characters>2081</Characters>
  <CharactersWithSpaces>2433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2018-09-18T19:58:00Z</dcterms:created>
  <dc:creator>Natalya PC</dc:creator>
  <dc:description/>
  <dc:language>de-DE</dc:language>
  <cp:lastModifiedBy/>
  <dcterms:modified xsi:type="dcterms:W3CDTF">2020-11-16T09:13:23Z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