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1.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8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Inhaltsverzeichnisberschrift"/>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3</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11</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14</w:t>
        </w:r>
      </w:hyperlink>
    </w:p>
    <w:p>
      <w:pPr>
        <w:pStyle w:val="Inhaltsverzeichnis3"/>
        <w:tabs>
          <w:tab w:val="right" w:pos="9638" w:leader="dot"/>
        </w:tabs>
        <w:rPr/>
      </w:pPr>
      <w:hyperlink w:anchor="__RefHeading___Toc4462_3374853057">
        <w:r>
          <w:rPr>
            <w:rStyle w:val="Verzeichnissprung"/>
          </w:rPr>
          <w:t>III.3.2. Partner number – P2 – (HS Offenburg – HSO</w:t>
        </w:r>
        <w:r>
          <w:rPr>
            <w:rStyle w:val="Verzeichnissprung"/>
            <w:i/>
          </w:rPr>
          <w:t>)</w:t>
        </w:r>
        <w:r>
          <w:rPr>
            <w:rStyle w:val="Verzeichnissprung"/>
          </w:rPr>
          <w:tab/>
          <w:t>16</w:t>
        </w:r>
      </w:hyperlink>
    </w:p>
    <w:p>
      <w:pPr>
        <w:pStyle w:val="Inhaltsverzeichnis3"/>
        <w:tabs>
          <w:tab w:val="right" w:pos="9638" w:leader="dot"/>
        </w:tabs>
        <w:rPr/>
      </w:pPr>
      <w:hyperlink w:anchor="__RefHeading___Toc4464_3374853057">
        <w:r>
          <w:rPr>
            <w:rStyle w:val="Verzeichnissprung"/>
          </w:rPr>
          <w:t>III.3.3. Partner number – P3 – (INSA Strasbourg – INSA</w:t>
        </w:r>
        <w:r>
          <w:rPr>
            <w:rStyle w:val="Verzeichnissprung"/>
            <w:i/>
          </w:rPr>
          <w:t>)</w:t>
        </w:r>
        <w:r>
          <w:rPr>
            <w:rStyle w:val="Verzeichnissprung"/>
          </w:rPr>
          <w:tab/>
          <w:t>19</w:t>
        </w:r>
      </w:hyperlink>
    </w:p>
    <w:p>
      <w:pPr>
        <w:pStyle w:val="Inhaltsverzeichnis3"/>
        <w:tabs>
          <w:tab w:val="right" w:pos="9638" w:leader="dot"/>
        </w:tabs>
        <w:rPr/>
      </w:pPr>
      <w:hyperlink w:anchor="__RefHeading___Toc4466_3374853057">
        <w:r>
          <w:rPr>
            <w:rStyle w:val="Verzeichnissprung"/>
          </w:rPr>
          <w:t>III.3.4. Partner number – P4 – (BUT Brno – BUT</w:t>
        </w:r>
        <w:r>
          <w:rPr>
            <w:rStyle w:val="Verzeichnissprung"/>
            <w:i w:val="false"/>
            <w:iCs w:val="false"/>
          </w:rPr>
          <w:t>)</w:t>
        </w:r>
        <w:r>
          <w:rPr>
            <w:rStyle w:val="Verzeichnissprung"/>
          </w:rPr>
          <w:tab/>
          <w:t>20</w:t>
        </w:r>
      </w:hyperlink>
    </w:p>
    <w:p>
      <w:pPr>
        <w:pStyle w:val="Inhaltsverzeichnis3"/>
        <w:tabs>
          <w:tab w:val="right" w:pos="9638" w:leader="dot"/>
        </w:tabs>
        <w:rPr/>
      </w:pPr>
      <w:hyperlink w:anchor="__RefHeading___Toc4468_3374853057">
        <w:r>
          <w:rPr>
            <w:rStyle w:val="Verzeichnissprung"/>
          </w:rPr>
          <w:t>III.3.5. Partner number – P5 – (UTC Cluj-Napoca – UTC</w:t>
        </w:r>
        <w:r>
          <w:rPr>
            <w:rStyle w:val="Verzeichnissprung"/>
            <w:i w:val="false"/>
            <w:iCs w:val="false"/>
          </w:rPr>
          <w:t>)</w:t>
        </w:r>
        <w:r>
          <w:rPr>
            <w:rStyle w:val="Verzeichnissprung"/>
          </w:rPr>
          <w:tab/>
          <w:t>21</w:t>
        </w:r>
      </w:hyperlink>
    </w:p>
    <w:p>
      <w:pPr>
        <w:pStyle w:val="Inhaltsverzeichnis3"/>
        <w:tabs>
          <w:tab w:val="right" w:pos="9638" w:leader="dot"/>
        </w:tabs>
        <w:rPr/>
      </w:pPr>
      <w:hyperlink w:anchor="__RefHeading___Toc4470_3374853057">
        <w:r>
          <w:rPr>
            <w:rStyle w:val="Verzeichnissprung"/>
          </w:rPr>
          <w:t>III.3.6. Partner number – P6 – (</w:t>
        </w:r>
        <w:r>
          <w:rPr>
            <w:rStyle w:val="Verzeichnissprung"/>
            <w:i w:val="false"/>
            <w:iCs w:val="false"/>
          </w:rPr>
          <w:t>LUT Lappenranta – LUT)</w:t>
        </w:r>
        <w:r>
          <w:rPr>
            <w:rStyle w:val="Verzeichnissprung"/>
          </w:rPr>
          <w:tab/>
          <w:t>23</w:t>
        </w:r>
      </w:hyperlink>
    </w:p>
    <w:p>
      <w:pPr>
        <w:pStyle w:val="Inhaltsverzeichnis3"/>
        <w:tabs>
          <w:tab w:val="right" w:pos="9638" w:leader="dot"/>
        </w:tabs>
        <w:rPr/>
      </w:pPr>
      <w:hyperlink w:anchor="__RefHeading___Toc4472_3374853057">
        <w:r>
          <w:rPr>
            <w:rStyle w:val="Verzeichnissprung"/>
          </w:rPr>
          <w:t>III.3.7. Partner number – P7 – (Jantschgi C&amp;R – Jantschgi)</w:t>
          <w:tab/>
          <w:t>24</w:t>
        </w:r>
      </w:hyperlink>
    </w:p>
    <w:p>
      <w:pPr>
        <w:pStyle w:val="Inhaltsverzeichnis3"/>
        <w:tabs>
          <w:tab w:val="right" w:pos="9638" w:leader="dot"/>
        </w:tabs>
        <w:rPr/>
      </w:pPr>
      <w:hyperlink w:anchor="__RefHeading___Toc4474_3374853057">
        <w:r>
          <w:rPr>
            <w:rStyle w:val="Verzeichnissprung"/>
          </w:rPr>
          <w:t>III.3.8. Partner number – P8 – (</w:t>
        </w:r>
        <w:r>
          <w:rPr>
            <w:rStyle w:val="Verzeichnissprung"/>
            <w:i w:val="false"/>
            <w:iCs w:val="false"/>
          </w:rPr>
          <w:t>Schaeffler AG – Schaeffler)</w:t>
        </w:r>
        <w:r>
          <w:rPr>
            <w:rStyle w:val="Verzeichnissprung"/>
          </w:rPr>
          <w:tab/>
          <w:t>25</w:t>
        </w:r>
      </w:hyperlink>
    </w:p>
    <w:p>
      <w:pPr>
        <w:pStyle w:val="Inhaltsverzeichnis3"/>
        <w:tabs>
          <w:tab w:val="right" w:pos="9638" w:leader="dot"/>
        </w:tabs>
        <w:rPr/>
      </w:pPr>
      <w:hyperlink w:anchor="__RefHeading___Toc9667_2808305147">
        <w:r>
          <w:rPr>
            <w:rStyle w:val="Verzeichnissprung"/>
          </w:rPr>
          <w:t>III.3.9. Partner number – P9 – (Arxia SRL – Arxia</w:t>
        </w:r>
        <w:r>
          <w:rPr>
            <w:rStyle w:val="Verzeichnissprung"/>
            <w:i w:val="false"/>
            <w:iCs w:val="false"/>
          </w:rPr>
          <w:t>)</w:t>
        </w:r>
        <w:r>
          <w:rPr>
            <w:rStyle w:val="Verzeichnissprung"/>
          </w:rPr>
          <w:tab/>
          <w:t>26</w:t>
        </w:r>
      </w:hyperlink>
    </w:p>
    <w:p>
      <w:pPr>
        <w:pStyle w:val="Inhaltsverzeichnis3"/>
        <w:tabs>
          <w:tab w:val="right" w:pos="9638" w:leader="dot"/>
        </w:tabs>
        <w:rPr/>
      </w:pPr>
      <w:hyperlink w:anchor="__RefHeading___Toc5740_3453647945">
        <w:r>
          <w:rPr>
            <w:rStyle w:val="Verzeichnissprung"/>
          </w:rPr>
          <w:t>III.3.10. Partner number – P10 – (Tehnoprod Plast SRL – TechnoPlast</w:t>
        </w:r>
        <w:r>
          <w:rPr>
            <w:rStyle w:val="Verzeichnissprung"/>
            <w:i w:val="false"/>
            <w:iCs w:val="false"/>
          </w:rPr>
          <w:t>)</w:t>
        </w:r>
        <w:r>
          <w:rPr>
            <w:rStyle w:val="Verzeichnissprung"/>
          </w:rPr>
          <w:tab/>
          <w:t>27</w:t>
        </w:r>
      </w:hyperlink>
    </w:p>
    <w:p>
      <w:pPr>
        <w:pStyle w:val="Inhaltsverzeichnis3"/>
        <w:tabs>
          <w:tab w:val="right" w:pos="9638" w:leader="dot"/>
        </w:tabs>
        <w:rPr/>
      </w:pPr>
      <w:hyperlink w:anchor="__RefHeading___Toc5742_3453647945">
        <w:r>
          <w:rPr>
            <w:rStyle w:val="Verzeichnissprung"/>
          </w:rPr>
          <w:t>III.3.11. Partner number – P11 – (Farmec SA – Farmec</w:t>
        </w:r>
        <w:r>
          <w:rPr>
            <w:rStyle w:val="Verzeichnissprung"/>
            <w:i w:val="false"/>
            <w:iCs w:val="false"/>
          </w:rPr>
          <w:t>)</w:t>
        </w:r>
        <w:r>
          <w:rPr>
            <w:rStyle w:val="Verzeichnissprung"/>
          </w:rPr>
          <w:tab/>
          <w:t>28</w:t>
        </w:r>
      </w:hyperlink>
    </w:p>
    <w:p>
      <w:pPr>
        <w:pStyle w:val="Inhaltsverzeichnis3"/>
        <w:tabs>
          <w:tab w:val="right" w:pos="9638" w:leader="dot"/>
        </w:tabs>
        <w:rPr/>
      </w:pPr>
      <w:hyperlink w:anchor="__RefHeading___Toc9673_2808305147">
        <w:r>
          <w:rPr>
            <w:rStyle w:val="Verzeichnissprung"/>
          </w:rPr>
          <w:t>III.3.12. Partner number – P12 – (Target Invention Minsk – TIM)</w:t>
          <w:tab/>
          <w:t>29</w:t>
        </w:r>
      </w:hyperlink>
    </w:p>
    <w:p>
      <w:pPr>
        <w:pStyle w:val="Inhaltsverzeichnis3"/>
        <w:tabs>
          <w:tab w:val="right" w:pos="9638" w:leader="dot"/>
        </w:tabs>
        <w:rPr/>
      </w:pPr>
      <w:hyperlink w:anchor="__RefHeading___Toc4478_3374853057">
        <w:r>
          <w:rPr>
            <w:rStyle w:val="Verzeichnissprung"/>
          </w:rPr>
          <w:t>III.3.13. Partner number – P13 – (NPK Consult Moscow – NPK)</w:t>
          <w:tab/>
          <w:t>30</w:t>
        </w:r>
      </w:hyperlink>
    </w:p>
    <w:p>
      <w:pPr>
        <w:pStyle w:val="Inhaltsverzeichnis3"/>
        <w:tabs>
          <w:tab w:val="right" w:pos="9638" w:leader="dot"/>
        </w:tabs>
        <w:rPr/>
      </w:pPr>
      <w:hyperlink w:anchor="__RefHeading___Toc4480_3374853057">
        <w:r>
          <w:rPr>
            <w:rStyle w:val="Verzeichnissprung"/>
          </w:rPr>
          <w:t>III.3.14. Partner number – P14 – (BM TRIZ Chelyabinsk – BM-TRIZ)</w:t>
          <w:tab/>
          <w:t>31</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33</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36</w:t>
        </w:r>
      </w:hyperlink>
    </w:p>
    <w:p>
      <w:pPr>
        <w:pStyle w:val="Inhaltsverzeichnis1"/>
        <w:tabs>
          <w:tab w:val="right" w:pos="9638" w:leader="dot"/>
        </w:tabs>
        <w:rPr/>
      </w:pPr>
      <w:hyperlink w:anchor="__RefHeading___Toc4486_3374853057">
        <w:r>
          <w:rPr>
            <w:rStyle w:val="Verzeichnissprung"/>
          </w:rPr>
          <w:t>PART VI. Additional project information (if applicable)</w:t>
          <w:tab/>
          <w:t>37</w:t>
        </w:r>
      </w:hyperlink>
    </w:p>
    <w:p>
      <w:pPr>
        <w:pStyle w:val="Inhaltsverzeichnis1"/>
        <w:tabs>
          <w:tab w:val="right" w:pos="9638" w:leader="dot"/>
        </w:tabs>
        <w:rPr/>
      </w:pPr>
      <w:hyperlink w:anchor="__RefHeading___Toc4488_3374853057">
        <w:r>
          <w:rPr>
            <w:rStyle w:val="Verzeichnissprung"/>
          </w:rPr>
          <w:t>PART VII. Work Plan and Work Packages</w:t>
          <w:tab/>
          <w:t>38</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57</w:t>
        </w:r>
      </w:hyperlink>
    </w:p>
    <w:p>
      <w:pPr>
        <w:pStyle w:val="Inhaltsverzeichnis1"/>
        <w:tabs>
          <w:tab w:val="right" w:pos="9638" w:leader="dot"/>
        </w:tabs>
        <w:rPr/>
      </w:pPr>
      <w:hyperlink w:anchor="__RefHeading___Toc4492_3374853057">
        <w:r>
          <w:rPr>
            <w:rStyle w:val="Verzeichnissprung"/>
          </w:rPr>
          <w:t>Annex – Affiliated Entities (if applicable)</w:t>
          <w:tab/>
          <w:t>58</w:t>
        </w:r>
      </w:hyperlink>
    </w:p>
    <w:p>
      <w:pPr>
        <w:pStyle w:val="Normal"/>
        <w:jc w:val="center"/>
        <w:rPr/>
      </w:pPr>
      <w:r>
        <w:rPr/>
      </w:r>
      <w:r>
        <w:rPr/>
        <w:fldChar w:fldCharType="end"/>
      </w:r>
    </w:p>
    <w:p>
      <w:pPr>
        <w:pStyle w:val="Inhaltsverzeichnis1"/>
        <w:tabs>
          <w:tab w:val="right" w:pos="9638" w:leader="dot"/>
        </w:tabs>
        <w:rPr>
          <w:vanish w:val="false"/>
        </w:rPr>
      </w:pPr>
      <w:r>
        <w:rPr/>
      </w:r>
      <w:r>
        <w:br w:type="page"/>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target of SIM are the 20% Pareto-hard innovation challenges </w:t>
            </w:r>
            <w:r>
              <w:rPr>
                <w:szCs w:val="20"/>
              </w:rPr>
              <w:t>arising</w:t>
            </w:r>
            <w:r>
              <w:rPr>
                <w:szCs w:val="20"/>
              </w:rPr>
              <w:t xml:space="preserve"> from strong contradictory requirements. SIM </w:t>
            </w:r>
            <w:r>
              <w:rPr>
                <w:szCs w:val="20"/>
              </w:rPr>
              <w:t xml:space="preserve">are </w:t>
            </w:r>
            <w:r>
              <w:rPr>
                <w:szCs w:val="20"/>
              </w:rPr>
              <w:t>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 xml:space="preserve">aims </w:t>
            </w:r>
            <w:r>
              <w:rPr>
                <w:b/>
                <w:bCs/>
                <w:szCs w:val="20"/>
              </w:rPr>
              <w:t>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w:t>
            </w:r>
            <w:r>
              <w:rPr>
                <w:szCs w:val="20"/>
              </w:rPr>
              <w:t>1983</w:t>
            </w:r>
            <w:r>
              <w:rPr>
                <w:szCs w:val="20"/>
              </w:rPr>
              <w:t xml:space="preserve">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w:t>
            </w:r>
            <w:r>
              <w:rPr>
                <w:szCs w:val="20"/>
              </w:rPr>
              <w:t xml:space="preserve">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w:t>
            </w:r>
            <w:r>
              <w:rPr>
                <w:szCs w:val="20"/>
              </w:rPr>
              <w:t xml:space="preserve">in particular </w:t>
            </w:r>
            <w:r>
              <w:rPr>
                <w:b/>
                <w:bCs/>
                <w:szCs w:val="20"/>
              </w:rPr>
              <w:t xml:space="preserve">attracting additional partners </w:t>
            </w:r>
            <w:r>
              <w:rPr>
                <w:szCs w:val="20"/>
              </w:rPr>
              <w:t>to the network</w:t>
            </w:r>
            <w:r>
              <w:rPr>
                <w:szCs w:val="20"/>
              </w:rPr>
              <w:t xml:space="preserv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 xml:space="preserve">is played by the </w:t>
            </w:r>
            <w:r>
              <w:rPr>
                <w:szCs w:val="20"/>
              </w:rPr>
              <w:t xml:space="preserve">Leipzig </w:t>
            </w:r>
            <w:r>
              <w:rPr>
                <w:szCs w:val="20"/>
              </w:rPr>
              <w:t xml:space="preserve">University, where corresponding </w:t>
            </w:r>
            <w:r>
              <w:rPr>
                <w:szCs w:val="20"/>
              </w:rPr>
              <w:t xml:space="preserve">teaching </w:t>
            </w:r>
            <w:r>
              <w:rPr>
                <w:szCs w:val="20"/>
              </w:rPr>
              <w:t xml:space="preserve">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w:t>
            </w:r>
            <w:r>
              <w:rPr>
                <w:szCs w:val="20"/>
              </w:rPr>
              <w:t xml:space="preserve">in Leipzig a </w:t>
            </w:r>
            <w:r>
              <w:rPr>
                <w:szCs w:val="20"/>
              </w:rPr>
              <w:t xml:space="preserve">larger goal of establishing a regional training structure </w:t>
            </w:r>
            <w:r>
              <w:rPr>
                <w:szCs w:val="20"/>
              </w:rPr>
              <w:t xml:space="preserve">involving </w:t>
            </w:r>
            <w:r>
              <w:rPr>
                <w:szCs w:val="20"/>
              </w:rPr>
              <w:t xml:space="preserve">various institutions is formulated. With the </w:t>
            </w:r>
            <w:r>
              <w:rPr>
                <w:szCs w:val="20"/>
              </w:rPr>
              <w:t>Mitteldeutsches Kompetenzzentrum (</w:t>
            </w:r>
            <w:r>
              <w:rPr>
                <w:szCs w:val="20"/>
              </w:rPr>
              <w:t>Central German Competence Centre</w:t>
            </w:r>
            <w:r>
              <w:rPr>
                <w:szCs w:val="20"/>
              </w:rPr>
              <w:t>)</w:t>
            </w:r>
            <w:r>
              <w:rPr>
                <w:szCs w:val="20"/>
              </w:rPr>
              <w:t xml:space="preserve"> SIM, the structural foundation for th</w:t>
            </w:r>
            <w:r>
              <w:rPr>
                <w:szCs w:val="20"/>
              </w:rPr>
              <w:t>ese plans does already exist</w:t>
            </w:r>
            <w:r>
              <w:rPr>
                <w:szCs w:val="20"/>
              </w:rPr>
              <w:t xml:space="preserve">. Leipzig University </w:t>
            </w:r>
            <w:r>
              <w:rPr>
                <w:szCs w:val="20"/>
              </w:rPr>
              <w:t xml:space="preserve">plays </w:t>
            </w:r>
            <w:r>
              <w:rPr>
                <w:szCs w:val="20"/>
              </w:rPr>
              <w:t xml:space="preserve">a leading role in this regional development project. At the same time, this will create a best practice example for the development of regional SIM structures that goes beyond the framework of a </w:t>
            </w:r>
            <w:r>
              <w:rPr>
                <w:szCs w:val="20"/>
              </w:rPr>
              <w:t>K</w:t>
            </w:r>
            <w:r>
              <w:rPr>
                <w:szCs w:val="20"/>
              </w:rPr>
              <w:t xml:space="preserve">nowledge </w:t>
            </w:r>
            <w:r>
              <w:rPr>
                <w:szCs w:val="20"/>
              </w:rPr>
              <w:t>A</w:t>
            </w:r>
            <w:r>
              <w:rPr>
                <w:szCs w:val="20"/>
              </w:rPr>
              <w:t>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w:t>
            </w:r>
            <w:r>
              <w:rPr>
                <w:szCs w:val="20"/>
              </w:rPr>
              <w:t>1878</w:t>
            </w:r>
            <w:r>
              <w:rPr>
                <w:szCs w:val="20"/>
              </w:rPr>
              <w:t xml:space="preserve">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w:t>
            </w:r>
            <w:r>
              <w:rPr/>
              <w:t>0.1</w:t>
            </w:r>
            <w:r>
              <w:rPr/>
              <w:t xml:space="preserve">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xml:space="preserve">. A first focus of the project is the establishment of a reliable structural and processual organization of the network of the participating HEI (full and additional partners) on a conceptual, content and organizational level </w:t>
            </w:r>
            <w:r>
              <w:rPr>
                <w:lang w:val="en-US"/>
              </w:rPr>
              <w:t>supported by modern semantic technology</w:t>
            </w:r>
            <w:r>
              <w:rPr>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xml:space="preserve">, </w:t>
            </w:r>
            <w:r>
              <w:rPr>
                <w:lang w:val="en-US"/>
              </w:rPr>
              <w:t xml:space="preserve">a </w:t>
            </w:r>
            <w:r>
              <w:rPr>
                <w:lang w:val="en-US"/>
              </w:rPr>
              <w:t xml:space="preserve">structural and </w:t>
            </w:r>
            <w:r>
              <w:rPr>
                <w:lang w:val="en-US"/>
              </w:rPr>
              <w:t xml:space="preserve">a </w:t>
            </w:r>
            <w:r>
              <w:rPr>
                <w:lang w:val="en-US"/>
              </w:rPr>
              <w:t xml:space="preserve">content related </w:t>
            </w:r>
            <w:r>
              <w:rPr>
                <w:lang w:val="en-US"/>
              </w:rPr>
              <w:t>one</w:t>
            </w:r>
            <w:r>
              <w:rPr>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w:t>
            </w:r>
            <w:r>
              <w:rPr>
                <w:lang w:val="en-US"/>
              </w:rPr>
              <w:t>building up the supporting digital infrastructure</w:t>
            </w:r>
            <w:r>
              <w:rPr>
                <w:lang w:val="en-US"/>
              </w:rPr>
              <w:t xml:space="preserve">. In particular, this </w:t>
            </w:r>
            <w:r>
              <w:rPr>
                <w:lang w:val="en-US"/>
              </w:rPr>
              <w:t xml:space="preserve">relates to aims and </w:t>
            </w:r>
            <w:r>
              <w:rPr>
                <w:lang w:val="en-US"/>
              </w:rPr>
              <w:t xml:space="preserve">work of ETRIA, the European TRIZ organization, in whose </w:t>
            </w:r>
            <w:r>
              <w:rPr>
                <w:lang w:val="en-US"/>
              </w:rPr>
              <w:t xml:space="preserve">foundation and </w:t>
            </w:r>
            <w:r>
              <w:rPr>
                <w:lang w:val="en-US"/>
              </w:rPr>
              <w:t xml:space="preserve">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exchange, joint development and further </w:t>
            </w:r>
            <w:r>
              <w:rPr>
                <w:szCs w:val="20"/>
              </w:rPr>
              <w:t>elaboration</w:t>
            </w:r>
            <w:r>
              <w:rPr>
                <w:szCs w:val="20"/>
              </w:rPr>
              <w:t xml:space="preserve">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 xml:space="preserve">The relation to </w:t>
            </w:r>
            <w:r>
              <w:rPr>
                <w:i w:val="false"/>
                <w:iCs w:val="false"/>
                <w:szCs w:val="20"/>
              </w:rPr>
              <w:t xml:space="preserve">the problems and challenges identified in sections I.1 and I.2 </w:t>
            </w:r>
            <w:r>
              <w:rPr>
                <w:i w:val="false"/>
                <w:iCs w:val="false"/>
                <w:szCs w:val="20"/>
              </w:rPr>
              <w:t>is obvious</w:t>
            </w:r>
            <w:r>
              <w:rPr>
                <w:i w:val="false"/>
                <w:iCs w:val="false"/>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w:t>
            </w:r>
            <w:r>
              <w:rPr>
                <w:szCs w:val="20"/>
              </w:rPr>
              <w:t xml:space="preserve">have to be </w:t>
            </w:r>
            <w:r>
              <w:rPr>
                <w:szCs w:val="20"/>
              </w:rPr>
              <w:t xml:space="preserve">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 xml:space="preserve">result from the gradual development of a common infrastructure of teaching and learning materials (especially good </w:t>
            </w:r>
            <w:r>
              <w:rPr>
                <w:szCs w:val="20"/>
              </w:rPr>
              <w:t xml:space="preserve">use case </w:t>
            </w:r>
            <w:r>
              <w:rPr>
                <w:szCs w:val="20"/>
              </w:rPr>
              <w:t>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w:t>
            </w:r>
            <w:r>
              <w:rPr>
                <w:szCs w:val="20"/>
              </w:rPr>
              <w:t xml:space="preserve">access to </w:t>
            </w:r>
            <w:r>
              <w:rPr>
                <w:szCs w:val="20"/>
              </w:rPr>
              <w:t xml:space="preserve">a partially developed infrastructure in which they can participate </w:t>
            </w:r>
            <w:r>
              <w:rPr>
                <w:szCs w:val="20"/>
              </w:rPr>
              <w:t xml:space="preserve">not only </w:t>
            </w:r>
            <w:r>
              <w:rPr>
                <w:szCs w:val="20"/>
              </w:rPr>
              <w:t xml:space="preserve">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There are </w:t>
            </w:r>
            <w:r>
              <w:rPr>
                <w:szCs w:val="20"/>
              </w:rPr>
              <w:t xml:space="preserve">two types of business partners </w:t>
            </w:r>
            <w:r>
              <w:rPr>
                <w:szCs w:val="20"/>
              </w:rPr>
              <w:t xml:space="preserve">contributing to the project </w:t>
            </w:r>
            <w:r>
              <w:rPr>
                <w:szCs w:val="20"/>
              </w:rPr>
              <w:t>– industrial compan</w:t>
            </w:r>
            <w:r>
              <w:rPr>
                <w:szCs w:val="20"/>
              </w:rPr>
              <w:t>ies</w:t>
            </w:r>
            <w:r>
              <w:rPr>
                <w:szCs w:val="20"/>
              </w:rPr>
              <w:t xml:space="preserve"> with intra company organized training of engineers in the targeted skills </w:t>
            </w:r>
            <w:r>
              <w:rPr>
                <w:szCs w:val="20"/>
              </w:rPr>
              <w:t xml:space="preserve">(Schaeffler, Arxia) </w:t>
            </w:r>
            <w:r>
              <w:rPr>
                <w:szCs w:val="20"/>
              </w:rPr>
              <w:t>and consulting compan</w:t>
            </w:r>
            <w:r>
              <w:rPr>
                <w:szCs w:val="20"/>
              </w:rPr>
              <w:t>ies</w:t>
            </w:r>
            <w:r>
              <w:rPr>
                <w:szCs w:val="20"/>
              </w:rPr>
              <w:t xml:space="preserve"> </w:t>
            </w:r>
            <w:r>
              <w:rPr>
                <w:szCs w:val="20"/>
              </w:rPr>
              <w:t xml:space="preserve">(Jantschgi C&amp;R, Target Invention) </w:t>
            </w:r>
            <w:r>
              <w:rPr>
                <w:szCs w:val="20"/>
              </w:rPr>
              <w:t>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w:t>
            </w:r>
            <w:r>
              <w:rPr/>
              <w:t>provide practices and support in graduation in their compan</w:t>
            </w:r>
            <w:r>
              <w:rPr/>
              <w:t>ies</w:t>
            </w:r>
            <w:r>
              <w:rPr/>
              <w:t xml:space="preserve">. </w:t>
            </w:r>
          </w:p>
          <w:p>
            <w:pPr>
              <w:pStyle w:val="Textkrper"/>
              <w:spacing w:before="0" w:after="57"/>
              <w:rPr/>
            </w:pPr>
            <w:r>
              <w:rPr/>
              <w:t>Their b</w:t>
            </w:r>
            <w:r>
              <w:rPr/>
              <w:t>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w:t>
            </w:r>
            <w:r>
              <w:rPr/>
              <w:t>human resources</w:t>
            </w:r>
            <w:r>
              <w:rPr/>
              <w:t xml:space="preserve">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szCs w:val="20"/>
              </w:rPr>
              <w:t xml:space="preserve">special </w:t>
            </w:r>
            <w:r>
              <w:rPr>
                <w:szCs w:val="20"/>
              </w:rPr>
              <w:t xml:space="preserve">role in this context play experts from partner countries </w:t>
            </w:r>
            <w:r>
              <w:rPr>
                <w:szCs w:val="20"/>
              </w:rPr>
              <w:t>with their extensive experience in the Asian market and profound knowledge of the TRIZ roots of today's more comprehensive SIM approaches</w:t>
            </w:r>
            <w:r>
              <w:rPr>
                <w:szCs w:val="20"/>
              </w:rPr>
              <w:t xml:space="preserve">, see point 7. </w:t>
            </w:r>
            <w:r>
              <w:rPr>
                <w:szCs w:val="20"/>
              </w:rPr>
              <w:t xml:space="preserve">Engaging </w:t>
            </w:r>
            <w:r>
              <w:rPr>
                <w:szCs w:val="20"/>
              </w:rPr>
              <w:t xml:space="preserve">these high-certified TRIZ experts </w:t>
            </w:r>
            <w:r>
              <w:rPr>
                <w:szCs w:val="20"/>
              </w:rPr>
              <w:t xml:space="preserve">with the project opens an additional perspective </w:t>
            </w:r>
            <w:r>
              <w:rPr>
                <w:szCs w:val="20"/>
              </w:rPr>
              <w:t xml:space="preserve">to the heterogeneous international developments in the field of SIM, </w:t>
            </w:r>
            <w:r>
              <w:rPr>
                <w:szCs w:val="20"/>
              </w:rPr>
              <w:t xml:space="preserve">in particular to the processes around </w:t>
            </w:r>
            <w:r>
              <w:rPr>
                <w:szCs w:val="20"/>
              </w:rPr>
              <w:t>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added value for the EU lies in the consolidation of training activities and capacities in the area of cross-sectional skills, which are becoming </w:t>
            </w:r>
            <w:r>
              <w:rPr>
                <w:szCs w:val="20"/>
              </w:rPr>
              <w:t xml:space="preserve">more and more </w:t>
            </w:r>
            <w:r>
              <w:rPr>
                <w:szCs w:val="20"/>
              </w:rPr>
              <w:t>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the </w:t>
            </w:r>
            <w:r>
              <w:rPr>
                <w:szCs w:val="20"/>
              </w:rPr>
              <w:t>field of analysing contradictory</w:t>
            </w:r>
            <w:r>
              <w:rPr>
                <w:szCs w:val="20"/>
              </w:rPr>
              <w:t xml:space="preserve">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the </w:t>
            </w:r>
            <w:r>
              <w:rPr>
                <w:szCs w:val="20"/>
              </w:rPr>
              <w:t xml:space="preserve">field of </w:t>
            </w:r>
            <w:r>
              <w:rPr>
                <w:szCs w:val="20"/>
              </w:rPr>
              <w:t>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w:t>
            </w:r>
            <w:r>
              <w:rPr>
                <w:szCs w:val="20"/>
              </w:rPr>
              <w:t>ies in a systematic way</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To understand the European dimension</w:t>
            </w:r>
            <w:r>
              <w:rPr>
                <w:szCs w:val="20"/>
              </w:rPr>
              <w:t xml:space="preserve">, the motto </w:t>
            </w:r>
            <w:r>
              <w:rPr>
                <w:i/>
                <w:iCs/>
                <w:szCs w:val="20"/>
              </w:rPr>
              <w:t xml:space="preserve">think globally, act locally </w:t>
            </w:r>
            <w:r>
              <w:rPr>
                <w:szCs w:val="20"/>
              </w:rPr>
              <w:t>has to be applied</w:t>
            </w:r>
            <w:r>
              <w:rPr>
                <w:szCs w:val="20"/>
              </w:rPr>
              <w:t xml:space="preserve">.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w:t>
            </w:r>
            <w:r>
              <w:rPr>
                <w:szCs w:val="20"/>
              </w:rPr>
              <w:t xml:space="preserve">it </w:t>
            </w:r>
            <w:r>
              <w:rPr>
                <w:szCs w:val="20"/>
              </w:rPr>
              <w:t xml:space="preserve">is planned for the Leipzig region </w:t>
            </w:r>
            <w:r>
              <w:rPr>
                <w:szCs w:val="20"/>
              </w:rPr>
              <w:t>with</w:t>
            </w:r>
            <w:r>
              <w:rPr>
                <w:szCs w:val="20"/>
              </w:rPr>
              <w:t xml:space="preserve">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This is the content of </w:t>
            </w:r>
            <w:r>
              <w:rPr>
                <w:szCs w:val="20"/>
              </w:rPr>
              <w:t xml:space="preserve">the </w:t>
            </w:r>
            <w:r>
              <w:rPr>
                <w:szCs w:val="20"/>
              </w:rPr>
              <w:t xml:space="preserve">WP 1–4. </w:t>
            </w:r>
            <w:r>
              <w:rPr>
                <w:szCs w:val="20"/>
              </w:rPr>
              <w:t>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work is prepared by WP 1 in the pre-application phase, which will be mainly worked out until </w:t>
            </w:r>
            <w:r>
              <w:rPr>
                <w:szCs w:val="20"/>
              </w:rPr>
              <w:t>11/</w:t>
            </w:r>
            <w:r>
              <w:rPr>
                <w:szCs w:val="20"/>
              </w:rPr>
              <w:t xml:space="preserve">2020 and discussed on the planning meeting P1. The deliverable of this WP </w:t>
            </w:r>
            <w:r>
              <w:rPr>
                <w:szCs w:val="20"/>
              </w:rPr>
              <w:t xml:space="preserve">1 </w:t>
            </w:r>
            <w:r>
              <w:rPr>
                <w:szCs w:val="20"/>
              </w:rPr>
              <w:t>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w:t>
            </w:r>
            <w:r>
              <w:rPr>
                <w:b w:val="false"/>
                <w:bCs w:val="false"/>
                <w:szCs w:val="20"/>
              </w:rPr>
              <w:t>centers</w:t>
            </w:r>
            <w:r>
              <w:rPr>
                <w:b w:val="false"/>
                <w:bCs w:val="false"/>
                <w:szCs w:val="20"/>
              </w:rPr>
              <w:t xml:space="preserve"> on establishing further contacts in the business world, with particular emphasis on best practice experiences and the design of contractual relationships between HEI and companies </w:t>
            </w:r>
            <w:r>
              <w:rPr>
                <w:b w:val="false"/>
                <w:bCs w:val="false"/>
                <w:szCs w:val="20"/>
              </w:rPr>
              <w:t xml:space="preserve">thus establishing </w:t>
            </w:r>
            <w:r>
              <w:rPr>
                <w:b/>
                <w:bCs/>
                <w:szCs w:val="20"/>
              </w:rPr>
              <w:t xml:space="preserve">a dedicated </w:t>
            </w:r>
            <w:r>
              <w:rPr>
                <w:b/>
                <w:bCs/>
                <w:szCs w:val="20"/>
              </w:rPr>
              <w:t>sub</w:t>
            </w:r>
            <w:r>
              <w:rPr>
                <w:b/>
                <w:bCs/>
                <w:szCs w:val="20"/>
              </w:rPr>
              <w:t xml:space="preserve">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w:t>
            </w:r>
            <w:r>
              <w:rPr>
                <w:szCs w:val="20"/>
              </w:rPr>
              <w:t xml:space="preserve">this part of the project </w:t>
            </w:r>
            <w:r>
              <w:rPr>
                <w:szCs w:val="20"/>
              </w:rPr>
              <w:t xml:space="preserve">is on raising the awareness of other EU companies, particularly those in the manufacturing sector, </w:t>
            </w:r>
            <w:r>
              <w:rPr>
                <w:szCs w:val="20"/>
              </w:rPr>
              <w:t xml:space="preserve">and </w:t>
            </w:r>
            <w:r>
              <w:rPr>
                <w:szCs w:val="20"/>
              </w:rPr>
              <w:t xml:space="preserve">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Both networks meet </w:t>
            </w:r>
            <w:r>
              <w:rPr>
                <w:szCs w:val="20"/>
              </w:rPr>
              <w:t>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t>
            </w: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xml:space="preserve">. Sprint </w:t>
            </w:r>
            <w:r>
              <w:rPr>
                <w:szCs w:val="20"/>
              </w:rPr>
              <w:t>Planning</w:t>
            </w:r>
            <w:r>
              <w:rPr>
                <w:szCs w:val="20"/>
              </w:rPr>
              <w:t>, Sprint Review and Sprint Retrospective will take place at multi-day project meetings P</w:t>
            </w:r>
            <w:r>
              <w:rPr>
                <w:szCs w:val="20"/>
              </w:rPr>
              <w:t>1</w:t>
            </w:r>
            <w:r>
              <w:rPr>
                <w:szCs w:val="20"/>
              </w:rPr>
              <w:t xml:space="preserve"> to P</w:t>
            </w:r>
            <w:r>
              <w:rPr>
                <w:szCs w:val="20"/>
              </w:rPr>
              <w:t>7</w:t>
            </w:r>
            <w:r>
              <w:rPr>
                <w:szCs w:val="20"/>
              </w:rPr>
              <w:t xml:space="preserve"> according to the SCRUM methodology </w:t>
            </w:r>
            <w:r>
              <w:rPr>
                <w:szCs w:val="20"/>
              </w:rPr>
              <w:t>that are combined with a WP 4 mobility activity</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Project meetings with an </w:t>
            </w:r>
            <w:r>
              <w:rPr>
                <w:szCs w:val="20"/>
              </w:rPr>
              <w:t xml:space="preserve">even </w:t>
            </w:r>
            <w:r>
              <w:rPr>
                <w:szCs w:val="20"/>
              </w:rPr>
              <w:t xml:space="preserve">number have the character of a review, where the operational status of the work is analysed in more detail and deliverables in advanced stage are presented and discussed. Project meetings with an </w:t>
            </w:r>
            <w:r>
              <w:rPr>
                <w:szCs w:val="20"/>
              </w:rPr>
              <w:t xml:space="preserve">odd </w:t>
            </w:r>
            <w:r>
              <w:rPr>
                <w:szCs w:val="20"/>
              </w:rPr>
              <w:t>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w:t>
            </w:r>
            <w:r>
              <w:rPr>
                <w:szCs w:val="20"/>
              </w:rPr>
              <w:t>P</w:t>
            </w:r>
            <w:r>
              <w:rPr>
                <w:szCs w:val="20"/>
              </w:rPr>
              <w:t xml:space="preserve">roject </w:t>
            </w:r>
            <w:r>
              <w:rPr>
                <w:szCs w:val="20"/>
              </w:rPr>
              <w:t>P</w:t>
            </w:r>
            <w:r>
              <w:rPr>
                <w:szCs w:val="20"/>
              </w:rPr>
              <w:t xml:space="preserve">lan to be </w:t>
            </w:r>
            <w:r>
              <w:rPr>
                <w:szCs w:val="20"/>
              </w:rPr>
              <w:t xml:space="preserve">decided </w:t>
            </w:r>
            <w:r>
              <w:rPr>
                <w:szCs w:val="20"/>
              </w:rPr>
              <w:t xml:space="preserve">at the beginning of the project and the responsibility by the leads of the packages. </w:t>
            </w:r>
            <w:r>
              <w:rPr>
                <w:szCs w:val="20"/>
              </w:rPr>
              <w:t>In the P</w:t>
            </w:r>
            <w:r>
              <w:rPr>
                <w:szCs w:val="20"/>
              </w:rPr>
              <w:t xml:space="preserve">roject </w:t>
            </w:r>
            <w:r>
              <w:rPr>
                <w:szCs w:val="20"/>
              </w:rPr>
              <w:t>P</w:t>
            </w:r>
            <w:r>
              <w:rPr>
                <w:szCs w:val="20"/>
              </w:rPr>
              <w:t xml:space="preserve">lan also measures </w:t>
            </w:r>
            <w:r>
              <w:rPr>
                <w:szCs w:val="20"/>
              </w:rPr>
              <w:t xml:space="preserve">are </w:t>
            </w:r>
            <w:r>
              <w:rPr>
                <w:szCs w:val="20"/>
              </w:rPr>
              <w:t>define</w:t>
            </w:r>
            <w:r>
              <w:rPr>
                <w:szCs w:val="20"/>
              </w:rPr>
              <w:t xml:space="preserve">d to monitor </w:t>
            </w:r>
            <w:r>
              <w:rPr>
                <w:szCs w:val="20"/>
              </w:rPr>
              <w:t xml:space="preserve">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QA follows SCRUM principles, the </w:t>
            </w:r>
            <w:r>
              <w:rPr>
                <w:szCs w:val="20"/>
              </w:rPr>
              <w:t xml:space="preserve">evaluation and </w:t>
            </w:r>
            <w:r>
              <w:rPr>
                <w:szCs w:val="20"/>
              </w:rPr>
              <w:t xml:space="preserve">alignment of the work status is done on the </w:t>
            </w:r>
            <w:r>
              <w:rPr>
                <w:szCs w:val="20"/>
              </w:rPr>
              <w:t>project meetings</w:t>
            </w:r>
            <w:r>
              <w:rPr>
                <w:szCs w:val="20"/>
              </w:rPr>
              <w:t>,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w:t>
            </w:r>
            <w:r>
              <w:rPr>
                <w:szCs w:val="20"/>
              </w:rPr>
              <w:t xml:space="preserve">n our project </w:t>
            </w:r>
            <w:r>
              <w:rPr>
                <w:szCs w:val="20"/>
              </w:rPr>
              <w:t>l</w:t>
            </w:r>
            <w:r>
              <w:rPr>
                <w:szCs w:val="20"/>
              </w:rPr>
              <w:t xml:space="preserve">earning outcomes play a role at most within the activity “teach the teachers” in WP 4. However, since the concept follows academic principles and rather amounts to an evaluation of the respective teaching concepts, which is already </w:t>
            </w:r>
            <w:r>
              <w:rPr>
                <w:szCs w:val="20"/>
              </w:rPr>
              <w:t xml:space="preserve">part </w:t>
            </w:r>
            <w:r>
              <w:rPr>
                <w:szCs w:val="20"/>
              </w:rPr>
              <w:t xml:space="preserve">of other project activities, </w:t>
            </w:r>
            <w:r>
              <w:rPr>
                <w:szCs w:val="20"/>
              </w:rPr>
              <w:t xml:space="preserve">a </w:t>
            </w:r>
            <w:r>
              <w:rPr>
                <w:szCs w:val="20"/>
              </w:rPr>
              <w:t xml:space="preserve">direct analysis of learning outcomes in the project is not </w:t>
            </w:r>
            <w:r>
              <w:rPr>
                <w:szCs w:val="20"/>
              </w:rPr>
              <w:t>required</w:t>
            </w:r>
            <w:r>
              <w:rPr>
                <w:szCs w:val="20"/>
              </w:rPr>
              <w:t xml:space="preserve">.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szCs w:val="20"/>
              </w:rPr>
            </w:pPr>
            <w:r>
              <w:rPr>
                <w:szCs w:val="20"/>
              </w:rPr>
              <w:t xml:space="preserve">The allocation of the budgets was initially based on the following percentage key </w:t>
            </w:r>
          </w:p>
          <w:tbl>
            <w:tblPr>
              <w:tblW w:w="2767"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3"/>
              <w:gridCol w:w="876"/>
              <w:gridCol w:w="588"/>
            </w:tblGrid>
            <w:tr>
              <w:trPr/>
              <w:tc>
                <w:tcPr>
                  <w:tcW w:w="1303" w:type="dxa"/>
                  <w:tcBorders>
                    <w:top w:val="single" w:sz="2" w:space="0" w:color="000000"/>
                    <w:left w:val="single" w:sz="2" w:space="0" w:color="000000"/>
                    <w:bottom w:val="single" w:sz="2" w:space="0" w:color="000000"/>
                    <w:insideH w:val="single" w:sz="2" w:space="0" w:color="000000"/>
                  </w:tcBorders>
                  <w:shd w:fill="auto" w:val="clear"/>
                </w:tcPr>
                <w:p>
                  <w:pPr>
                    <w:pStyle w:val="Tabelleninhalt"/>
                    <w:jc w:val="center"/>
                    <w:rPr/>
                  </w:pPr>
                  <w:r>
                    <w:rPr/>
                    <w:t>Work Package</w:t>
                  </w:r>
                </w:p>
              </w:tc>
              <w:tc>
                <w:tcPr>
                  <w:tcW w:w="876" w:type="dxa"/>
                  <w:tcBorders>
                    <w:top w:val="single" w:sz="2" w:space="0" w:color="000000"/>
                    <w:left w:val="single" w:sz="2" w:space="0" w:color="000000"/>
                    <w:bottom w:val="single" w:sz="2" w:space="0" w:color="000000"/>
                    <w:insideH w:val="single" w:sz="2" w:space="0" w:color="000000"/>
                  </w:tcBorders>
                  <w:shd w:fill="auto" w:val="clear"/>
                </w:tcPr>
                <w:p>
                  <w:pPr>
                    <w:pStyle w:val="Tabelleninhalt"/>
                    <w:jc w:val="center"/>
                    <w:rPr/>
                  </w:pPr>
                  <w:r>
                    <w:rPr/>
                    <w:t>Lead</w:t>
                  </w:r>
                </w:p>
              </w:tc>
              <w:tc>
                <w:tcPr>
                  <w:tcW w:w="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Share</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1</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ULEI</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10%</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2</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LUT</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10%</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3</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HSO</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15%</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4</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INSA</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5%</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5</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Jantschgi</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10%</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6</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ULEI</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20%</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7</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UTC</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20%</w:t>
                  </w:r>
                </w:p>
              </w:tc>
            </w:tr>
            <w:tr>
              <w:trPr/>
              <w:tc>
                <w:tcPr>
                  <w:tcW w:w="1303" w:type="dxa"/>
                  <w:tcBorders>
                    <w:left w:val="single" w:sz="2" w:space="0" w:color="000000"/>
                    <w:bottom w:val="single" w:sz="2" w:space="0" w:color="000000"/>
                    <w:insideH w:val="single" w:sz="2" w:space="0" w:color="000000"/>
                  </w:tcBorders>
                  <w:shd w:fill="auto" w:val="clear"/>
                </w:tcPr>
                <w:p>
                  <w:pPr>
                    <w:pStyle w:val="Tabelleninhalt"/>
                    <w:jc w:val="center"/>
                    <w:rPr/>
                  </w:pPr>
                  <w:r>
                    <w:rPr/>
                    <w:t>WP 8</w:t>
                  </w:r>
                </w:p>
              </w:tc>
              <w:tc>
                <w:tcPr>
                  <w:tcW w:w="876" w:type="dxa"/>
                  <w:tcBorders>
                    <w:left w:val="single" w:sz="2" w:space="0" w:color="000000"/>
                    <w:bottom w:val="single" w:sz="2" w:space="0" w:color="000000"/>
                    <w:insideH w:val="single" w:sz="2" w:space="0" w:color="000000"/>
                  </w:tcBorders>
                  <w:shd w:fill="auto" w:val="clear"/>
                </w:tcPr>
                <w:p>
                  <w:pPr>
                    <w:pStyle w:val="Tabelleninhalt"/>
                    <w:jc w:val="center"/>
                    <w:rPr/>
                  </w:pPr>
                  <w:r>
                    <w:rPr/>
                    <w:t>BUT</w:t>
                  </w:r>
                </w:p>
              </w:tc>
              <w:tc>
                <w:tcPr>
                  <w:tcW w:w="5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rPr/>
                    <w:t>10%</w:t>
                  </w:r>
                </w:p>
              </w:tc>
            </w:tr>
          </w:tbl>
          <w:p>
            <w:pPr>
              <w:pStyle w:val="Normal"/>
              <w:tabs>
                <w:tab w:val="left" w:pos="3649" w:leader="none"/>
                <w:tab w:val="left" w:pos="5349" w:leader="none"/>
                <w:tab w:val="left" w:pos="7992" w:leader="none"/>
                <w:tab w:val="left" w:pos="9409" w:leader="none"/>
                <w:tab w:val="left" w:pos="10778" w:leader="none"/>
              </w:tabs>
              <w:spacing w:before="170" w:after="57"/>
              <w:jc w:val="both"/>
              <w:rPr>
                <w:szCs w:val="20"/>
              </w:rPr>
            </w:pPr>
            <w:r>
              <w:rPr>
                <w:szCs w:val="20"/>
              </w:rPr>
              <w:t xml:space="preserve">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970"/>
        <w:gridCol w:w="1069"/>
        <w:gridCol w:w="2"/>
        <w:gridCol w:w="853"/>
        <w:gridCol w:w="857"/>
        <w:gridCol w:w="904"/>
        <w:gridCol w:w="881"/>
        <w:gridCol w:w="3"/>
        <w:gridCol w:w="932"/>
        <w:gridCol w:w="931"/>
        <w:gridCol w:w="932"/>
        <w:gridCol w:w="932"/>
        <w:gridCol w:w="931"/>
        <w:gridCol w:w="932"/>
        <w:gridCol w:w="931"/>
        <w:gridCol w:w="932"/>
        <w:gridCol w:w="932"/>
        <w:gridCol w:w="924"/>
      </w:tblGrid>
      <w:tr>
        <w:trPr>
          <w:tblHeader w:val="true"/>
        </w:trPr>
        <w:tc>
          <w:tcPr>
            <w:tcW w:w="2490" w:type="dxa"/>
            <w:gridSpan w:val="4"/>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3"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642" w:type="dxa"/>
            <w:gridSpan w:val="3"/>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97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069"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857"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904"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4</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BUT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5</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6</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7</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Jantschgi</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8</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bCs/>
                <w:sz w:val="20"/>
                <w:szCs w:val="20"/>
              </w:rPr>
              <w:t>9</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bCs/>
                <w:sz w:val="20"/>
                <w:szCs w:val="20"/>
              </w:rPr>
              <w:t>10</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TechnoPlast</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 w:val="20"/>
                <w:szCs w:val="20"/>
              </w:rPr>
              <w:t>11</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Farmec</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1"/>
                <w:szCs w:val="21"/>
              </w:rPr>
            </w:pPr>
            <w:r>
              <w:rPr>
                <w:b/>
                <w:sz w:val="20"/>
                <w:szCs w:val="20"/>
              </w:rPr>
              <w:t>12</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TIM</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1"/>
                <w:szCs w:val="21"/>
              </w:rPr>
            </w:pPr>
            <w:r>
              <w:rPr>
                <w:b/>
                <w:sz w:val="20"/>
                <w:szCs w:val="20"/>
              </w:rPr>
              <w:t>13</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NPK</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1"/>
                <w:szCs w:val="21"/>
              </w:rPr>
            </w:pPr>
            <w:r>
              <w:rPr>
                <w:b/>
                <w:sz w:val="20"/>
                <w:szCs w:val="20"/>
              </w:rPr>
              <w:t>14</w:t>
            </w:r>
          </w:p>
        </w:tc>
        <w:tc>
          <w:tcPr>
            <w:tcW w:w="97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BM-TRIZ</w:t>
            </w:r>
          </w:p>
        </w:tc>
        <w:tc>
          <w:tcPr>
            <w:tcW w:w="1069"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7"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149_2917479643"/>
      <w:bookmarkStart w:id="26" w:name="__Fieldmark__1154_3374853057"/>
      <w:bookmarkStart w:id="27" w:name="__Fieldmark__1209_4107198532"/>
      <w:bookmarkStart w:id="28" w:name="__Fieldmark__1316_2006952884"/>
      <w:bookmarkStart w:id="29" w:name="__Fieldmark__1145_2939642033"/>
      <w:bookmarkStart w:id="30" w:name="__Fieldmark__1268_3453647945"/>
      <w:bookmarkStart w:id="31" w:name="__Fieldmark__1188_3518991069"/>
      <w:bookmarkStart w:id="32" w:name="__Fieldmark__1046_2808305147"/>
      <w:bookmarkStart w:id="33" w:name="__Fieldmark__1292_3887183617"/>
      <w:bookmarkStart w:id="34" w:name="__Fieldmark__1480_2642140684"/>
      <w:bookmarkStart w:id="35" w:name="__Fieldmark__1205_1472461040"/>
      <w:bookmarkStart w:id="36" w:name="__Fieldmark__1327_4118694307"/>
      <w:bookmarkStart w:id="37" w:name="__Fieldmark__1271_2684351466"/>
      <w:bookmarkStart w:id="38" w:name="__Fieldmark__1509_2330710499"/>
      <w:bookmarkStart w:id="39" w:name="__Fieldmark__1072_3770479861"/>
      <w:bookmarkStart w:id="40" w:name="__Fieldmark__1288_656527910"/>
      <w:bookmarkStart w:id="41" w:name="__Fieldmark__1327_4118694307"/>
      <w:bookmarkStart w:id="42" w:name="__Fieldmark__1327_4118694307"/>
      <w:bookmarkEnd w:id="25"/>
      <w:bookmarkEnd w:id="26"/>
      <w:bookmarkEnd w:id="27"/>
      <w:bookmarkEnd w:id="28"/>
      <w:bookmarkEnd w:id="29"/>
      <w:bookmarkEnd w:id="30"/>
      <w:bookmarkEnd w:id="31"/>
      <w:bookmarkEnd w:id="32"/>
      <w:bookmarkEnd w:id="33"/>
      <w:bookmarkEnd w:id="34"/>
      <w:bookmarkEnd w:id="35"/>
      <w:bookmarkEnd w:id="37"/>
      <w:bookmarkEnd w:id="38"/>
      <w:bookmarkEnd w:id="39"/>
      <w:bookmarkEnd w:id="40"/>
      <w:bookmarkEnd w:id="42"/>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3" w:name="__Fieldmark__1300_3453647945"/>
      <w:bookmarkStart w:id="44" w:name="__Fieldmark__1066_2808305147"/>
      <w:bookmarkStart w:id="45" w:name="__Fieldmark__1163_2917479643"/>
      <w:bookmarkStart w:id="46" w:name="__Fieldmark__1238_4107198532"/>
      <w:bookmarkStart w:id="47" w:name="__Fieldmark__1080_3770479861"/>
      <w:bookmarkStart w:id="48" w:name="__Fieldmark__1357_2006952884"/>
      <w:bookmarkStart w:id="49" w:name="__Fieldmark__1214_3518991069"/>
      <w:bookmarkStart w:id="50" w:name="__Fieldmark__1512_2330710499"/>
      <w:bookmarkStart w:id="51" w:name="__Fieldmark__1326_656527910"/>
      <w:bookmarkStart w:id="52" w:name="__Fieldmark__1336_3887183617"/>
      <w:bookmarkStart w:id="53" w:name="__Fieldmark__1503_2642140684"/>
      <w:bookmarkStart w:id="54" w:name="__Fieldmark__1252_1472461040"/>
      <w:bookmarkStart w:id="55" w:name="__Fieldmark__1378_4118694307"/>
      <w:bookmarkStart w:id="56" w:name="__Fieldmark__1306_2684351466"/>
      <w:bookmarkStart w:id="57" w:name="__Fieldmark__1156_2939642033"/>
      <w:bookmarkStart w:id="58" w:name="__Fieldmark__1171_3374853057"/>
      <w:bookmarkStart w:id="59" w:name="__Fieldmark__1378_4118694307"/>
      <w:bookmarkStart w:id="60" w:name="__Fieldmark__1378_4118694307"/>
      <w:bookmarkEnd w:id="43"/>
      <w:bookmarkEnd w:id="44"/>
      <w:bookmarkEnd w:id="45"/>
      <w:bookmarkEnd w:id="46"/>
      <w:bookmarkEnd w:id="47"/>
      <w:bookmarkEnd w:id="48"/>
      <w:bookmarkEnd w:id="49"/>
      <w:bookmarkEnd w:id="50"/>
      <w:bookmarkEnd w:id="51"/>
      <w:bookmarkEnd w:id="52"/>
      <w:bookmarkEnd w:id="53"/>
      <w:bookmarkEnd w:id="54"/>
      <w:bookmarkEnd w:id="56"/>
      <w:bookmarkEnd w:id="57"/>
      <w:bookmarkEnd w:id="58"/>
      <w:bookmarkEnd w:id="60"/>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61" w:name="_Toc24546599"/>
      <w:r>
        <w:rPr>
          <w:rStyle w:val="Heading2Char"/>
          <w:color w:val="auto"/>
          <w:sz w:val="22"/>
        </w:rPr>
        <w:t>III.2. Rationale for setting-up the partnership</w:t>
      </w:r>
      <w:bookmarkEnd w:id="61"/>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62" w:name="_Toc24546600"/>
      <w:bookmarkStart w:id="63" w:name="_Toc463518912"/>
      <w:r>
        <w:rPr>
          <w:rStyle w:val="Heading2Char"/>
          <w:color w:val="auto"/>
          <w:sz w:val="22"/>
        </w:rPr>
        <w:t xml:space="preserve">III.3. Description of the </w:t>
      </w:r>
      <w:bookmarkEnd w:id="63"/>
      <w:r>
        <w:rPr>
          <w:rStyle w:val="Heading2Char"/>
          <w:color w:val="auto"/>
          <w:sz w:val="22"/>
        </w:rPr>
        <w:t>consortium members</w:t>
      </w:r>
      <w:bookmarkEnd w:id="62"/>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64" w:name="__RefHeading___Toc4460_3374853057"/>
      <w:bookmarkStart w:id="65" w:name="_Toc24546601"/>
      <w:bookmarkEnd w:id="64"/>
      <w:r>
        <w:rPr/>
        <w:t>III.3.1. Partner number – P1 – (Leipzig University – ULEI</w:t>
      </w:r>
      <w:r>
        <w:rPr>
          <w:i/>
        </w:rPr>
        <w:t>)</w:t>
      </w:r>
      <w:bookmarkEnd w:id="65"/>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6" w:name="__RefHeading___Toc4462_3374853057"/>
      <w:bookmarkStart w:id="67" w:name="_Toc24546602"/>
      <w:bookmarkEnd w:id="66"/>
      <w:r>
        <w:rPr/>
        <w:t>III.3.2. Partner number – P2 – (HS Offenburg – HSO</w:t>
      </w:r>
      <w:r>
        <w:rPr>
          <w:i/>
        </w:rPr>
        <w:t>)</w:t>
      </w:r>
      <w:bookmarkEnd w:id="6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68" w:name="_Hlk31558122"/>
            <w:bookmarkEnd w:id="68"/>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3">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r>
              <w:rPr/>
              <w:t>HSO’s role will be focused primarily on</w:t>
            </w:r>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69" w:name="__RefHeading___Toc5738_3453647945"/>
            <w:bookmarkEnd w:id="69"/>
            <w:r>
              <w:rPr>
                <w:b/>
                <w:bCs/>
              </w:rPr>
              <w:t>Relevant Publications in the field of Systematic Innovation Methodologies and their Education</w:t>
            </w:r>
          </w:p>
          <w:p>
            <w:pPr>
              <w:pStyle w:val="Normal"/>
              <w:spacing w:lineRule="auto" w:line="240" w:before="0" w:after="57"/>
              <w:rPr/>
            </w:pPr>
            <w:r>
              <w:rPr/>
              <w:t>Belski, I., Livotov, P., Vaneker, T. (2016), Structured Innovation with TRIZ in Science and Industry - Creating Value for Customers and Society, Procedia CIRP, Volume 39, 2016, Pages 1-2.</w:t>
            </w:r>
          </w:p>
          <w:p>
            <w:pPr>
              <w:pStyle w:val="Normal"/>
              <w:spacing w:lineRule="auto" w:line="240" w:before="0" w:after="57"/>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rPr/>
            </w:pPr>
            <w:r>
              <w:rPr/>
              <w:t>Livotov, P., Petrov, V. (2013), TRIZ Innovation Technology. Product Development and Inventive Problem Solving. Handbook, 288 p., TriS Europe, Berlin.</w:t>
            </w:r>
          </w:p>
          <w:p>
            <w:pPr>
              <w:pStyle w:val="Normal"/>
              <w:spacing w:lineRule="auto" w:line="240" w:before="0" w:after="57"/>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val="false"/>
          <w:b w:val="false"/>
          <w:bCs w:val="false"/>
          <w:color w:val="000000" w:themeColor="text1"/>
          <w:sz w:val="22"/>
          <w:szCs w:val="20"/>
          <w:lang w:eastAsia="en-US"/>
        </w:rPr>
      </w:pPr>
      <w:r>
        <w:rPr>
          <w:b w:val="false"/>
          <w:bCs w:val="false"/>
          <w:color w:val="000000" w:themeColor="text1"/>
          <w:sz w:val="22"/>
          <w:szCs w:val="20"/>
          <w:lang w:eastAsia="en-US"/>
        </w:rPr>
      </w:r>
      <w:r>
        <w:br w:type="page"/>
      </w:r>
    </w:p>
    <w:p>
      <w:pPr>
        <w:pStyle w:val="Berschrift3"/>
        <w:rPr/>
      </w:pPr>
      <w:bookmarkStart w:id="70" w:name="__RefHeading___Toc4464_3374853057"/>
      <w:bookmarkStart w:id="71" w:name="_Toc24546603"/>
      <w:bookmarkEnd w:id="70"/>
      <w:r>
        <w:rPr/>
        <w:t>III.3.3. Partner number – P3 – (INSA Strasbourg – INSA</w:t>
      </w:r>
      <w:r>
        <w:rPr>
          <w:i/>
        </w:rPr>
        <w:t>)</w:t>
      </w:r>
      <w:bookmarkEnd w:id="7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72" w:name="__RefHeading___Toc4466_3374853057"/>
      <w:bookmarkStart w:id="73" w:name="_Toc24546604"/>
      <w:bookmarkEnd w:id="72"/>
      <w:r>
        <w:rPr/>
        <w:t>III.3.4. Partner number – P4 – (BUT Brno – BUT</w:t>
      </w:r>
      <w:r>
        <w:rPr>
          <w:i w:val="false"/>
          <w:iCs w:val="false"/>
        </w:rPr>
        <w:t>)</w:t>
      </w:r>
      <w:bookmarkEnd w:id="7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74" w:name="__RefHeading___Toc4468_3374853057"/>
      <w:bookmarkStart w:id="75" w:name="_Toc24546605"/>
      <w:bookmarkEnd w:id="74"/>
      <w:r>
        <w:rPr/>
        <w:t>III.3.5. Partner number – P5 – (UTC Cluj-Napoca – UTC</w:t>
      </w:r>
      <w:r>
        <w:rPr>
          <w:i w:val="false"/>
          <w:iCs w:val="false"/>
        </w:rPr>
        <w:t>)</w:t>
      </w:r>
      <w:bookmarkEnd w:id="75"/>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76" w:name="__RefHeading___Toc4470_3374853057"/>
      <w:bookmarkStart w:id="77" w:name="_Toc24546606"/>
      <w:bookmarkEnd w:id="76"/>
      <w:r>
        <w:rPr/>
        <w:t>III.3.6. Partner number – P6 – (</w:t>
      </w:r>
      <w:bookmarkEnd w:id="77"/>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8" w:name="__RefHeading___Toc4472_3374853057"/>
      <w:bookmarkStart w:id="79" w:name="_Toc245466061"/>
      <w:bookmarkEnd w:id="78"/>
      <w:r>
        <w:rPr/>
        <w:t>III.3.7. Partner number – P7 – (</w:t>
      </w:r>
      <w:bookmarkEnd w:id="79"/>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80" w:name="__RefHeading___Toc9665_2808305147"/>
            <w:bookmarkEnd w:id="80"/>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81" w:name="__RefHeading___Toc4474_3374853057"/>
      <w:bookmarkStart w:id="82" w:name="_Toc245466062"/>
      <w:bookmarkEnd w:id="81"/>
      <w:r>
        <w:rPr/>
        <w:t>III.3.8. Partner number – P8 – (</w:t>
      </w:r>
      <w:bookmarkEnd w:id="82"/>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3" w:name="__RefHeading___Toc9667_2808305147"/>
      <w:bookmarkStart w:id="84" w:name="_Toc2454660622"/>
      <w:bookmarkEnd w:id="83"/>
      <w:r>
        <w:rPr/>
        <w:t>III.3.9. Partner number – P9 – (</w:t>
      </w:r>
      <w:bookmarkEnd w:id="84"/>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85" w:name="__RefHeading___Toc9669_2808305147"/>
            <w:bookmarkEnd w:id="85"/>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6" w:name="__RefHeading___Toc5740_3453647945"/>
      <w:bookmarkStart w:id="87" w:name="_Toc2454660623"/>
      <w:bookmarkEnd w:id="86"/>
      <w:r>
        <w:rPr/>
        <w:t>III.3.10. Partner number – P10 – (</w:t>
      </w:r>
      <w:bookmarkEnd w:id="87"/>
      <w:r>
        <w:rPr/>
        <w:t>Tehnoprod Plast SRL – TechnoPlast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8" w:name="__RefHeading___Toc5742_3453647945"/>
      <w:bookmarkStart w:id="89" w:name="_Toc24546606231"/>
      <w:bookmarkEnd w:id="88"/>
      <w:r>
        <w:rPr/>
        <w:t>III.3.11. Partner number – P11 – (</w:t>
      </w:r>
      <w:bookmarkEnd w:id="89"/>
      <w:r>
        <w:rPr/>
        <w:t>Farmec SA – Farmec</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Farmec SA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Tudor David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Claudia Palacian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90" w:name="__RefHeading___Toc9673_2808305147"/>
      <w:bookmarkStart w:id="91" w:name="_Toc245466063"/>
      <w:bookmarkEnd w:id="90"/>
      <w:r>
        <w:rPr/>
        <w:t>III.3.12. Partner number – P12 – (</w:t>
      </w:r>
      <w:bookmarkEnd w:id="91"/>
      <w:r>
        <w:rPr/>
        <w:t>Target Invention Minsk – TIM)</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pPr>
            <w:r>
              <w:rPr>
                <w:bCs/>
                <w:szCs w:val="20"/>
              </w:rPr>
              <w:t>He 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92" w:name="__RefHeading___Toc4478_3374853057"/>
      <w:bookmarkStart w:id="93" w:name="_Toc245466064"/>
      <w:bookmarkEnd w:id="92"/>
      <w:r>
        <w:rPr/>
        <w:t>III.3.13. Partner number – P13 – (</w:t>
      </w:r>
      <w:bookmarkEnd w:id="93"/>
      <w:r>
        <w:rPr/>
        <w:t>NPK Consult Moscow – NPK)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NPK Consult Moscow is a big consulting company with rich experience in applying TRIZ methodology within SME innovation challenges.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sharing experience in organizing intra and cross SME trainings in systematic innovation methodologies to build up a common stock of approaches of such training concepts and materials.</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94" w:name="__RefHeading___Toc4480_3374853057"/>
      <w:bookmarkStart w:id="95" w:name="_Toc245466065"/>
      <w:bookmarkEnd w:id="94"/>
      <w:r>
        <w:rPr/>
        <w:t>III.3.14. Partner number – P14 – (</w:t>
      </w:r>
      <w:bookmarkEnd w:id="95"/>
      <w:r>
        <w:rPr/>
        <w:t>BM TRIZ Chelyabinsk – BM-TRIZ)</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96" w:name="_Toc24546607"/>
      <w:r>
        <w:rPr>
          <w:rStyle w:val="Heading2Char"/>
          <w:color w:val="auto"/>
          <w:sz w:val="22"/>
        </w:rPr>
        <w:t>III.4. Cooperation arrangements across the partnership</w:t>
      </w:r>
      <w:bookmarkEnd w:id="96"/>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97" w:name="_Toc24546608"/>
      <w:r>
        <w:rPr>
          <w:rStyle w:val="Heading2Char"/>
          <w:color w:val="auto"/>
          <w:sz w:val="22"/>
        </w:rPr>
        <w:t>III.5. Partner Country participation</w:t>
      </w:r>
      <w:bookmarkEnd w:id="97"/>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98" w:name="__RefHeading___Toc4482_3374853057"/>
      <w:bookmarkStart w:id="99" w:name="_Toc24546609"/>
      <w:bookmarkEnd w:id="98"/>
      <w:r>
        <w:rPr>
          <w:rFonts w:ascii="Times New Roman" w:hAnsi="Times New Roman"/>
        </w:rPr>
        <w:t>PART IV. Impact, dissemination, exploitation, and sustainability</w:t>
      </w:r>
      <w:bookmarkEnd w:id="99"/>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100" w:name="_Toc24546610"/>
      <w:r>
        <w:rPr>
          <w:rStyle w:val="Heading2Char"/>
          <w:color w:val="auto"/>
          <w:sz w:val="22"/>
        </w:rPr>
        <w:t>IV.1. Target groups</w:t>
      </w:r>
      <w:bookmarkEnd w:id="100"/>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01" w:name="_Toc24546611"/>
      <w:r>
        <w:rPr>
          <w:rStyle w:val="Heading2Char"/>
          <w:color w:val="auto"/>
          <w:sz w:val="22"/>
        </w:rPr>
        <w:t>IV.2. Sustainability and impact</w:t>
      </w:r>
      <w:bookmarkEnd w:id="101"/>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02" w:name="_Toc24546612"/>
      <w:r>
        <w:rPr>
          <w:rStyle w:val="Heading2Char"/>
          <w:color w:val="auto"/>
          <w:sz w:val="22"/>
        </w:rPr>
        <w:t>IV.3. Dissemination and exploitation strategy</w:t>
      </w:r>
      <w:bookmarkEnd w:id="102"/>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03" w:name="_Toc24546613"/>
      <w:r>
        <w:rPr>
          <w:rStyle w:val="Heading2Char"/>
          <w:color w:val="auto"/>
          <w:sz w:val="22"/>
        </w:rPr>
        <w:t>IV.4. Open access to the educational resources</w:t>
      </w:r>
      <w:bookmarkEnd w:id="103"/>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4"/>
            </w:r>
            <w:r>
              <w:rPr>
                <w:szCs w:val="20"/>
              </w:rPr>
              <w:t>, in which a corresponding open infrastructure has been built around a github organizational account</w:t>
            </w:r>
            <w:r>
              <w:rPr>
                <w:rStyle w:val="Funotenanker"/>
                <w:rStyle w:val="Funotenanker"/>
                <w:szCs w:val="20"/>
              </w:rPr>
              <w:footnoteReference w:id="5"/>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04" w:name="__RefHeading___Toc4484_3374853057"/>
      <w:bookmarkStart w:id="105" w:name="_Toc24546614"/>
      <w:bookmarkEnd w:id="104"/>
      <w:r>
        <w:rPr>
          <w:rFonts w:ascii="Times New Roman" w:hAnsi="Times New Roman"/>
        </w:rPr>
        <w:t>PART V. Specific arrangements regarding learning mobility (if applicable)</w:t>
      </w:r>
      <w:bookmarkEnd w:id="105"/>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06" w:name="_Toc24546615"/>
      <w:r>
        <w:rPr>
          <w:rStyle w:val="Heading2Char"/>
          <w:color w:val="auto"/>
          <w:sz w:val="22"/>
        </w:rPr>
        <w:t>V.1. Added value</w:t>
      </w:r>
      <w:bookmarkEnd w:id="106"/>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7" w:name="_Toc24546616"/>
      <w:r>
        <w:rPr>
          <w:rStyle w:val="Heading2Char"/>
          <w:color w:val="auto"/>
          <w:sz w:val="22"/>
        </w:rPr>
        <w:t>V.2. Implementation of the learning mobility</w:t>
      </w:r>
      <w:bookmarkEnd w:id="107"/>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08" w:name="__RefHeading___Toc4486_3374853057"/>
      <w:bookmarkStart w:id="109" w:name="_Toc24546617"/>
      <w:bookmarkEnd w:id="108"/>
      <w:r>
        <w:rPr>
          <w:rFonts w:ascii="Times New Roman" w:hAnsi="Times New Roman"/>
        </w:rPr>
        <w:t>PART VI. Additional project information (if applicable)</w:t>
      </w:r>
      <w:bookmarkEnd w:id="109"/>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4">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10" w:name="__RefHeading___Toc4488_3374853057"/>
      <w:bookmarkStart w:id="111" w:name="_Toc24546618"/>
      <w:bookmarkStart w:id="112" w:name="_Toc214095647"/>
      <w:bookmarkEnd w:id="110"/>
      <w:r>
        <w:rPr>
          <w:rFonts w:ascii="Times New Roman" w:hAnsi="Times New Roman"/>
        </w:rPr>
        <w:t>PART VII. Work Plan and Work Packages</w:t>
      </w:r>
      <w:bookmarkEnd w:id="111"/>
      <w:bookmarkEnd w:id="112"/>
    </w:p>
    <w:p>
      <w:pPr>
        <w:pStyle w:val="Text1"/>
        <w:ind w:left="0" w:hanging="0"/>
        <w:rPr/>
      </w:pPr>
      <w:bookmarkStart w:id="113" w:name="_Toc24546619"/>
      <w:r>
        <w:rPr>
          <w:rStyle w:val="Heading2Char"/>
          <w:color w:val="auto"/>
          <w:sz w:val="22"/>
        </w:rPr>
        <w:t>VII.0. Work Plan and Work Packages (WPs) list</w:t>
      </w:r>
      <w:bookmarkEnd w:id="113"/>
    </w:p>
    <w:p>
      <w:pPr>
        <w:pStyle w:val="Normal"/>
        <w:spacing w:before="120" w:after="120"/>
        <w:jc w:val="both"/>
        <w:rPr/>
      </w:pPr>
      <w:bookmarkStart w:id="114" w:name="_Toc179804429"/>
      <w:bookmarkStart w:id="115" w:name="_Toc188076994"/>
      <w:bookmarkEnd w:id="114"/>
      <w:bookmarkEnd w:id="115"/>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b/>
                <w:b/>
                <w:bCs/>
                <w:szCs w:val="20"/>
              </w:rPr>
            </w:pPr>
            <w:r>
              <w:rPr>
                <w:b/>
                <w:bCs/>
                <w:szCs w:val="20"/>
              </w:rPr>
              <w:t>Curricula Analysis and Development of 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b/>
                <w:b/>
                <w:bCs/>
                <w:szCs w:val="20"/>
              </w:rPr>
            </w:pPr>
            <w:r>
              <w:rPr>
                <w:b/>
                <w:bCs/>
                <w:szCs w:val="20"/>
              </w:rPr>
              <w:t>Quality Control and Evaluation</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16" w:name="_Toc24546620"/>
      <w:r>
        <w:rPr>
          <w:rStyle w:val="Heading2Char"/>
          <w:color w:val="auto"/>
          <w:sz w:val="22"/>
        </w:rPr>
        <w:t xml:space="preserve">VII.1. Work Package 1 – </w:t>
      </w:r>
      <w:r>
        <w:rPr>
          <w:rStyle w:val="Heading2Char"/>
          <w:i/>
          <w:color w:val="auto"/>
          <w:sz w:val="22"/>
        </w:rPr>
        <w:t>(Project Initialisation)</w:t>
      </w:r>
      <w:bookmarkEnd w:id="116"/>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17" w:name="_Toc1798044291"/>
      <w:bookmarkStart w:id="118" w:name="_Toc1880769941"/>
      <w:bookmarkStart w:id="119" w:name="_Toc1798044291"/>
      <w:bookmarkStart w:id="120" w:name="_Toc1880769941"/>
      <w:bookmarkEnd w:id="119"/>
      <w:bookmarkEnd w:id="120"/>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21" w:name="_Toc24546621"/>
      <w:r>
        <w:rPr>
          <w:rStyle w:val="Heading2Char"/>
          <w:color w:val="auto"/>
          <w:sz w:val="22"/>
        </w:rPr>
        <w:t xml:space="preserve">VII.2. Work Package 2 – </w:t>
      </w:r>
      <w:r>
        <w:rPr>
          <w:rStyle w:val="Heading2Char"/>
          <w:i/>
          <w:color w:val="auto"/>
          <w:sz w:val="22"/>
        </w:rPr>
        <w:t>(Networking the Knowledge Alliance)</w:t>
      </w:r>
      <w:bookmarkEnd w:id="121"/>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2" w:name="_Toc24546622"/>
      <w:r>
        <w:rPr>
          <w:rStyle w:val="Heading2Char"/>
          <w:color w:val="auto"/>
          <w:sz w:val="22"/>
        </w:rPr>
        <w:t xml:space="preserve">VII.3. Work Package 3 – </w:t>
      </w:r>
      <w:r>
        <w:rPr>
          <w:rStyle w:val="Heading2Char"/>
          <w:i/>
          <w:color w:val="auto"/>
          <w:sz w:val="22"/>
        </w:rPr>
        <w:t>(</w:t>
      </w:r>
      <w:r>
        <w:rPr>
          <w:rStyle w:val="Heading2Char"/>
          <w:i/>
          <w:color w:val="auto"/>
          <w:sz w:val="22"/>
          <w:szCs w:val="20"/>
        </w:rPr>
        <w:t>Curricula Analysis and Development of Teaching Materials</w:t>
      </w:r>
      <w:r>
        <w:rPr>
          <w:rStyle w:val="Heading2Char"/>
          <w:i/>
          <w:color w:val="auto"/>
          <w:sz w:val="22"/>
        </w:rPr>
        <w:t>)</w:t>
      </w:r>
      <w:bookmarkEnd w:id="122"/>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3"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23"/>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24"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24"/>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 xml:space="preserve">In </w:t>
            </w:r>
            <w:r>
              <w:rPr>
                <w:szCs w:val="20"/>
              </w:rPr>
              <w:t>the first phase</w:t>
            </w:r>
            <w:r>
              <w:rPr>
                <w:szCs w:val="20"/>
              </w:rPr>
              <w:t xml:space="preserve">, potential candidates should be addressed intensively with the aim of establishing </w:t>
            </w:r>
            <w:r>
              <w:rPr>
                <w:szCs w:val="20"/>
              </w:rPr>
              <w:t>a (sub)</w:t>
            </w:r>
            <w:r>
              <w:rPr>
                <w:szCs w:val="20"/>
              </w:rPr>
              <w:t>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 xml:space="preserve">In a second phase these efforts should be </w:t>
            </w:r>
            <w:r>
              <w:rPr>
                <w:szCs w:val="20"/>
              </w:rPr>
              <w:t>consolidate</w:t>
            </w:r>
            <w:r>
              <w:rPr>
                <w:szCs w:val="20"/>
              </w:rPr>
              <w:t xml:space="preserve">d, </w:t>
            </w:r>
            <w:r>
              <w:rPr>
                <w:szCs w:val="20"/>
              </w:rPr>
              <w:t xml:space="preserve">in </w:t>
            </w:r>
            <w:r>
              <w:rPr>
                <w:szCs w:val="20"/>
              </w:rPr>
              <w:t xml:space="preserve">a third phase </w:t>
            </w:r>
            <w:r>
              <w:rPr>
                <w:szCs w:val="20"/>
              </w:rPr>
              <w:t>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5"/>
          <w:headerReference w:type="first" r:id="rId16"/>
          <w:footerReference w:type="default" r:id="rId17"/>
          <w:footerReference w:type="first" r:id="rId18"/>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25"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25"/>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9"/>
          <w:footerReference w:type="default" r:id="rId20"/>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6"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26"/>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1"/>
          <w:footerReference w:type="default" r:id="rId22"/>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7"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 and Evaluation</w:t>
      </w:r>
      <w:r>
        <w:rPr>
          <w:rStyle w:val="Heading2Char"/>
          <w:i/>
          <w:color w:val="auto"/>
          <w:sz w:val="22"/>
        </w:rPr>
        <w:t>)</w:t>
      </w:r>
      <w:bookmarkEnd w:id="127"/>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Quality Control and 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p>
            <w:pPr>
              <w:pStyle w:val="Normal"/>
              <w:spacing w:before="0" w:after="57"/>
              <w:jc w:val="both"/>
              <w:rPr>
                <w:szCs w:val="20"/>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3"/>
          <w:footerReference w:type="default" r:id="rId24"/>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8" w:name="_Toc24546626"/>
      <w:r>
        <w:rPr>
          <w:rStyle w:val="Heading2Char"/>
          <w:color w:val="auto"/>
          <w:sz w:val="22"/>
        </w:rPr>
        <w:t>VII.7. Overview of consortium partners involved and resources required</w:t>
      </w:r>
      <w:bookmarkEnd w:id="128"/>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29" w:name="_Toc24546627"/>
      <w:r>
        <w:rPr>
          <w:rStyle w:val="Heading2Char"/>
          <w:color w:val="auto"/>
          <w:sz w:val="22"/>
        </w:rPr>
        <w:t>VII.8. Overview of expected results (outputs and outcomes)</w:t>
      </w:r>
      <w:bookmarkEnd w:id="129"/>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25"/>
          <w:footerReference w:type="default" r:id="rId26"/>
          <w:footnotePr>
            <w:numFmt w:val="decimal"/>
          </w:footnotePr>
          <w:type w:val="nextPage"/>
          <w:pgSz w:orient="landscape" w:w="16838" w:h="11906"/>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30" w:name="__RefHeading___Toc4490_3374853057"/>
      <w:bookmarkStart w:id="131" w:name="_Toc24546628"/>
      <w:bookmarkEnd w:id="130"/>
      <w:r>
        <w:rPr>
          <w:rFonts w:ascii="Times New Roman" w:hAnsi="Times New Roman"/>
        </w:rPr>
        <w:t>PART VIII. Specific arrangements regarding Associated Partners (if applicable)</w:t>
      </w:r>
      <w:bookmarkEnd w:id="131"/>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pPr>
      <w:bookmarkStart w:id="132" w:name="__RefHeading___Toc4492_3374853057"/>
      <w:bookmarkStart w:id="133" w:name="_Toc469413594"/>
      <w:bookmarkStart w:id="134" w:name="_Toc24546629"/>
      <w:bookmarkEnd w:id="132"/>
      <w:r>
        <w:rPr>
          <w:rFonts w:ascii="Times New Roman" w:hAnsi="Times New Roman"/>
        </w:rPr>
        <w:t>Annex – Affiliated Entities (if applicable)</w:t>
      </w:r>
      <w:bookmarkEnd w:id="133"/>
      <w:bookmarkEnd w:id="134"/>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27"/>
          <w:footerReference w:type="default" r:id="rId28"/>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29"/>
      <w:footerReference w:type="default" r:id="rId30"/>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60</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60</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59</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10</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60</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48</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60</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tab/>
        <w:tab/>
        <w:tab/>
        <w:tab/>
        <w:tab/>
        <w:tab/>
        <w:tab/>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4">
    <w:p>
      <w:pPr>
        <w:pStyle w:val="Funote"/>
        <w:rPr/>
      </w:pPr>
      <w:r>
        <w:rPr>
          <w:rStyle w:val="Funotenzeichen"/>
        </w:rPr>
        <w:footnoteRef/>
      </w:r>
      <w:r>
        <w:rPr>
          <w:rStyle w:val="Funotenzeichen"/>
        </w:rPr>
        <w:tab/>
      </w:r>
      <w:r>
        <w:rPr>
          <w:rStyle w:val="Funotenzeichen"/>
        </w:rPr>
        <w:tab/>
        <w:tab/>
        <w:tab/>
        <w:tab/>
        <w:tab/>
        <w:tab/>
        <w:tab/>
        <w:tab/>
        <w:tab/>
      </w:r>
      <w:r>
        <w:rPr/>
        <w:tab/>
      </w:r>
      <w:hyperlink r:id="rId1">
        <w:r>
          <w:rPr>
            <w:rStyle w:val="Internetverknpfung"/>
          </w:rPr>
          <w:t>http://www.leipzig-netz.de/index.php/WUMM</w:t>
        </w:r>
      </w:hyperlink>
      <w:r>
        <w:rPr/>
        <w:t xml:space="preserve"> </w:t>
      </w:r>
    </w:p>
  </w:footnote>
  <w:footnote w:id="5">
    <w:p>
      <w:pPr>
        <w:pStyle w:val="Funote"/>
        <w:rPr/>
      </w:pPr>
      <w:r>
        <w:rPr>
          <w:rStyle w:val="Funotenzeichen"/>
        </w:rPr>
        <w:footnoteRef/>
      </w:r>
      <w:r>
        <w:rPr>
          <w:rStyle w:val="Funotenzeichen"/>
        </w:rPr>
        <w:tab/>
      </w:r>
      <w:r>
        <w:rPr>
          <w:rStyle w:val="Funotenzeichen"/>
        </w:rPr>
        <w:tab/>
        <w:tab/>
        <w:tab/>
        <w:tab/>
        <w:tab/>
        <w:tab/>
        <w:tab/>
        <w:tab/>
        <w:tab/>
      </w:r>
      <w:r>
        <w:rPr/>
        <w:tab/>
      </w:r>
      <w:hyperlink r:id="rId2">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1"/>
      <w:numFmt w:val="lowerLetter"/>
      <w:lvlText w:val="(%3)"/>
      <w:lvlJc w:val="left"/>
      <w:pPr>
        <w:tabs>
          <w:tab w:val="num" w:pos="1080"/>
        </w:tabs>
        <w:ind w:left="1080" w:hanging="360"/>
      </w:pPr>
      <w:rPr/>
    </w:lvl>
    <w:lvl w:ilvl="3">
      <w:start w:val="1"/>
      <w:numFmt w:val="lowerLetter"/>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Letter"/>
      <w:lvlText w:val="(%6)"/>
      <w:lvlJc w:val="left"/>
      <w:pPr>
        <w:tabs>
          <w:tab w:val="num" w:pos="2160"/>
        </w:tabs>
        <w:ind w:left="2160" w:hanging="360"/>
      </w:pPr>
      <w:rPr/>
    </w:lvl>
    <w:lvl w:ilvl="6">
      <w:start w:val="1"/>
      <w:numFmt w:val="lowerLetter"/>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Letter"/>
      <w:lvlText w:val="(%9)"/>
      <w:lvlJc w:val="left"/>
      <w:pPr>
        <w:tabs>
          <w:tab w:val="num" w:pos="3240"/>
        </w:tabs>
        <w:ind w:left="3240" w:hanging="360"/>
      </w:pPr>
      <w:r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Inhaltsverzeichnisberschrift">
    <w:name w:val="TOA Heading"/>
    <w:basedOn w:val="Berschrif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www.hs-offenburg.de/" TargetMode="External"/><Relationship Id="rId14" Type="http://schemas.openxmlformats.org/officeDocument/2006/relationships/hyperlink" Target="https://eacea.ec.europa.eu/erasmus-plus/actions/erasmus-charter_en" TargetMode="Externa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leipzig-netz.de/index.php/WUMM" TargetMode="External"/><Relationship Id="rId2"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Application>LibreOffice/6.0.7.3$Linux_X86_64 LibreOffice_project/00m0$Build-3</Application>
  <Pages>60</Pages>
  <Words>13773</Words>
  <Characters>79678</Characters>
  <CharactersWithSpaces>92874</CharactersWithSpaces>
  <Paragraphs>1381</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2020-02-09T21:31:29Z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