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138"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szCs w:val="24"/>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b/>
                <w:b/>
                <w:lang w:eastAsia="en-US"/>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b/>
                <w:b/>
                <w:i/>
                <w:i/>
                <w:sz w:val="28"/>
                <w:szCs w:val="28"/>
                <w:lang w:eastAsia="en-US"/>
              </w:rPr>
            </w:pPr>
            <w:r>
              <w:rPr>
                <w:b/>
                <w:i/>
                <w:sz w:val="28"/>
                <w:szCs w:val="28"/>
                <w:lang w:eastAsia="en-US"/>
              </w:rPr>
              <w:t>Application Form</w:t>
            </w:r>
          </w:p>
          <w:p>
            <w:pPr>
              <w:pStyle w:val="Normal"/>
              <w:tabs>
                <w:tab w:val="center" w:pos="4153" w:leader="none"/>
                <w:tab w:val="right" w:pos="8306" w:leader="none"/>
              </w:tabs>
              <w:spacing w:lineRule="auto" w:line="360"/>
              <w:rPr>
                <w:b/>
                <w:b/>
                <w:lang w:eastAsia="en-US"/>
              </w:rPr>
            </w:pPr>
            <w:r>
              <w:rPr>
                <w:b/>
                <w:lang w:eastAsia="en-US"/>
              </w:rPr>
              <w:t>Call: EAC/A02/2019</w:t>
            </w:r>
          </w:p>
          <w:p>
            <w:pPr>
              <w:pStyle w:val="Kopfzeile"/>
              <w:spacing w:lineRule="auto" w:line="360" w:before="0" w:after="120"/>
              <w:rPr>
                <w:b/>
                <w:b/>
                <w:szCs w:val="24"/>
                <w:lang w:val="en-GB"/>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sz w:val="36"/>
                <w:szCs w:val="36"/>
                <w:lang w:eastAsia="en-GB"/>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b/>
          <w:b/>
          <w:sz w:val="40"/>
          <w:szCs w:val="40"/>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006699"/>
          <w:sz w:val="36"/>
          <w:szCs w:val="36"/>
          <w:highlight w:val="lightGray"/>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FF0000"/>
          <w:highlight w:val="lightGray"/>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b/>
          <w:b/>
          <w:sz w:val="24"/>
          <w:szCs w:val="24"/>
        </w:rPr>
      </w:pPr>
      <w:r>
        <w:rPr>
          <w:b/>
          <w:sz w:val="24"/>
          <w:szCs w:val="24"/>
        </w:rPr>
        <w:t>TABLE OF CONTENT</w:t>
      </w:r>
    </w:p>
    <w:p>
      <w:pPr>
        <w:pStyle w:val="Normal"/>
        <w:jc w:val="center"/>
        <w:rPr>
          <w:b/>
          <w:b/>
          <w:i/>
          <w:i/>
          <w:szCs w:val="20"/>
        </w:rPr>
      </w:pPr>
      <w:r>
        <w:rPr>
          <w:b/>
          <w:i/>
          <w:szCs w:val="20"/>
        </w:rPr>
        <w:t>(Please click right and update field - entire table - to refresh page numbers)</w:t>
      </w:r>
    </w:p>
    <w:p>
      <w:pPr>
        <w:pStyle w:val="Normal"/>
        <w:jc w:val="center"/>
        <w:rPr>
          <w:b/>
          <w:b/>
          <w:i/>
          <w:i/>
          <w:szCs w:val="20"/>
        </w:rPr>
      </w:pPr>
      <w:r>
        <w:rPr>
          <w:b/>
          <w:i/>
          <w:szCs w:val="20"/>
        </w:rPr>
      </w:r>
    </w:p>
    <w:p>
      <w:pPr>
        <w:pStyle w:val="Normal"/>
        <w:jc w:val="center"/>
        <w:rPr/>
      </w:pPr>
      <w:r>
        <w:rPr/>
      </w:r>
    </w:p>
    <w:p>
      <w:pPr>
        <w:pStyle w:val="Inhaltsverzeichnis1"/>
        <w:tabs>
          <w:tab w:val="right" w:pos="9638" w:leader="dot"/>
        </w:tabs>
        <w:rPr/>
      </w:pPr>
      <w:r>
        <w:fldChar w:fldCharType="begin"/>
      </w:r>
      <w:r>
        <w:rPr>
          <w:webHidden/>
          <w:rStyle w:val="Verzeichnissprung"/>
        </w:rPr>
        <w:instrText> TOC \z \o "1-3" \u \h</w:instrText>
      </w:r>
      <w:r>
        <w:rPr>
          <w:webHidden/>
          <w:rStyle w:val="Verzeichnissprung"/>
        </w:rPr>
        <w:fldChar w:fldCharType="separate"/>
      </w:r>
      <w:hyperlink w:anchor="__RefHeading___Toc8934_2808305147">
        <w:r>
          <w:rPr>
            <w:webHidden/>
            <w:rStyle w:val="Verzeichnissprung"/>
          </w:rPr>
          <w:t>PART 0. Project summary and involvement in previous relevant projects</w:t>
          <w:tab/>
          <w:t>3</w:t>
        </w:r>
      </w:hyperlink>
    </w:p>
    <w:p>
      <w:pPr>
        <w:pStyle w:val="Inhaltsverzeichnis1"/>
        <w:tabs>
          <w:tab w:val="right" w:pos="9638" w:leader="dot"/>
        </w:tabs>
        <w:rPr/>
      </w:pPr>
      <w:hyperlink w:anchor="__RefHeading___Toc4454_3374853057">
        <w:r>
          <w:rPr>
            <w:webHidden/>
            <w:rStyle w:val="Verzeichnissprung"/>
          </w:rPr>
          <w:t>PART I. Project relevance</w:t>
          <w:tab/>
          <w:t>4</w:t>
        </w:r>
      </w:hyperlink>
    </w:p>
    <w:p>
      <w:pPr>
        <w:pStyle w:val="Inhaltsverzeichnis1"/>
        <w:tabs>
          <w:tab w:val="right" w:pos="9638" w:leader="dot"/>
        </w:tabs>
        <w:rPr/>
      </w:pPr>
      <w:hyperlink w:anchor="__RefHeading___Toc4456_3374853057">
        <w:r>
          <w:rPr>
            <w:webHidden/>
            <w:rStyle w:val="Verzeichnissprung"/>
          </w:rPr>
          <w:t>PART II. Quality of the project design and implementation</w:t>
          <w:tab/>
          <w:t>6</w:t>
        </w:r>
      </w:hyperlink>
    </w:p>
    <w:p>
      <w:pPr>
        <w:pStyle w:val="Inhaltsverzeichnis1"/>
        <w:tabs>
          <w:tab w:val="right" w:pos="9638" w:leader="dot"/>
        </w:tabs>
        <w:rPr/>
      </w:pPr>
      <w:hyperlink w:anchor="__RefHeading___Toc4458_3374853057">
        <w:r>
          <w:rPr>
            <w:webHidden/>
            <w:rStyle w:val="Verzeichnissprung"/>
          </w:rPr>
          <w:t>PART III. Quality of the partnership, the team and the cooperation arrangements</w:t>
          <w:tab/>
          <w:t>9</w:t>
        </w:r>
      </w:hyperlink>
    </w:p>
    <w:p>
      <w:pPr>
        <w:pStyle w:val="Inhaltsverzeichnis3"/>
        <w:tabs>
          <w:tab w:val="right" w:pos="9638" w:leader="dot"/>
        </w:tabs>
        <w:rPr/>
      </w:pPr>
      <w:hyperlink w:anchor="__RefHeading___Toc4460_3374853057">
        <w:r>
          <w:rPr>
            <w:webHidden/>
            <w:rStyle w:val="Verzeichnissprung"/>
          </w:rPr>
          <w:t>III.3.1. Partner number – P1 – (Leipzig University</w:t>
        </w:r>
        <w:r>
          <w:rPr>
            <w:rStyle w:val="Verzeichnissprung"/>
            <w:i/>
          </w:rPr>
          <w:t>)</w:t>
        </w:r>
        <w:r>
          <w:rPr>
            <w:rStyle w:val="Verzeichnissprung"/>
          </w:rPr>
          <w:tab/>
          <w:t>12</w:t>
        </w:r>
      </w:hyperlink>
    </w:p>
    <w:p>
      <w:pPr>
        <w:pStyle w:val="Inhaltsverzeichnis3"/>
        <w:tabs>
          <w:tab w:val="right" w:pos="9638" w:leader="dot"/>
        </w:tabs>
        <w:rPr/>
      </w:pPr>
      <w:hyperlink w:anchor="__RefHeading___Toc4462_3374853057">
        <w:r>
          <w:rPr>
            <w:webHidden/>
            <w:rStyle w:val="Verzeichnissprung"/>
          </w:rPr>
          <w:t>III.3.2. Partner number – P2 – (HS Offenburg</w:t>
        </w:r>
        <w:r>
          <w:rPr>
            <w:rStyle w:val="Verzeichnissprung"/>
            <w:i/>
          </w:rPr>
          <w:t>)</w:t>
        </w:r>
        <w:r>
          <w:rPr>
            <w:rStyle w:val="Verzeichnissprung"/>
          </w:rPr>
          <w:tab/>
          <w:t>14</w:t>
        </w:r>
      </w:hyperlink>
    </w:p>
    <w:p>
      <w:pPr>
        <w:pStyle w:val="Inhaltsverzeichnis3"/>
        <w:tabs>
          <w:tab w:val="right" w:pos="9638" w:leader="dot"/>
        </w:tabs>
        <w:rPr/>
      </w:pPr>
      <w:hyperlink w:anchor="__RefHeading___Toc4464_3374853057">
        <w:r>
          <w:rPr>
            <w:webHidden/>
            <w:rStyle w:val="Verzeichnissprung"/>
          </w:rPr>
          <w:t>III.3.3. Partner number – P3 – (INSA Strasbourg</w:t>
        </w:r>
        <w:r>
          <w:rPr>
            <w:rStyle w:val="Verzeichnissprung"/>
            <w:i/>
          </w:rPr>
          <w:t>)</w:t>
        </w:r>
        <w:r>
          <w:rPr>
            <w:rStyle w:val="Verzeichnissprung"/>
          </w:rPr>
          <w:tab/>
          <w:t>15</w:t>
        </w:r>
      </w:hyperlink>
    </w:p>
    <w:p>
      <w:pPr>
        <w:pStyle w:val="Inhaltsverzeichnis3"/>
        <w:tabs>
          <w:tab w:val="right" w:pos="9638" w:leader="dot"/>
        </w:tabs>
        <w:rPr/>
      </w:pPr>
      <w:hyperlink w:anchor="__RefHeading___Toc4466_3374853057">
        <w:r>
          <w:rPr>
            <w:webHidden/>
            <w:rStyle w:val="Verzeichnissprung"/>
          </w:rPr>
          <w:t>III.3.4. Partner number – P4 – (BUT Brno</w:t>
        </w:r>
        <w:r>
          <w:rPr>
            <w:rStyle w:val="Verzeichnissprung"/>
            <w:i/>
          </w:rPr>
          <w:t>)</w:t>
        </w:r>
        <w:r>
          <w:rPr>
            <w:rStyle w:val="Verzeichnissprung"/>
          </w:rPr>
          <w:tab/>
          <w:t>16</w:t>
        </w:r>
      </w:hyperlink>
    </w:p>
    <w:p>
      <w:pPr>
        <w:pStyle w:val="Inhaltsverzeichnis3"/>
        <w:tabs>
          <w:tab w:val="right" w:pos="9638" w:leader="dot"/>
        </w:tabs>
        <w:rPr/>
      </w:pPr>
      <w:hyperlink w:anchor="__RefHeading___Toc4468_3374853057">
        <w:r>
          <w:rPr>
            <w:webHidden/>
            <w:rStyle w:val="Verzeichnissprung"/>
          </w:rPr>
          <w:t>III.3.5. Partner number – P5 – (UTC Cluj-Napoca</w:t>
        </w:r>
        <w:r>
          <w:rPr>
            <w:rStyle w:val="Verzeichnissprung"/>
            <w:i/>
          </w:rPr>
          <w:t>)</w:t>
        </w:r>
        <w:r>
          <w:rPr>
            <w:rStyle w:val="Verzeichnissprung"/>
          </w:rPr>
          <w:tab/>
          <w:t>17</w:t>
        </w:r>
      </w:hyperlink>
    </w:p>
    <w:p>
      <w:pPr>
        <w:pStyle w:val="Inhaltsverzeichnis3"/>
        <w:tabs>
          <w:tab w:val="right" w:pos="9638" w:leader="dot"/>
        </w:tabs>
        <w:rPr/>
      </w:pPr>
      <w:hyperlink w:anchor="__RefHeading___Toc4470_3374853057">
        <w:r>
          <w:rPr>
            <w:webHidden/>
            <w:rStyle w:val="Verzeichnissprung"/>
          </w:rPr>
          <w:t>III.3.6. Partner number – P6 – (</w:t>
        </w:r>
        <w:r>
          <w:rPr>
            <w:rStyle w:val="Verzeichnissprung"/>
            <w:i w:val="false"/>
            <w:iCs w:val="false"/>
          </w:rPr>
          <w:t>LUT Lappenranta)</w:t>
        </w:r>
        <w:r>
          <w:rPr>
            <w:rStyle w:val="Verzeichnissprung"/>
          </w:rPr>
          <w:tab/>
          <w:t>18</w:t>
        </w:r>
      </w:hyperlink>
    </w:p>
    <w:p>
      <w:pPr>
        <w:pStyle w:val="Inhaltsverzeichnis3"/>
        <w:tabs>
          <w:tab w:val="right" w:pos="9638" w:leader="dot"/>
        </w:tabs>
        <w:rPr/>
      </w:pPr>
      <w:hyperlink w:anchor="__RefHeading___Toc4472_3374853057">
        <w:r>
          <w:rPr>
            <w:webHidden/>
            <w:rStyle w:val="Verzeichnissprung"/>
          </w:rPr>
          <w:t>III.3.7. Partner number – P7 – (HTBLA Wolfsberg)</w:t>
          <w:tab/>
          <w:t>19</w:t>
        </w:r>
      </w:hyperlink>
    </w:p>
    <w:p>
      <w:pPr>
        <w:pStyle w:val="Inhaltsverzeichnis3"/>
        <w:tabs>
          <w:tab w:val="right" w:pos="9638" w:leader="dot"/>
        </w:tabs>
        <w:rPr/>
      </w:pPr>
      <w:hyperlink w:anchor="__RefHeading___Toc4474_3374853057">
        <w:r>
          <w:rPr>
            <w:webHidden/>
            <w:rStyle w:val="Verzeichnissprung"/>
          </w:rPr>
          <w:t>III.3.8. Partner number – P8 – (</w:t>
        </w:r>
        <w:r>
          <w:rPr>
            <w:rStyle w:val="Verzeichnissprung"/>
            <w:i w:val="false"/>
            <w:iCs w:val="false"/>
          </w:rPr>
          <w:t>Schaeffler AG)</w:t>
        </w:r>
        <w:r>
          <w:rPr>
            <w:rStyle w:val="Verzeichnissprung"/>
          </w:rPr>
          <w:tab/>
          <w:t>20</w:t>
        </w:r>
      </w:hyperlink>
    </w:p>
    <w:p>
      <w:pPr>
        <w:pStyle w:val="Inhaltsverzeichnis3"/>
        <w:tabs>
          <w:tab w:val="right" w:pos="9638" w:leader="dot"/>
        </w:tabs>
        <w:rPr/>
      </w:pPr>
      <w:hyperlink w:anchor="__RefHeading___Toc9667_2808305147">
        <w:r>
          <w:rPr>
            <w:webHidden/>
            <w:rStyle w:val="Verzeichnissprung"/>
          </w:rPr>
          <w:t>III.3.9. Partner number – P9 – (Arxia SRL</w:t>
        </w:r>
        <w:r>
          <w:rPr>
            <w:rStyle w:val="Verzeichnissprung"/>
            <w:i w:val="false"/>
            <w:iCs w:val="false"/>
          </w:rPr>
          <w:t>)</w:t>
        </w:r>
        <w:r>
          <w:rPr>
            <w:rStyle w:val="Verzeichnissprung"/>
          </w:rPr>
          <w:tab/>
          <w:t>21</w:t>
        </w:r>
      </w:hyperlink>
    </w:p>
    <w:p>
      <w:pPr>
        <w:pStyle w:val="Inhaltsverzeichnis3"/>
        <w:tabs>
          <w:tab w:val="right" w:pos="9638" w:leader="dot"/>
        </w:tabs>
        <w:rPr/>
      </w:pPr>
      <w:hyperlink w:anchor="__RefHeading___Toc9671_2808305147">
        <w:r>
          <w:rPr>
            <w:webHidden/>
            <w:rStyle w:val="Verzeichnissprung"/>
          </w:rPr>
          <w:t>III.3.10. Partner number – P10 – (Tehnoprod Plast SRL</w:t>
        </w:r>
        <w:r>
          <w:rPr>
            <w:rStyle w:val="Verzeichnissprung"/>
            <w:i w:val="false"/>
            <w:iCs w:val="false"/>
          </w:rPr>
          <w:t>)</w:t>
        </w:r>
        <w:r>
          <w:rPr>
            <w:rStyle w:val="Verzeichnissprung"/>
          </w:rPr>
          <w:tab/>
          <w:t>22</w:t>
        </w:r>
      </w:hyperlink>
    </w:p>
    <w:p>
      <w:pPr>
        <w:pStyle w:val="Inhaltsverzeichnis3"/>
        <w:tabs>
          <w:tab w:val="right" w:pos="9638" w:leader="dot"/>
        </w:tabs>
        <w:rPr/>
      </w:pPr>
      <w:hyperlink w:anchor="__RefHeading___Toc9673_2808305147">
        <w:r>
          <w:rPr>
            <w:webHidden/>
            <w:rStyle w:val="Verzeichnissprung"/>
          </w:rPr>
          <w:t>III.3.11. Partner number – P11 – (Target Invention Minsk)</w:t>
          <w:tab/>
          <w:t>23</w:t>
        </w:r>
      </w:hyperlink>
    </w:p>
    <w:p>
      <w:pPr>
        <w:pStyle w:val="Inhaltsverzeichnis3"/>
        <w:tabs>
          <w:tab w:val="right" w:pos="9638" w:leader="dot"/>
        </w:tabs>
        <w:rPr/>
      </w:pPr>
      <w:hyperlink w:anchor="__RefHeading___Toc4478_3374853057">
        <w:r>
          <w:rPr>
            <w:webHidden/>
            <w:rStyle w:val="Verzeichnissprung"/>
          </w:rPr>
          <w:t>III.3.12. Partner number – P12 – (NPK Consult Moscow)</w:t>
          <w:tab/>
          <w:t>24</w:t>
        </w:r>
      </w:hyperlink>
    </w:p>
    <w:p>
      <w:pPr>
        <w:pStyle w:val="Inhaltsverzeichnis3"/>
        <w:tabs>
          <w:tab w:val="right" w:pos="9638" w:leader="dot"/>
        </w:tabs>
        <w:rPr/>
      </w:pPr>
      <w:hyperlink w:anchor="__RefHeading___Toc4480_3374853057">
        <w:r>
          <w:rPr>
            <w:webHidden/>
            <w:rStyle w:val="Verzeichnissprung"/>
          </w:rPr>
          <w:t>III.3.13. Partner number – P13 – (BM TRIZ Chelyabinsk)</w:t>
          <w:tab/>
          <w:t>25</w:t>
        </w:r>
      </w:hyperlink>
    </w:p>
    <w:p>
      <w:pPr>
        <w:pStyle w:val="Inhaltsverzeichnis1"/>
        <w:tabs>
          <w:tab w:val="right" w:pos="9638" w:leader="dot"/>
        </w:tabs>
        <w:rPr/>
      </w:pPr>
      <w:hyperlink w:anchor="__RefHeading___Toc4482_3374853057">
        <w:r>
          <w:rPr>
            <w:webHidden/>
            <w:rStyle w:val="Verzeichnissprung"/>
          </w:rPr>
          <w:t>PART IV. Impact, dissemination, exploitation, and sustainability</w:t>
          <w:tab/>
          <w:t>27</w:t>
        </w:r>
      </w:hyperlink>
    </w:p>
    <w:p>
      <w:pPr>
        <w:pStyle w:val="Inhaltsverzeichnis1"/>
        <w:tabs>
          <w:tab w:val="right" w:pos="9638" w:leader="dot"/>
        </w:tabs>
        <w:rPr/>
      </w:pPr>
      <w:hyperlink w:anchor="__RefHeading___Toc4484_3374853057">
        <w:r>
          <w:rPr>
            <w:webHidden/>
            <w:rStyle w:val="Verzeichnissprung"/>
          </w:rPr>
          <w:t>PART V. Specific arrangements regarding learning mobility (if applicable)</w:t>
          <w:tab/>
          <w:t>30</w:t>
        </w:r>
      </w:hyperlink>
    </w:p>
    <w:p>
      <w:pPr>
        <w:pStyle w:val="Inhaltsverzeichnis1"/>
        <w:tabs>
          <w:tab w:val="right" w:pos="9638" w:leader="dot"/>
        </w:tabs>
        <w:rPr/>
      </w:pPr>
      <w:hyperlink w:anchor="__RefHeading___Toc4486_3374853057">
        <w:r>
          <w:rPr>
            <w:webHidden/>
            <w:rStyle w:val="Verzeichnissprung"/>
          </w:rPr>
          <w:t>PART VI. Additional project information (if applicable)</w:t>
          <w:tab/>
          <w:t>31</w:t>
        </w:r>
      </w:hyperlink>
    </w:p>
    <w:p>
      <w:pPr>
        <w:pStyle w:val="Inhaltsverzeichnis1"/>
        <w:tabs>
          <w:tab w:val="right" w:pos="9638" w:leader="dot"/>
        </w:tabs>
        <w:rPr/>
      </w:pPr>
      <w:hyperlink w:anchor="__RefHeading___Toc4488_3374853057">
        <w:r>
          <w:rPr>
            <w:webHidden/>
            <w:rStyle w:val="Verzeichnissprung"/>
          </w:rPr>
          <w:t>PART VII. Work Plan and Work Packages</w:t>
          <w:tab/>
          <w:t>32</w:t>
        </w:r>
      </w:hyperlink>
    </w:p>
    <w:p>
      <w:pPr>
        <w:pStyle w:val="Inhaltsverzeichnis1"/>
        <w:tabs>
          <w:tab w:val="right" w:pos="9638" w:leader="dot"/>
        </w:tabs>
        <w:rPr/>
      </w:pPr>
      <w:hyperlink w:anchor="__RefHeading___Toc4490_3374853057">
        <w:r>
          <w:rPr>
            <w:webHidden/>
            <w:rStyle w:val="Verzeichnissprung"/>
          </w:rPr>
          <w:t>PART VIII. Specific arrangements regarding Associated Partners (if applicable)</w:t>
          <w:tab/>
          <w:t>48</w:t>
        </w:r>
      </w:hyperlink>
    </w:p>
    <w:p>
      <w:pPr>
        <w:pStyle w:val="Inhaltsverzeichnis1"/>
        <w:tabs>
          <w:tab w:val="right" w:pos="9638" w:leader="dot"/>
        </w:tabs>
        <w:rPr/>
      </w:pPr>
      <w:hyperlink w:anchor="__RefHeading___Toc4492_3374853057">
        <w:r>
          <w:rPr>
            <w:webHidden/>
            <w:rStyle w:val="Verzeichnissprung"/>
          </w:rPr>
          <w:t>Annex – Affiliated Entities (if applicable)</w:t>
          <w:tab/>
          <w:t>49</w:t>
        </w:r>
      </w:hyperlink>
    </w:p>
    <w:p>
      <w:pPr>
        <w:pStyle w:val="Normal"/>
        <w:rPr/>
      </w:pPr>
      <w:r>
        <w:rPr/>
      </w:r>
      <w:r>
        <w:rPr/>
        <w:fldChar w:fldCharType="end"/>
      </w:r>
      <w:r>
        <w:br w:type="page"/>
      </w:r>
    </w:p>
    <w:p>
      <w:pPr>
        <w:pStyle w:val="Berschrift1"/>
        <w:shd w:val="clear" w:color="auto" w:fill="404040"/>
        <w:tabs>
          <w:tab w:val="left" w:pos="3649" w:leader="none"/>
          <w:tab w:val="left" w:pos="5349" w:leader="none"/>
          <w:tab w:val="left" w:pos="7992" w:leader="none"/>
          <w:tab w:val="left" w:pos="9409" w:leader="none"/>
          <w:tab w:val="left" w:pos="10778" w:leader="none"/>
        </w:tabs>
        <w:jc w:val="both"/>
        <w:rPr>
          <w:i w:val="false"/>
          <w:i w:val="false"/>
          <w:iCs w:val="false"/>
          <w:color w:val="FFFFFF"/>
        </w:rPr>
      </w:pPr>
      <w:bookmarkStart w:id="1" w:name="__RefHeading___Toc8934_2808305147"/>
      <w:bookmarkStart w:id="2" w:name="_Toc24546583"/>
      <w:bookmarkEnd w:id="1"/>
      <w:r>
        <w:rPr>
          <w:rFonts w:ascii="Times New Roman" w:hAnsi="Times New Roman"/>
          <w:bCs/>
          <w:i w:val="false"/>
          <w:iCs w:val="false"/>
          <w:color w:val="FFFFFF"/>
          <w:szCs w:val="20"/>
        </w:rPr>
        <w:t>PART 0. Project summary and involvement in previous relevant projects</w:t>
      </w:r>
      <w:bookmarkEnd w:id="2"/>
      <w:r>
        <w:rPr>
          <w:rFonts w:ascii="Times New Roman" w:hAnsi="Times New Roman"/>
          <w:bCs/>
          <w:i w:val="false"/>
          <w:iCs w:val="false"/>
          <w:color w:val="FFFFFF"/>
          <w:szCs w:val="20"/>
        </w:rPr>
        <w:t xml:space="preserve"> </w:t>
      </w:r>
    </w:p>
    <w:p>
      <w:pPr>
        <w:pStyle w:val="Text1"/>
        <w:ind w:left="0" w:hanging="0"/>
        <w:rPr>
          <w:i/>
          <w:i/>
          <w:color w:val="FF0000"/>
          <w:sz w:val="22"/>
          <w:szCs w:val="22"/>
        </w:rPr>
      </w:pPr>
      <w:bookmarkStart w:id="3" w:name="_Toc24546584"/>
      <w:r>
        <w:rPr>
          <w:rStyle w:val="Heading2Cha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 xml:space="preserve">Please bear in mind that your short summary may be published on EC or/and EACEA websites and dissemination tools.   </w:t>
      </w:r>
    </w:p>
    <w:tbl>
      <w:tblPr>
        <w:tblW w:w="964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43"/>
      </w:tblGrid>
      <w:tr>
        <w:trPr>
          <w:trHeight w:val="1058" w:hRule="atLeast"/>
        </w:trPr>
        <w:tc>
          <w:tcPr>
            <w:tcW w:w="964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Systematic Innovation Methodologies (SIM) are the basis </w:t>
            </w:r>
            <w:r>
              <w:rPr>
                <w:szCs w:val="20"/>
              </w:rPr>
              <w:t xml:space="preserve">of </w:t>
            </w:r>
            <w:r>
              <w:rPr>
                <w:szCs w:val="20"/>
              </w:rPr>
              <w:t xml:space="preserve">important cross-sectional skills not only in engineering </w:t>
            </w:r>
            <w:r>
              <w:rPr>
                <w:szCs w:val="20"/>
              </w:rPr>
              <w:t xml:space="preserve">and </w:t>
            </w:r>
            <w:r>
              <w:rPr>
                <w:szCs w:val="20"/>
              </w:rPr>
              <w:t xml:space="preserve">technical professions, but increasingly also for the middle management. </w:t>
            </w:r>
            <w:r>
              <w:rPr>
                <w:szCs w:val="20"/>
              </w:rPr>
              <w:t xml:space="preserve">Such skills have </w:t>
            </w:r>
            <w:r>
              <w:rPr>
                <w:szCs w:val="20"/>
              </w:rPr>
              <w:t xml:space="preserve">a significant influence on the cultural-technical development </w:t>
            </w:r>
            <w:r>
              <w:rPr>
                <w:szCs w:val="20"/>
              </w:rPr>
              <w:t xml:space="preserve">potential </w:t>
            </w:r>
            <w:r>
              <w:rPr>
                <w:szCs w:val="20"/>
              </w:rPr>
              <w:t>of companies. TRIZ</w:t>
            </w:r>
            <w:r>
              <w:rPr>
                <w:rStyle w:val="Funotenanker"/>
                <w:rStyle w:val="Funotenanker"/>
                <w:szCs w:val="20"/>
              </w:rPr>
              <w:footnoteReference w:id="2"/>
            </w:r>
            <w:r>
              <w:rPr>
                <w:szCs w:val="20"/>
              </w:rPr>
              <w:t xml:space="preserve"> as </w:t>
            </w:r>
            <w:r>
              <w:rPr>
                <w:szCs w:val="20"/>
              </w:rPr>
              <w:t xml:space="preserve">an </w:t>
            </w:r>
            <w:r>
              <w:rPr>
                <w:szCs w:val="20"/>
              </w:rPr>
              <w:t xml:space="preserve">important </w:t>
            </w:r>
            <w:r>
              <w:rPr>
                <w:szCs w:val="20"/>
              </w:rPr>
              <w:t xml:space="preserve">such methodology </w:t>
            </w:r>
            <w:r>
              <w:rPr>
                <w:szCs w:val="20"/>
              </w:rPr>
              <w:t xml:space="preserve">that </w:t>
            </w:r>
            <w:r>
              <w:rPr>
                <w:szCs w:val="20"/>
              </w:rPr>
              <w:t xml:space="preserve">was </w:t>
            </w:r>
            <w:r>
              <w:rPr>
                <w:szCs w:val="20"/>
              </w:rPr>
              <w:t xml:space="preserve">developed in Eastern Europe over the past 50 years has meanwhile been used successfully in large companies around the world (Samsung, Posco, Siemens, Schaeffler and others). </w:t>
            </w:r>
            <w:r>
              <w:rPr>
                <w:szCs w:val="20"/>
              </w:rPr>
              <w:t>I</w:t>
            </w:r>
            <w:r>
              <w:rPr>
                <w:szCs w:val="20"/>
              </w:rPr>
              <w:t xml:space="preserve">ts anchoring in academic teaching and research </w:t>
            </w:r>
            <w:r>
              <w:rPr>
                <w:szCs w:val="20"/>
              </w:rPr>
              <w:t xml:space="preserve">as well as its application in SME </w:t>
            </w:r>
            <w:r>
              <w:rPr>
                <w:szCs w:val="20"/>
              </w:rPr>
              <w:t xml:space="preserve">in the EU area is still weak </w:t>
            </w:r>
            <w:r>
              <w:rPr>
                <w:szCs w:val="20"/>
              </w:rPr>
              <w:t xml:space="preserve">compared </w:t>
            </w:r>
            <w:r>
              <w:rPr>
                <w:szCs w:val="20"/>
              </w:rPr>
              <w:t xml:space="preserve">to Asian industrialized nations </w:t>
            </w:r>
            <w:r>
              <w:rPr>
                <w:szCs w:val="20"/>
              </w:rPr>
              <w:t xml:space="preserve">as </w:t>
            </w:r>
            <w:r>
              <w:rPr>
                <w:szCs w:val="20"/>
              </w:rPr>
              <w:t>South Korea, China, Japan.</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This Knowledge Alliance </w:t>
            </w:r>
            <w:r>
              <w:rPr>
                <w:b/>
                <w:bCs/>
                <w:szCs w:val="20"/>
              </w:rPr>
              <w:t>aims to</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1. </w:t>
            </w:r>
            <w:r>
              <w:rPr>
                <w:b/>
                <w:bCs/>
                <w:szCs w:val="20"/>
              </w:rPr>
              <w:t xml:space="preserve">build up </w:t>
            </w:r>
            <w:r>
              <w:rPr>
                <w:szCs w:val="20"/>
              </w:rPr>
              <w:t xml:space="preserve">a </w:t>
            </w:r>
            <w:r>
              <w:rPr>
                <w:szCs w:val="20"/>
              </w:rPr>
              <w:t xml:space="preserve">strong </w:t>
            </w:r>
            <w:r>
              <w:rPr>
                <w:szCs w:val="20"/>
              </w:rPr>
              <w:t>network</w:t>
            </w:r>
            <w:r>
              <w:rPr>
                <w:szCs w:val="20"/>
              </w:rPr>
              <w:t>ing</w:t>
            </w:r>
            <w:r>
              <w:rPr>
                <w:szCs w:val="20"/>
              </w:rPr>
              <w:t xml:space="preserve"> </w:t>
            </w:r>
            <w:r>
              <w:rPr>
                <w:szCs w:val="20"/>
              </w:rPr>
              <w:t xml:space="preserve">structure </w:t>
            </w:r>
            <w:r>
              <w:rPr>
                <w:szCs w:val="20"/>
              </w:rPr>
              <w:t xml:space="preserve">of already successful teaching and training SIM in </w:t>
            </w:r>
            <w:r>
              <w:rPr>
                <w:szCs w:val="20"/>
              </w:rPr>
              <w:t xml:space="preserve">HEI </w:t>
            </w:r>
            <w:r>
              <w:rPr>
                <w:szCs w:val="20"/>
              </w:rPr>
              <w:t xml:space="preserve">at different EU locations and in different forms of HEI </w:t>
            </w:r>
            <w:r>
              <w:rPr>
                <w:szCs w:val="20"/>
              </w:rPr>
              <w:t>(</w:t>
            </w:r>
            <w:r>
              <w:rPr>
                <w:b/>
                <w:bCs/>
                <w:szCs w:val="20"/>
              </w:rPr>
              <w:t>focus A</w:t>
            </w:r>
            <w:r>
              <w:rPr>
                <w:szCs w:val="20"/>
              </w:rPr>
              <w:t>)</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2</w:t>
            </w:r>
            <w:r>
              <w:rPr>
                <w:szCs w:val="20"/>
              </w:rPr>
              <w:t xml:space="preserve">. </w:t>
            </w:r>
            <w:r>
              <w:rPr>
                <w:b/>
                <w:bCs/>
                <w:szCs w:val="20"/>
              </w:rPr>
              <w:t xml:space="preserve">set up and </w:t>
            </w:r>
            <w:r>
              <w:rPr>
                <w:b/>
                <w:bCs/>
                <w:szCs w:val="20"/>
              </w:rPr>
              <w:t xml:space="preserve">develop </w:t>
            </w:r>
            <w:r>
              <w:rPr>
                <w:szCs w:val="20"/>
              </w:rPr>
              <w:t xml:space="preserve">a consulting and participation structure </w:t>
            </w:r>
            <w:r>
              <w:rPr>
                <w:szCs w:val="20"/>
              </w:rPr>
              <w:t xml:space="preserve">for this training infrastructure by </w:t>
            </w:r>
            <w:r>
              <w:rPr>
                <w:szCs w:val="20"/>
              </w:rPr>
              <w:t xml:space="preserve">companies from within the EU </w:t>
            </w:r>
            <w:r>
              <w:rPr>
                <w:szCs w:val="20"/>
              </w:rPr>
              <w:t>that are aware of the potential of SIM for the</w:t>
            </w:r>
            <w:r>
              <w:rPr>
                <w:szCs w:val="20"/>
              </w:rPr>
              <w:t>ir</w:t>
            </w:r>
            <w:r>
              <w:rPr>
                <w:szCs w:val="20"/>
              </w:rPr>
              <w:t xml:space="preserve"> strategic development (</w:t>
            </w:r>
            <w:r>
              <w:rPr>
                <w:b/>
                <w:bCs/>
                <w:szCs w:val="20"/>
              </w:rPr>
              <w:t>focus B</w:t>
            </w:r>
            <w:r>
              <w:rPr>
                <w:szCs w:val="20"/>
              </w:rPr>
              <w:t>)</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3. </w:t>
            </w:r>
            <w:r>
              <w:rPr>
                <w:b/>
                <w:bCs/>
                <w:szCs w:val="20"/>
              </w:rPr>
              <w:t>organise interoperation</w:t>
            </w:r>
            <w:r>
              <w:rPr>
                <w:szCs w:val="20"/>
              </w:rPr>
              <w:t xml:space="preserve"> </w:t>
            </w:r>
            <w:r>
              <w:rPr>
                <w:szCs w:val="20"/>
              </w:rPr>
              <w:t xml:space="preserve">between these two networks, to get practical input for </w:t>
            </w:r>
            <w:r>
              <w:rPr>
                <w:szCs w:val="20"/>
              </w:rPr>
              <w:t xml:space="preserve">the development of corresponding curricula </w:t>
            </w:r>
            <w:r>
              <w:rPr>
                <w:szCs w:val="20"/>
              </w:rPr>
              <w:t xml:space="preserve">on the one hand </w:t>
            </w:r>
            <w:r>
              <w:rPr>
                <w:szCs w:val="20"/>
              </w:rPr>
              <w:t xml:space="preserve">and on the other hand, </w:t>
            </w:r>
            <w:r>
              <w:rPr>
                <w:szCs w:val="20"/>
              </w:rPr>
              <w:t xml:space="preserve">to </w:t>
            </w:r>
            <w:r>
              <w:rPr>
                <w:szCs w:val="20"/>
              </w:rPr>
              <w:t>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4</w:t>
            </w:r>
            <w:r>
              <w:rPr>
                <w:szCs w:val="20"/>
              </w:rPr>
              <w:t xml:space="preserve">.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5</w:t>
            </w:r>
            <w:r>
              <w:rPr>
                <w:szCs w:val="20"/>
              </w:rPr>
              <w:t xml:space="preserve">. </w:t>
            </w:r>
            <w:r>
              <w:rPr>
                <w:b/>
                <w:bCs/>
                <w:szCs w:val="20"/>
              </w:rPr>
              <w:t>further expand</w:t>
            </w:r>
            <w:r>
              <w:rPr>
                <w:b w:val="false"/>
                <w:bCs w:val="false"/>
                <w:szCs w:val="20"/>
              </w:rPr>
              <w:t xml:space="preserve"> </w:t>
            </w:r>
            <w:r>
              <w:rPr>
                <w:b w:val="false"/>
                <w:bCs w:val="false"/>
                <w:szCs w:val="20"/>
              </w:rPr>
              <w:t>these</w:t>
            </w:r>
            <w:r>
              <w:rPr>
                <w:szCs w:val="20"/>
              </w:rPr>
              <w:t xml:space="preserve"> network</w:t>
            </w:r>
            <w:r>
              <w:rPr>
                <w:szCs w:val="20"/>
              </w:rPr>
              <w:t>s</w:t>
            </w:r>
            <w:r>
              <w:rPr>
                <w:szCs w:val="20"/>
              </w:rPr>
              <w:t xml:space="preserve"> </w:t>
            </w:r>
            <w:r>
              <w:rPr>
                <w:szCs w:val="20"/>
              </w:rPr>
              <w:t xml:space="preserve">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6</w:t>
            </w:r>
            <w:r>
              <w:rPr>
                <w:szCs w:val="20"/>
              </w:rPr>
              <w:t xml:space="preserve">.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w:t>
            </w:r>
            <w:r>
              <w:rPr>
                <w:b/>
                <w:bCs/>
                <w:szCs w:val="20"/>
              </w:rPr>
              <w:t xml:space="preserve">overall </w:t>
            </w:r>
            <w:r>
              <w:rPr>
                <w:b/>
                <w:bCs/>
                <w:szCs w:val="20"/>
              </w:rPr>
              <w:t xml:space="preserve">focus of the project </w:t>
            </w:r>
            <w:r>
              <w:rPr>
                <w:szCs w:val="20"/>
              </w:rPr>
              <w:t xml:space="preserve">is on strengthening the innovative power of EU companies by establishing and expanding corresponding structures of training and further education </w:t>
            </w:r>
            <w:r>
              <w:rPr>
                <w:szCs w:val="20"/>
              </w:rPr>
              <w:t xml:space="preserve">in </w:t>
            </w:r>
            <w:r>
              <w:rPr>
                <w:szCs w:val="20"/>
              </w:rPr>
              <w:t xml:space="preserve">close and sustainable cooperation with entrepreneurial structures </w:t>
            </w:r>
            <w:r>
              <w:rPr>
                <w:szCs w:val="20"/>
              </w:rPr>
              <w:t>and inter-industrial organisations as e.g. the Chambers of Commerce and Industry</w:t>
            </w:r>
            <w:r>
              <w:rPr>
                <w:szCs w:val="20"/>
              </w:rPr>
              <w:t>.</w:t>
            </w:r>
          </w:p>
          <w:p>
            <w:pPr>
              <w:pStyle w:val="Normal"/>
              <w:tabs>
                <w:tab w:val="left" w:pos="3649" w:leader="none"/>
                <w:tab w:val="left" w:pos="5349" w:leader="none"/>
                <w:tab w:val="left" w:pos="7992" w:leader="none"/>
                <w:tab w:val="left" w:pos="9409" w:leader="none"/>
                <w:tab w:val="left" w:pos="10778" w:leader="none"/>
              </w:tabs>
              <w:jc w:val="both"/>
              <w:rPr/>
            </w:pPr>
            <w:r>
              <w:rPr>
                <w:szCs w:val="20"/>
              </w:rPr>
              <w:t>(2</w:t>
            </w:r>
            <w:r>
              <w:rPr>
                <w:szCs w:val="20"/>
              </w:rPr>
              <w:t>018</w:t>
            </w:r>
            <w:r>
              <w:rPr>
                <w:szCs w:val="20"/>
              </w:rPr>
              <w:t xml:space="preserve">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rStyle w:val="Heading2Char"/>
          <w:color w:val="auto"/>
          <w:sz w:val="22"/>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0"/>
        <w:gridCol w:w="2099"/>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Project / network dates</w:t>
            </w:r>
          </w:p>
          <w:p>
            <w:pPr>
              <w:pStyle w:val="NormalWeb"/>
              <w:spacing w:beforeAutospacing="0" w:before="0" w:afterAutospacing="0" w:after="0"/>
              <w:rPr>
                <w:b/>
                <w:b/>
                <w:bCs/>
                <w:szCs w:val="2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Programme or initiative</w:t>
            </w:r>
          </w:p>
        </w:tc>
        <w:tc>
          <w:tcPr>
            <w:tcW w:w="209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
                <w:b/>
                <w:bCs/>
                <w:szCs w:val="20"/>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szCs w:val="20"/>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
                <w:b/>
                <w:bCs/>
                <w:szCs w:val="20"/>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Cs/>
                <w:szCs w:val="20"/>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footnotePr>
            <w:numFmt w:val="decimal"/>
          </w:footnotePr>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End w:id="5"/>
      <w:r>
        <w:rPr>
          <w:rFonts w:ascii="Times New Roman" w:hAnsi="Times New Roman"/>
        </w:rPr>
        <w:t>PART I. Project relevance</w:t>
      </w:r>
      <w:bookmarkEnd w:id="6"/>
    </w:p>
    <w:p>
      <w:pPr>
        <w:pStyle w:val="Text1"/>
        <w:ind w:left="0" w:hanging="0"/>
        <w:rPr/>
      </w:pPr>
      <w:bookmarkStart w:id="7" w:name="_Toc24546587"/>
      <w:r>
        <w:rPr>
          <w:rStyle w:val="Heading2Char"/>
          <w:color w:val="auto"/>
          <w:sz w:val="22"/>
        </w:rPr>
        <w:t>I.1. Why has the consortium decided to undertake this project?</w:t>
      </w:r>
      <w:bookmarkEnd w:id="7"/>
      <w:r>
        <w:rPr>
          <w:rStyle w:val="Heading2Char"/>
          <w:color w:val="auto"/>
          <w:sz w:val="22"/>
        </w:rPr>
        <w:t xml:space="preserve"> </w:t>
      </w:r>
    </w:p>
    <w:p>
      <w:pPr>
        <w:pStyle w:val="Normal"/>
        <w:rPr>
          <w:i/>
          <w:i/>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8" w:name="__RefHeading___Toc4396_2808305147"/>
            <w:bookmarkEnd w:id="8"/>
            <w:r>
              <w:rPr>
                <w:b w:val="false"/>
                <w:bCs w:val="false"/>
              </w:rPr>
              <w:t>The imparting of knowledge and skills in the field of SIM has a growing importance as a cross-sectional qualification, not only in engineering and computer science studies, in order to develop the skill for systematic analysis of complex contradictional situations in everyday professional life and to develop innovative solutions. The systematic dissemination of such methodologies already plays an important role in training in Asia (China, South Korea, Japan), for example in the framework of the MEOTM program</w:t>
            </w:r>
            <w:r>
              <w:rPr>
                <w:rStyle w:val="Funotenanker"/>
                <w:rStyle w:val="Funotenanker"/>
                <w:b w:val="false"/>
                <w:bCs w:val="false"/>
              </w:rPr>
              <w:footnoteReference w:id="3"/>
            </w:r>
            <w:r>
              <w:rPr>
                <w:b w:val="false"/>
                <w:bCs w:val="false"/>
              </w:rPr>
              <w:t xml:space="preserve"> of nationwide coordinated training of engineers in these methodologies in China. Such activities are coordinated worldwide by the international TRIZ organization MA TRIZ</w:t>
            </w:r>
            <w:r>
              <w:rPr>
                <w:rStyle w:val="Funotenanker"/>
                <w:rStyle w:val="Funotenanker"/>
                <w:b w:val="false"/>
                <w:bCs w:val="false"/>
              </w:rPr>
              <w:footnoteReference w:id="4"/>
            </w:r>
            <w:r>
              <w:rPr>
                <w:b w:val="false"/>
                <w:bCs w:val="false"/>
              </w:rPr>
              <w:t xml:space="preserve"> and in Europe by ETRIA</w:t>
            </w:r>
            <w:r>
              <w:rPr>
                <w:rStyle w:val="Funotenanker"/>
                <w:rStyle w:val="Funotenanker"/>
                <w:b w:val="false"/>
                <w:bCs w:val="false"/>
              </w:rPr>
              <w:footnoteReference w:id="5"/>
            </w:r>
            <w:r>
              <w:rPr>
                <w:b w:val="false"/>
                <w:bCs w:val="false"/>
              </w:rPr>
              <w:t xml:space="preserve">. </w:t>
            </w:r>
          </w:p>
          <w:p>
            <w:pPr>
              <w:pStyle w:val="Normal"/>
              <w:spacing w:before="0" w:after="57"/>
              <w:jc w:val="both"/>
              <w:rPr/>
            </w:pPr>
            <w:r>
              <w:rPr>
                <w:b w:val="false"/>
                <w:bCs w:val="false"/>
              </w:rPr>
              <w:t>The preparation of the application has shown that European industrial companies do still insufficiently recognise the strategic importance of skills in th</w:t>
            </w:r>
            <w:r>
              <w:rPr>
                <w:b w:val="false"/>
                <w:bCs w:val="false"/>
              </w:rPr>
              <w:t>at</w:t>
            </w:r>
            <w:r>
              <w:rPr>
                <w:b w:val="false"/>
                <w:bCs w:val="false"/>
              </w:rPr>
              <w:t xml:space="preserve"> area, in particular for engineering and technical staff and in the middle management. Since such “investments in education“ are equally difficult to represent in retu</w:t>
            </w:r>
            <w:r>
              <w:rPr>
                <w:b w:val="false"/>
                <w:bCs w:val="false"/>
              </w:rPr>
              <w:t>r</w:t>
            </w:r>
            <w:r>
              <w:rPr>
                <w:b w:val="false"/>
                <w:bCs w:val="false"/>
              </w:rPr>
              <w:t xml:space="preserve">n-on-investment accounts, considerable efforts are required to make structural progress here. The need for corresponding engagements is </w:t>
            </w:r>
            <w:r>
              <w:rPr>
                <w:b w:val="false"/>
                <w:bCs w:val="false"/>
              </w:rPr>
              <w:t xml:space="preserve">more recognised </w:t>
            </w:r>
            <w:r>
              <w:rPr>
                <w:b w:val="false"/>
                <w:bCs w:val="false"/>
              </w:rPr>
              <w:t xml:space="preserve">at the level of comprehensive industrial organization structures (such as the Chambers of Commerce and Industry – CCI) – see the LoI of the CCI Heilbronn – rather </w:t>
            </w:r>
            <w:r>
              <w:rPr>
                <w:b w:val="false"/>
                <w:bCs w:val="false"/>
              </w:rPr>
              <w:t xml:space="preserve">than </w:t>
            </w:r>
            <w:r>
              <w:rPr>
                <w:b w:val="false"/>
                <w:bCs w:val="false"/>
              </w:rPr>
              <w:t xml:space="preserve">at the level of individual companies. At the corporate level, the need for action is also </w:t>
            </w:r>
            <w:r>
              <w:rPr>
                <w:b w:val="false"/>
                <w:bCs w:val="false"/>
              </w:rPr>
              <w:t xml:space="preserve">recognised </w:t>
            </w:r>
            <w:r>
              <w:rPr>
                <w:b w:val="false"/>
                <w:bCs w:val="false"/>
              </w:rPr>
              <w:t xml:space="preserve">more in large companies than in SMEs. </w:t>
            </w:r>
          </w:p>
          <w:p>
            <w:pPr>
              <w:pStyle w:val="Normal"/>
              <w:jc w:val="both"/>
              <w:rPr/>
            </w:pPr>
            <w:r>
              <w:rPr>
                <w:b w:val="false"/>
                <w:bCs w:val="false"/>
              </w:rPr>
              <w:t xml:space="preserve">The proposed project aims to take the networking of these teaching and research activities at different European locations </w:t>
            </w:r>
            <w:r>
              <w:rPr>
                <w:b w:val="false"/>
                <w:bCs w:val="false"/>
              </w:rPr>
              <w:t xml:space="preserve">as well as its recognition and support by industrial companies </w:t>
            </w:r>
            <w:r>
              <w:rPr>
                <w:b w:val="false"/>
                <w:bCs w:val="false"/>
              </w:rPr>
              <w:t>to a new level.</w:t>
            </w:r>
          </w:p>
          <w:p>
            <w:pPr>
              <w:pStyle w:val="Normal"/>
              <w:rPr/>
            </w:pPr>
            <w:r>
              <w:rPr/>
            </w:r>
          </w:p>
          <w:p>
            <w:pPr>
              <w:pStyle w:val="Normal"/>
              <w:rPr/>
            </w:pPr>
            <w:bookmarkStart w:id="9" w:name="__RefHeading___Toc4398_2808305147"/>
            <w:bookmarkEnd w:id="9"/>
            <w:r>
              <w:rPr/>
              <w:t>(</w:t>
            </w:r>
            <w:r>
              <w:rPr/>
              <w:t>2001</w:t>
            </w:r>
            <w:r>
              <w:rPr/>
              <w:t xml:space="preserve"> characters)</w:t>
            </w:r>
          </w:p>
        </w:tc>
      </w:tr>
    </w:tbl>
    <w:p>
      <w:pPr>
        <w:pStyle w:val="Normal"/>
        <w:rPr>
          <w:b/>
          <w:b/>
          <w:szCs w:val="20"/>
        </w:rPr>
      </w:pPr>
      <w:r>
        <w:rPr>
          <w:b/>
          <w:szCs w:val="20"/>
        </w:rPr>
      </w:r>
    </w:p>
    <w:p>
      <w:pPr>
        <w:pStyle w:val="Normal"/>
        <w:rPr>
          <w:i/>
          <w:i/>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formulated in the Programme Guide (p. 133), and acts towards “developing entrepreneurial mind-set and skills“ 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(527 characters)</w:t>
            </w:r>
          </w:p>
        </w:tc>
      </w:tr>
    </w:tbl>
    <w:p>
      <w:pPr>
        <w:pStyle w:val="Normal"/>
        <w:rPr>
          <w:b/>
          <w:b/>
          <w:szCs w:val="20"/>
        </w:rPr>
      </w:pPr>
      <w:r>
        <w:rPr>
          <w:b/>
          <w:szCs w:val="20"/>
        </w:rPr>
      </w:r>
    </w:p>
    <w:p>
      <w:pPr>
        <w:pStyle w:val="Normal"/>
        <w:rPr>
          <w:i/>
          <w:i/>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0" w:name="_Toc24546588"/>
      <w:r>
        <w:rPr>
          <w:rStyle w:val="Heading2Char"/>
          <w:color w:val="auto"/>
          <w:sz w:val="22"/>
        </w:rPr>
        <w:t>I.2. Analysis of the subject area (current state of the art) and innovative character</w:t>
      </w:r>
      <w:bookmarkEnd w:id="10"/>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Sustainable Education in Inventive Problem Solving with TRIZ and Knowledge-Based Innovation at Universities. Proceedings of the 8th International TRIZ Future Conference, TFC 2018,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TRIZ already 35 years in the Czech Republic. Proceedings of the 8th International TRIZ Future Conference, TFC 2015,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3 authors (including full partner Bušov) explain TRIZ teaching needs and experience at several technical universities in the Czech Republic since 1996 (Brno, Prague, Liberec, Pilsen, Ostrava, Zilina, Kosice).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Talks with experts at the international conferences TRIZ Developer Summit (June 2019, Minsk), TRIZ-Fest (September 2019, Heilbronn), TRIZ Future (October 2019, Marrakesh).</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w:t>
            </w:r>
            <w:r>
              <w:rPr>
                <w:szCs w:val="20"/>
              </w:rPr>
              <w:t>TRIZ ... must be capable of supporting innovation in all the new and emerging technologies and methodologies of the 21st century: AI, big data, design thinking, sustainability, IoT, new approaches to education, and so forth“. (Valeri Souchkov in his Report on the TRIZFest 2019)</w:t>
            </w:r>
          </w:p>
        </w:tc>
      </w:tr>
    </w:tbl>
    <w:p>
      <w:pPr>
        <w:pStyle w:val="Normal"/>
        <w:rPr>
          <w:b/>
          <w:b/>
          <w:szCs w:val="20"/>
        </w:rPr>
      </w:pPr>
      <w:r>
        <w:rPr>
          <w:b/>
          <w:szCs w:val="20"/>
        </w:rPr>
      </w:r>
    </w:p>
    <w:p>
      <w:pPr>
        <w:pStyle w:val="Normal"/>
        <w:rPr>
          <w:b/>
          <w:b/>
          <w:szCs w:val="20"/>
        </w:rPr>
      </w:pPr>
      <w:r>
        <w:rPr>
          <w:b/>
          <w:szCs w:val="20"/>
        </w:rPr>
      </w:r>
    </w:p>
    <w:p>
      <w:pPr>
        <w:pStyle w:val="Text1"/>
        <w:ind w:left="0" w:hanging="0"/>
        <w:rPr/>
      </w:pPr>
      <w:bookmarkStart w:id="11" w:name="_Toc24546589"/>
      <w:r>
        <w:rPr>
          <w:rStyle w:val="Heading2Char"/>
          <w:color w:val="auto"/>
          <w:sz w:val="22"/>
        </w:rPr>
        <w:t>I.3. Aims and objectives</w:t>
      </w:r>
      <w:bookmarkEnd w:id="11"/>
      <w:r>
        <w:rPr>
          <w:rStyle w:val="Heading2Char"/>
          <w:color w:val="auto"/>
          <w:sz w:val="22"/>
        </w:rPr>
        <w:t xml:space="preserve"> </w:t>
      </w:r>
    </w:p>
    <w:p>
      <w:pPr>
        <w:pStyle w:val="Normal"/>
        <w:jc w:val="both"/>
        <w:rPr>
          <w:i/>
          <w:i/>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w:t>
            </w:r>
            <w:r>
              <w:rPr>
                <w:lang w:val="en-US"/>
              </w:rPr>
              <w:t>require effort</w:t>
            </w:r>
            <w:r>
              <w:rPr>
                <w:lang w:val="en-US"/>
              </w:rPr>
              <w:t>s</w:t>
            </w:r>
            <w:r>
              <w:rPr>
                <w:lang w:val="en-US"/>
              </w:rPr>
              <w:t xml:space="preserve">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 xml:space="preserve">Focus </w:t>
            </w:r>
            <w:r>
              <w:rPr>
                <w:b/>
                <w:bCs/>
                <w:lang w:val="en-US"/>
              </w:rPr>
              <w:t>A</w:t>
            </w:r>
            <w:r>
              <w:rPr>
                <w:lang w:val="en-US"/>
              </w:rPr>
              <w:t xml:space="preserve">. A </w:t>
            </w:r>
            <w:r>
              <w:rPr>
                <w:lang w:val="en-US"/>
              </w:rPr>
              <w:t xml:space="preserve">first focus </w:t>
            </w:r>
            <w:r>
              <w:rPr>
                <w:lang w:val="en-US"/>
              </w:rPr>
              <w:t>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w:t>
            </w:r>
            <w:r>
              <w:rPr>
                <w:lang w:val="en-US"/>
              </w:rPr>
              <w:t xml:space="preserve">on raising the awareness of </w:t>
            </w:r>
            <w:r>
              <w:rPr>
                <w:lang w:val="en-US"/>
              </w:rPr>
              <w:t xml:space="preserve">more </w:t>
            </w:r>
            <w:r>
              <w:rPr>
                <w:lang w:val="en-US"/>
              </w:rPr>
              <w:t xml:space="preserve">EU companies </w:t>
            </w:r>
            <w:r>
              <w:rPr>
                <w:lang w:val="en-US"/>
              </w:rPr>
              <w:t xml:space="preserve">of </w:t>
            </w:r>
            <w:r>
              <w:rPr>
                <w:szCs w:val="20"/>
                <w:lang w:val="en-US"/>
              </w:rPr>
              <w:t>the potential of SIM for the</w:t>
            </w:r>
            <w:r>
              <w:rPr>
                <w:szCs w:val="20"/>
                <w:lang w:val="en-US"/>
              </w:rPr>
              <w:t>ir</w:t>
            </w:r>
            <w:r>
              <w:rPr>
                <w:szCs w:val="20"/>
                <w:lang w:val="en-US"/>
              </w:rPr>
              <w:t xml:space="preserve"> strategic development</w:t>
            </w:r>
            <w:r>
              <w:rPr>
                <w:lang w:val="en-US"/>
              </w:rPr>
              <w:t xml:space="preserve">, particularly those in the manufacturing sector, </w:t>
            </w:r>
            <w:r>
              <w:rPr>
                <w:lang w:val="en-US"/>
              </w:rPr>
              <w:t xml:space="preserve">to win </w:t>
            </w:r>
            <w:r>
              <w:rPr>
                <w:lang w:val="en-US"/>
              </w:rPr>
              <w:t xml:space="preserve">them to join the network </w:t>
            </w:r>
            <w:r>
              <w:rPr>
                <w:lang w:val="en-US"/>
              </w:rPr>
              <w:t xml:space="preserve">of companies </w:t>
            </w:r>
            <w:r>
              <w:rPr>
                <w:lang w:val="en-US"/>
              </w:rPr>
              <w:t xml:space="preserve">as additional partners, </w:t>
            </w:r>
            <w:r>
              <w:rPr>
                <w:lang w:val="en-US"/>
              </w:rPr>
              <w:t>and to set up a strong cooperation with the HEI network in focus A</w:t>
            </w:r>
            <w:r>
              <w:rPr>
                <w:lang w:val="en-US"/>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main </w:t>
            </w:r>
            <w:r>
              <w:rPr>
                <w:b/>
                <w:bCs/>
                <w:szCs w:val="20"/>
              </w:rPr>
              <w:t xml:space="preserve">objectives </w:t>
            </w:r>
            <w:r>
              <w:rPr>
                <w:b/>
                <w:bCs/>
                <w:szCs w:val="20"/>
              </w:rPr>
              <w:t xml:space="preserve">of the project </w:t>
            </w:r>
            <w:r>
              <w:rPr>
                <w:szCs w:val="20"/>
              </w:rPr>
              <w:t>are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exchange, joint development and further development of relevant teaching materials as Open Educational Resources,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 development and expansion of online-based training structures based on existing case collections in the form of online courses and in transregional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 close integration of student training with practical challenges in this area by establishing appropriate stable contacts with industrial companies and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(d) 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 Take the stock of courses already offered at the participating academic institutions to describe and publicize existing specializations in greater detail, as well as match industry needs to identify gaps in the curricula.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2. Mutual support in the development and further profiling of corresponding offers among the consortium partners and support of other partners in this direction.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 Exchange of students in Master’s and Postgraduate study programs between the consortium partners with the involvement of other partner institutions in order to make the specializations in different locations effective for integrated training.</w:t>
            </w:r>
          </w:p>
        </w:tc>
      </w:tr>
    </w:tbl>
    <w:p>
      <w:pPr>
        <w:pStyle w:val="Normal"/>
        <w:rPr>
          <w:i/>
          <w:i/>
          <w:szCs w:val="20"/>
        </w:rPr>
      </w:pPr>
      <w:r>
        <w:rPr>
          <w:i/>
          <w:szCs w:val="20"/>
        </w:rPr>
      </w:r>
    </w:p>
    <w:p>
      <w:pPr>
        <w:pStyle w:val="Normal"/>
        <w:jc w:val="both"/>
        <w:rPr>
          <w:i/>
          <w:i/>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consortium (coordinator and full partners) was selected from the point of view of representing various forms of academic education (classical university – Leipzig, technical universities – Strasbourg and Brno, colleges – Offenburg, dual college – ??) to represent the existing range of academic training structures and to recover synergies resulting from the experiences of working with different students’ target groups of the respective education.</w:t>
            </w:r>
          </w:p>
        </w:tc>
      </w:tr>
    </w:tbl>
    <w:p>
      <w:pPr>
        <w:pStyle w:val="Normal"/>
        <w:rPr>
          <w:b/>
          <w:b/>
          <w:szCs w:val="20"/>
        </w:rPr>
      </w:pPr>
      <w:r>
        <w:rPr>
          <w:b/>
          <w:szCs w:val="20"/>
        </w:rPr>
      </w:r>
    </w:p>
    <w:p>
      <w:pPr>
        <w:pStyle w:val="Normal"/>
        <w:rPr>
          <w:i/>
          <w:i/>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We included two types of business partners – a big industrial company with intra company organized training of engineers in the targeted skills and a consulting company that organizes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An additional role in this context play experts from partner countries, see point 7, through which the experience of the international TRIZ association MA TRIZ will flow into the project.</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12" w:name="_Toc24546590"/>
      <w:r>
        <w:rPr>
          <w:rStyle w:val="Heading2Char"/>
          <w:color w:val="auto"/>
          <w:sz w:val="22"/>
        </w:rPr>
        <w:t>I.4. European added value</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3" w:name="__RefHeading___Toc4456_3374853057"/>
      <w:bookmarkStart w:id="14" w:name="_Toc24546591"/>
      <w:bookmarkEnd w:id="13"/>
      <w:r>
        <w:rPr>
          <w:rFonts w:ascii="Times New Roman" w:hAnsi="Times New Roman"/>
        </w:rPr>
        <w:t>PART II. Quality of the project design and implementation</w:t>
      </w:r>
      <w:bookmarkEnd w:id="14"/>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rStyle w:val="Heading2Char"/>
          <w:color w:val="auto"/>
          <w:sz w:val="22"/>
        </w:rPr>
      </w:pPr>
      <w:bookmarkStart w:id="15" w:name="_Toc24546592"/>
      <w:r>
        <w:rPr>
          <w:rStyle w:val="Heading2Char"/>
          <w:color w:val="auto"/>
          <w:sz w:val="22"/>
        </w:rPr>
        <w:t>II.1. Methodology</w:t>
      </w:r>
      <w:bookmarkEnd w:id="15"/>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tc>
      </w:tr>
    </w:tbl>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6" w:name="_Toc24546593"/>
      <w:r>
        <w:rPr>
          <w:rStyle w:val="Heading2Char"/>
          <w:color w:val="auto"/>
          <w:sz w:val="22"/>
        </w:rPr>
        <w:t>II.2. Overall project management</w:t>
      </w:r>
      <w:bookmarkEnd w:id="16"/>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project organization is based on the SCRUM methodology as an agile process model. The work is divided into 6 sprints of about 6 months each. Sprint Plannig, Sprint Review and Sprint Retrospective will take place at multi-day project meetings P0 to P6 according to the SCRUM methodology.</w:t>
            </w:r>
          </w:p>
          <w:p>
            <w:pPr>
              <w:pStyle w:val="Normal"/>
              <w:tabs>
                <w:tab w:val="left" w:pos="3649" w:leader="none"/>
                <w:tab w:val="left" w:pos="5349" w:leader="none"/>
                <w:tab w:val="left" w:pos="7992" w:leader="none"/>
                <w:tab w:val="left" w:pos="9409" w:leader="none"/>
                <w:tab w:val="left" w:pos="10778" w:leader="none"/>
              </w:tabs>
              <w:ind w:left="34" w:hanging="0"/>
              <w:jc w:val="both"/>
              <w:rPr>
                <w:szCs w:val="20"/>
              </w:rPr>
            </w:pPr>
            <w:r>
              <w:rPr>
                <w:szCs w:val="20"/>
              </w:rPr>
              <w:t xml:space="preserve">Project meetings with an odd number have the character of a review, where the operational status of the work is </w:t>
            </w:r>
            <w:r>
              <w:rPr>
                <w:szCs w:val="20"/>
              </w:rPr>
              <w:t>analysed</w:t>
            </w:r>
            <w:r>
              <w:rPr>
                <w:szCs w:val="20"/>
              </w:rPr>
              <w:t xml:space="preserve"> in more detail and deliverables in advanced stage are presented and discussed. Project meetings with an even number are planned as milestones at which essential deliverables are finally confirmed.</w:t>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7" w:name="_Toc24546594"/>
      <w:r>
        <w:rPr>
          <w:rStyle w:val="Heading2Char"/>
          <w:color w:val="auto"/>
          <w:sz w:val="22"/>
        </w:rPr>
        <w:t>II.3. Quality assurance, evaluation and monitoring</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rStyle w:val="Heading2Char"/>
          <w:color w:val="auto"/>
          <w:sz w:val="22"/>
        </w:rPr>
      </w:pPr>
      <w:bookmarkStart w:id="18" w:name="_Toc24546595"/>
      <w:r>
        <w:rPr>
          <w:rStyle w:val="Heading2Char"/>
          <w:color w:val="auto"/>
          <w:sz w:val="22"/>
        </w:rPr>
        <w:t>II.4. Recognition and validation</w:t>
      </w:r>
      <w:bookmarkEnd w:id="18"/>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Text1"/>
        <w:ind w:left="0" w:hanging="0"/>
        <w:rPr>
          <w:rStyle w:val="Heading2Char"/>
          <w:color w:val="auto"/>
          <w:sz w:val="22"/>
        </w:rPr>
      </w:pPr>
      <w:bookmarkStart w:id="19" w:name="_Toc24546596"/>
      <w:r>
        <w:rPr>
          <w:rStyle w:val="Heading2Char"/>
          <w:color w:val="auto"/>
          <w:sz w:val="22"/>
        </w:rPr>
        <w:t>II.5. Budget and cost-effectiveness</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5"/>
          <w:footerReference w:type="default" r:id="rId6"/>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Berschrift1"/>
        <w:shd w:val="clear" w:color="auto" w:fill="404040"/>
        <w:rPr>
          <w:rFonts w:ascii="Times New Roman" w:hAnsi="Times New Roman"/>
        </w:rPr>
      </w:pPr>
      <w:bookmarkStart w:id="20" w:name="__RefHeading___Toc4458_3374853057"/>
      <w:bookmarkStart w:id="21" w:name="_Toc24546597"/>
      <w:bookmarkEnd w:id="20"/>
      <w:r>
        <w:rPr>
          <w:rFonts w:ascii="Times New Roman" w:hAnsi="Times New Roman"/>
        </w:rPr>
        <w:t>PART III. Quality of the partnership, the team and the cooperation arrangements</w:t>
      </w:r>
      <w:bookmarkEnd w:id="21"/>
    </w:p>
    <w:p>
      <w:pPr>
        <w:pStyle w:val="Normal"/>
        <w:rPr>
          <w:b/>
          <w:b/>
        </w:rPr>
      </w:pPr>
      <w:r>
        <w:rPr>
          <w:b/>
        </w:rPr>
      </w:r>
    </w:p>
    <w:p>
      <w:pPr>
        <w:pStyle w:val="Text1"/>
        <w:ind w:left="0" w:hanging="0"/>
        <w:rPr>
          <w:rStyle w:val="Heading2Char"/>
          <w:color w:val="auto"/>
          <w:sz w:val="22"/>
        </w:rPr>
      </w:pPr>
      <w:bookmarkStart w:id="22" w:name="_Toc24546598"/>
      <w:r>
        <w:rPr>
          <w:rStyle w:val="Heading2Char"/>
          <w:color w:val="auto"/>
          <w:sz w:val="22"/>
        </w:rPr>
        <w:t>III.1. Knowledge Alliances: composition of the consortium</w:t>
      </w:r>
      <w:bookmarkEnd w:id="22"/>
      <w:r>
        <w:rPr>
          <w:rStyle w:val="Heading2Char"/>
          <w:color w:val="auto"/>
          <w:sz w:val="22"/>
        </w:rPr>
        <w:t xml:space="preserve"> </w:t>
      </w:r>
    </w:p>
    <w:p>
      <w:pPr>
        <w:pStyle w:val="Normal"/>
        <w:rPr>
          <w:i/>
          <w:i/>
          <w:szCs w:val="20"/>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50"/>
        <w:gridCol w:w="970"/>
        <w:gridCol w:w="1070"/>
        <w:gridCol w:w="853"/>
        <w:gridCol w:w="2"/>
        <w:gridCol w:w="855"/>
        <w:gridCol w:w="904"/>
        <w:gridCol w:w="881"/>
        <w:gridCol w:w="3"/>
        <w:gridCol w:w="932"/>
        <w:gridCol w:w="931"/>
        <w:gridCol w:w="932"/>
        <w:gridCol w:w="932"/>
        <w:gridCol w:w="931"/>
        <w:gridCol w:w="932"/>
        <w:gridCol w:w="931"/>
        <w:gridCol w:w="932"/>
        <w:gridCol w:w="932"/>
        <w:gridCol w:w="924"/>
      </w:tblGrid>
      <w:tr>
        <w:trPr>
          <w:tblHeader w:val="true"/>
        </w:trPr>
        <w:tc>
          <w:tcPr>
            <w:tcW w:w="2490"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sz w:val="16"/>
                <w:szCs w:val="16"/>
              </w:rPr>
            </w:pPr>
            <w:r>
              <w:rPr>
                <w:sz w:val="16"/>
                <w:szCs w:val="16"/>
              </w:rPr>
              <w:t>(please use the same numbering both in the eForm and in the Excel budget table)</w:t>
            </w:r>
          </w:p>
        </w:tc>
        <w:tc>
          <w:tcPr>
            <w:tcW w:w="853"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Higher Education Institution (HEI)</w:t>
            </w:r>
          </w:p>
        </w:tc>
        <w:tc>
          <w:tcPr>
            <w:tcW w:w="2642"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Other organisation types</w:t>
            </w:r>
          </w:p>
        </w:tc>
      </w:tr>
      <w:tr>
        <w:trPr>
          <w:tblHeader w:val="true"/>
        </w:trPr>
        <w:tc>
          <w:tcPr>
            <w:tcW w:w="45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4"/>
                <w:szCs w:val="14"/>
              </w:rPr>
            </w:pPr>
            <w:r>
              <w:rPr>
                <w:b/>
                <w:sz w:val="14"/>
                <w:szCs w:val="14"/>
              </w:rPr>
              <w:t>Nr</w:t>
            </w:r>
          </w:p>
        </w:tc>
        <w:tc>
          <w:tcPr>
            <w:tcW w:w="97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b/>
                <w:sz w:val="16"/>
                <w:szCs w:val="16"/>
              </w:rPr>
              <w:t>Partner Acronym</w:t>
            </w:r>
          </w:p>
        </w:tc>
        <w:tc>
          <w:tcPr>
            <w:tcW w:w="1070"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PAR (partner) or</w:t>
            </w:r>
            <w:r>
              <w:rPr/>
              <w:t xml:space="preserve"> </w:t>
            </w:r>
            <w:r>
              <w:rPr>
                <w:b/>
                <w:color w:val="000000"/>
                <w:sz w:val="16"/>
                <w:szCs w:val="16"/>
              </w:rPr>
              <w:t>AE ( Affiliated Entity) or AssPAR (associated partner)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HEI (tertiary level - ECHE holder if in a Programme Country)</w:t>
            </w:r>
          </w:p>
        </w:tc>
        <w:tc>
          <w:tcPr>
            <w:tcW w:w="855"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Small and medium sized enterprise</w:t>
            </w:r>
          </w:p>
        </w:tc>
        <w:tc>
          <w:tcPr>
            <w:tcW w:w="904"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Large enterprise</w:t>
            </w:r>
          </w:p>
        </w:tc>
        <w:tc>
          <w:tcPr>
            <w:tcW w:w="884" w:type="dxa"/>
            <w:gridSpan w:val="2"/>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enterprise</w:t>
            </w:r>
          </w:p>
        </w:tc>
        <w:tc>
          <w:tcPr>
            <w:tcW w:w="932"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partner or other representa-tive of working life</w:t>
            </w:r>
            <w:r>
              <w:rPr>
                <w:rStyle w:val="Funotenanker"/>
                <w:rStyle w:val="Funotenanker"/>
                <w:color w:val="000000"/>
                <w:szCs w:val="16"/>
              </w:rPr>
              <w:footnoteReference w:id="6"/>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lang w:val="it-IT"/>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Internatio-nal organisa-tion under public law</w:t>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ULEI</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APP</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HEI</w:t>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INSASB</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Cs w:val="20"/>
              </w:rPr>
            </w:pPr>
            <w:r>
              <w:rPr>
                <w:szCs w:val="20"/>
              </w:rPr>
              <w:t>3</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HSOFF</w:t>
            </w:r>
          </w:p>
        </w:tc>
        <w:tc>
          <w:tcPr>
            <w:tcW w:w="1070"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5"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4</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BUT</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5</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UTC</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6</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LUT</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7</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HTBLA</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8</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Schaeff</w:t>
            </w:r>
            <w:r>
              <w:rPr>
                <w:b/>
                <w:sz w:val="18"/>
                <w:szCs w:val="20"/>
              </w:rPr>
              <w:t>l</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rPr>
              <w:t>9</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Arxia</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rPr>
              <w:t>10</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TP</w:t>
            </w:r>
          </w:p>
        </w:tc>
        <w:tc>
          <w:tcPr>
            <w:tcW w:w="1070"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5"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11</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TIM</w:t>
            </w:r>
          </w:p>
        </w:tc>
        <w:tc>
          <w:tcPr>
            <w:tcW w:w="1070"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5"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w:t>
            </w:r>
            <w:r>
              <w:rPr>
                <w:b/>
                <w:sz w:val="18"/>
                <w:szCs w:val="18"/>
              </w:rPr>
              <w:t>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NPK</w:t>
            </w:r>
          </w:p>
        </w:tc>
        <w:tc>
          <w:tcPr>
            <w:tcW w:w="1070"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5"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5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w:t>
            </w:r>
            <w:r>
              <w:rPr>
                <w:b/>
                <w:sz w:val="18"/>
                <w:szCs w:val="18"/>
              </w:rPr>
              <w:t>3</w:t>
            </w:r>
          </w:p>
        </w:tc>
        <w:tc>
          <w:tcPr>
            <w:tcW w:w="97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BM-TRIZ</w:t>
            </w:r>
          </w:p>
        </w:tc>
        <w:tc>
          <w:tcPr>
            <w:tcW w:w="1070"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5"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7"/>
          <w:footerReference w:type="default" r:id="rId8"/>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color w:val="000000"/>
          <w:szCs w:val="20"/>
          <w:lang w:eastAsia="en-US"/>
        </w:rPr>
      </w:pPr>
      <w:r>
        <w:rPr>
          <w:i/>
          <w:iCs/>
          <w:color w:val="000000"/>
          <w:szCs w:val="20"/>
          <w:lang w:eastAsia="en-US"/>
        </w:rPr>
        <w:t>In accordance with Art. 122 of the Financial Regulation. The following can be considered affiliated entities:</w:t>
      </w:r>
    </w:p>
    <w:p>
      <w:pPr>
        <w:pStyle w:val="Normal"/>
        <w:jc w:val="both"/>
        <w:rPr>
          <w:color w:val="000000"/>
          <w:szCs w:val="20"/>
          <w:lang w:eastAsia="en-US"/>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color w:val="000000"/>
          <w:szCs w:val="20"/>
          <w:lang w:eastAsia="en-US"/>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color w:val="000000"/>
          <w:szCs w:val="20"/>
          <w:lang w:eastAsia="en-US"/>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b/>
          <w:b/>
          <w:szCs w:val="24"/>
          <w:lang w:eastAsia="en-GB"/>
        </w:rPr>
      </w:pPr>
      <w:r>
        <w:fldChar w:fldCharType="begin">
          <w:ffData>
            <w:name w:val=""/>
            <w:enabled/>
            <w:calcOnExit w:val="0"/>
            <w:checkBox>
              <w:sizeAuto/>
            </w:checkBox>
          </w:ffData>
        </w:fldChar>
      </w:r>
      <w:r>
        <w:rPr/>
        <w:instrText> FORMCHECKBOX </w:instrText>
      </w:r>
      <w:r>
        <w:rPr/>
        <w:fldChar w:fldCharType="separate"/>
      </w:r>
      <w:bookmarkStart w:id="23" w:name="__Fieldmark__1072_3770479861"/>
      <w:bookmarkStart w:id="24" w:name="__Fieldmark__1509_2330710499"/>
      <w:bookmarkStart w:id="25" w:name="__Fieldmark__1046_2808305147"/>
      <w:bookmarkStart w:id="26" w:name="__Fieldmark__1145_2939642033"/>
      <w:bookmarkStart w:id="27" w:name="__Fieldmark__1154_3374853057"/>
      <w:bookmarkStart w:id="28" w:name="__Fieldmark__1149_2917479643"/>
      <w:bookmarkStart w:id="29" w:name="__Fieldmark__1046_2808305147"/>
      <w:bookmarkStart w:id="30" w:name="__Fieldmark__1046_2808305147"/>
      <w:bookmarkEnd w:id="23"/>
      <w:bookmarkEnd w:id="24"/>
      <w:bookmarkEnd w:id="26"/>
      <w:bookmarkEnd w:id="27"/>
      <w:bookmarkEnd w:id="28"/>
      <w:bookmarkEnd w:id="30"/>
      <w:r>
        <w:rPr/>
      </w:r>
      <w:r>
        <w:rPr/>
        <w:fldChar w:fldCharType="end"/>
      </w:r>
      <w:r>
        <w:rPr>
          <w:b/>
          <w:szCs w:val="24"/>
          <w:lang w:eastAsia="en-GB"/>
        </w:rPr>
        <w:t xml:space="preserve">  YES</w:t>
      </w:r>
    </w:p>
    <w:p>
      <w:pPr>
        <w:pStyle w:val="Normal"/>
        <w:rPr>
          <w:b/>
          <w:b/>
          <w:szCs w:val="20"/>
          <w:lang w:eastAsia="en-US"/>
        </w:rPr>
      </w:pPr>
      <w:r>
        <w:fldChar w:fldCharType="begin">
          <w:ffData>
            <w:name w:val=""/>
            <w:enabled/>
            <w:calcOnExit w:val="0"/>
            <w:checkBox>
              <w:sizeAuto/>
              <w:checked/>
            </w:checkBox>
          </w:ffData>
        </w:fldChar>
      </w:r>
      <w:r>
        <w:rPr/>
        <w:instrText> FORMCHECKBOX </w:instrText>
      </w:r>
      <w:r>
        <w:rPr/>
        <w:fldChar w:fldCharType="separate"/>
      </w:r>
      <w:bookmarkStart w:id="31" w:name="__Fieldmark__1066_2808305147"/>
      <w:bookmarkStart w:id="32" w:name="__Fieldmark__1171_3374853057"/>
      <w:bookmarkStart w:id="33" w:name="__Fieldmark__1156_2939642033"/>
      <w:bookmarkStart w:id="34" w:name="__Fieldmark__1512_2330710499"/>
      <w:bookmarkStart w:id="35" w:name="__Fieldmark__1080_3770479861"/>
      <w:bookmarkStart w:id="36" w:name="__Fieldmark__1163_2917479643"/>
      <w:bookmarkStart w:id="37" w:name="__Fieldmark__1066_2808305147"/>
      <w:bookmarkStart w:id="38" w:name="__Fieldmark__1066_2808305147"/>
      <w:bookmarkEnd w:id="32"/>
      <w:bookmarkEnd w:id="33"/>
      <w:bookmarkEnd w:id="34"/>
      <w:bookmarkEnd w:id="35"/>
      <w:bookmarkEnd w:id="36"/>
      <w:bookmarkEnd w:id="38"/>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rStyle w:val="Heading2Char"/>
          <w:color w:val="auto"/>
          <w:sz w:val="22"/>
        </w:rPr>
      </w:pPr>
      <w:bookmarkStart w:id="39" w:name="_Toc24546599"/>
      <w:r>
        <w:rPr>
          <w:rStyle w:val="Heading2Char"/>
          <w:color w:val="auto"/>
          <w:sz w:val="22"/>
        </w:rPr>
        <w:t>III.2. Rationale for setting-up the partnership</w:t>
      </w:r>
      <w:bookmarkEnd w:id="39"/>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 xml:space="preserve">(B) Establishment of networking structures among the </w:t>
            </w:r>
            <w:r>
              <w:rPr>
                <w:szCs w:val="20"/>
                <w:lang w:val="en-US"/>
              </w:rPr>
              <w:t xml:space="preserve">industirial company </w:t>
            </w:r>
            <w:r>
              <w:rPr>
                <w:szCs w:val="20"/>
                <w:lang w:val="en-US"/>
              </w:rPr>
              <w:t>partners,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(C) </w:t>
            </w:r>
            <w:r>
              <w:rPr>
                <w:szCs w:val="20"/>
                <w:lang w:val="en-US"/>
              </w:rPr>
              <w:t>C</w:t>
            </w:r>
            <w:r>
              <w:rPr>
                <w:szCs w:val="20"/>
                <w:lang w:val="en-US"/>
              </w:rPr>
              <w:t xml:space="preserve">rosslinking the </w:t>
            </w:r>
            <w:r>
              <w:rPr>
                <w:szCs w:val="20"/>
                <w:lang w:val="en-US"/>
              </w:rPr>
              <w:t xml:space="preserve">networking </w:t>
            </w:r>
            <w:r>
              <w:rPr>
                <w:szCs w:val="20"/>
                <w:lang w:val="en-US"/>
              </w:rPr>
              <w:t>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Leipzig University as applicant </w:t>
            </w:r>
            <w:r>
              <w:rPr>
                <w:szCs w:val="20"/>
                <w:lang w:val="en-US"/>
              </w:rPr>
              <w:t xml:space="preserve">plays a special role – </w:t>
            </w:r>
            <w:r>
              <w:rPr>
                <w:szCs w:val="20"/>
                <w:lang w:val="en-US"/>
              </w:rPr>
              <w:t xml:space="preserve">it plans to strengthen its curricular structures and yet little </w:t>
            </w:r>
            <w:r>
              <w:rPr>
                <w:szCs w:val="20"/>
                <w:lang w:val="en-US"/>
              </w:rPr>
              <w:t xml:space="preserve">experience in teaching in this area. </w:t>
            </w:r>
            <w:r>
              <w:rPr>
                <w:szCs w:val="20"/>
                <w:lang w:val="en-US"/>
              </w:rPr>
              <w:t>Moreover</w:t>
            </w:r>
            <w:r>
              <w:rPr>
                <w:szCs w:val="20"/>
                <w:lang w:val="en-US"/>
              </w:rPr>
              <w:t xml:space="preserve"> a </w:t>
            </w:r>
            <w:r>
              <w:rPr>
                <w:i/>
                <w:iCs/>
                <w:szCs w:val="20"/>
                <w:lang w:val="en-US"/>
              </w:rPr>
              <w:t>Competence Center SIM</w:t>
            </w:r>
            <w:r>
              <w:rPr>
                <w:rStyle w:val="Funotenanker"/>
                <w:szCs w:val="20"/>
                <w:lang w:val="en-US"/>
              </w:rPr>
              <w:footnoteReference w:id="7"/>
            </w:r>
            <w:r>
              <w:rPr>
                <w:szCs w:val="20"/>
                <w:lang w:val="en-US"/>
              </w:rPr>
              <w:t xml:space="preserve"> is being set up in order to establish appropriate training structures in the </w:t>
            </w:r>
            <w:r>
              <w:rPr>
                <w:szCs w:val="20"/>
                <w:lang w:val="en-US"/>
              </w:rPr>
              <w:t>r</w:t>
            </w:r>
            <w:r>
              <w:rPr>
                <w:szCs w:val="20"/>
                <w:lang w:val="en-US"/>
              </w:rPr>
              <w:t xml:space="preserve">egion </w:t>
            </w:r>
            <w:r>
              <w:rPr>
                <w:szCs w:val="20"/>
                <w:lang w:val="en-US"/>
              </w:rPr>
              <w:t xml:space="preserve">“Mitteldeutschland”, </w:t>
            </w:r>
            <w:r>
              <w:rPr>
                <w:szCs w:val="20"/>
                <w:lang w:val="en-US"/>
              </w:rPr>
              <w:t xml:space="preserve">not only at </w:t>
            </w:r>
            <w:r>
              <w:rPr>
                <w:szCs w:val="20"/>
                <w:lang w:val="en-US"/>
              </w:rPr>
              <w:t>Leipzig University</w:t>
            </w:r>
            <w:r>
              <w:rPr>
                <w:szCs w:val="20"/>
                <w:lang w:val="en-US"/>
              </w:rPr>
              <w:t>.</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In addition to the coordination and systematization of corresponding teaching experiences of the HEI partners, these </w:t>
            </w:r>
            <w:r>
              <w:rPr>
                <w:szCs w:val="20"/>
                <w:lang w:val="en-US"/>
              </w:rPr>
              <w:t xml:space="preserve">experiences are basic for </w:t>
            </w:r>
            <w:r>
              <w:rPr>
                <w:szCs w:val="20"/>
                <w:lang w:val="en-US"/>
              </w:rPr>
              <w:t xml:space="preserve">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 xml:space="preserve">for other HEI locations (additional partners), which also </w:t>
            </w:r>
            <w:r>
              <w:rPr>
                <w:szCs w:val="20"/>
                <w:lang w:val="en-US"/>
              </w:rPr>
              <w:t xml:space="preserve">plan to </w:t>
            </w:r>
            <w:r>
              <w:rPr>
                <w:szCs w:val="20"/>
                <w:lang w:val="en-US"/>
              </w:rPr>
              <w:t>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(B) </w:t>
            </w:r>
            <w:r>
              <w:rPr>
                <w:szCs w:val="20"/>
                <w:lang w:val="en-US"/>
              </w:rPr>
              <w:t>I</w:t>
            </w:r>
            <w:r>
              <w:rPr>
                <w:szCs w:val="20"/>
                <w:lang w:val="en-US"/>
              </w:rPr>
              <w:t xml:space="preserve">n the project preparation </w:t>
            </w:r>
            <w:r>
              <w:rPr>
                <w:szCs w:val="20"/>
                <w:lang w:val="en-US"/>
              </w:rPr>
              <w:t>t</w:t>
            </w:r>
            <w:r>
              <w:rPr>
                <w:szCs w:val="20"/>
                <w:lang w:val="en-US"/>
              </w:rPr>
              <w:t xml:space="preserve">he perception of the importance of corresponding skills for the strategic development of companies showed a clear east-west divide in Europe. The </w:t>
            </w:r>
            <w:r>
              <w:rPr>
                <w:szCs w:val="20"/>
                <w:lang w:val="en-US"/>
              </w:rPr>
              <w:t>E</w:t>
            </w:r>
            <w:r>
              <w:rPr>
                <w:szCs w:val="20"/>
                <w:lang w:val="en-US"/>
              </w:rPr>
              <w:t xml:space="preserve">ast European HEI partners in Brno and Cluj have significantly </w:t>
            </w:r>
            <w:r>
              <w:rPr>
                <w:szCs w:val="20"/>
                <w:lang w:val="en-US"/>
              </w:rPr>
              <w:t xml:space="preserve">better </w:t>
            </w:r>
            <w:r>
              <w:rPr>
                <w:szCs w:val="20"/>
                <w:lang w:val="en-US"/>
              </w:rPr>
              <w:t xml:space="preserve">relationships with companies with a corresponding focus. We also see potential in the legacy of the GDR inventor schools as a </w:t>
            </w:r>
            <w:r>
              <w:rPr>
                <w:szCs w:val="20"/>
                <w:lang w:val="en-US"/>
              </w:rPr>
              <w:t xml:space="preserve">research </w:t>
            </w:r>
            <w:r>
              <w:rPr>
                <w:szCs w:val="20"/>
                <w:lang w:val="en-US"/>
              </w:rPr>
              <w:t xml:space="preserve">focus at Leipzig University. With Schaeffler AG, a large European industrial partner </w:t>
            </w:r>
            <w:r>
              <w:rPr>
                <w:szCs w:val="20"/>
                <w:lang w:val="en-US"/>
              </w:rPr>
              <w:t>joined the project</w:t>
            </w:r>
            <w:r>
              <w:rPr>
                <w:szCs w:val="20"/>
                <w:lang w:val="en-US"/>
              </w:rPr>
              <w: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The industrial structures </w:t>
            </w:r>
            <w:r>
              <w:rPr>
                <w:szCs w:val="20"/>
                <w:lang w:val="en-US"/>
              </w:rPr>
              <w:t xml:space="preserve">in that area </w:t>
            </w:r>
            <w:r>
              <w:rPr>
                <w:szCs w:val="20"/>
                <w:lang w:val="en-US"/>
              </w:rPr>
              <w:t xml:space="preserve">consist of companies that use SIM skills, as well as consulting and training companies that </w:t>
            </w:r>
            <w:r>
              <w:rPr>
                <w:szCs w:val="20"/>
                <w:lang w:val="en-US"/>
              </w:rPr>
              <w:t>offer consultancy services and teach SIM skills</w:t>
            </w:r>
            <w:r>
              <w:rPr>
                <w:szCs w:val="20"/>
                <w:lang w:val="en-US"/>
              </w:rPr>
              <w:t>. The partners from Belarus and Russia are representatives of th</w:t>
            </w:r>
            <w:r>
              <w:rPr>
                <w:szCs w:val="20"/>
                <w:lang w:val="en-US"/>
              </w:rPr>
              <w:t>is</w:t>
            </w:r>
            <w:r>
              <w:rPr>
                <w:szCs w:val="20"/>
                <w:lang w:val="en-US"/>
              </w:rPr>
              <w:t xml:space="preserve"> second group. In core Europe, these services are partly provided by the HEI partners (Brno, Strasbourg, Offenburg, Cluj) and partly by SMEs in the consulting area. In the latter area, greater efforts are required to </w:t>
            </w:r>
            <w:r>
              <w:rPr>
                <w:szCs w:val="20"/>
                <w:lang w:val="en-US"/>
              </w:rPr>
              <w:t xml:space="preserve">convince </w:t>
            </w:r>
            <w:r>
              <w:rPr>
                <w:szCs w:val="20"/>
                <w:lang w:val="en-US"/>
              </w:rPr>
              <w:t>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lang w:val="en-US"/>
              </w:rPr>
              <w:t xml:space="preserve">(C) More precise forms of </w:t>
            </w:r>
            <w:r>
              <w:rPr>
                <w:szCs w:val="20"/>
                <w:lang w:val="en-US"/>
              </w:rPr>
              <w:t>such crosslinking</w:t>
            </w:r>
            <w:r>
              <w:rPr>
                <w:szCs w:val="20"/>
                <w:lang w:val="en-US"/>
              </w:rPr>
              <w:t xml:space="preserve"> can only </w:t>
            </w:r>
            <w:r>
              <w:rPr>
                <w:szCs w:val="20"/>
                <w:lang w:val="en-US"/>
              </w:rPr>
              <w:t xml:space="preserve">be </w:t>
            </w:r>
            <w:r>
              <w:rPr>
                <w:szCs w:val="20"/>
                <w:lang w:val="en-US"/>
              </w:rPr>
              <w:t>develop</w:t>
            </w:r>
            <w:r>
              <w:rPr>
                <w:szCs w:val="20"/>
                <w:lang w:val="en-US"/>
              </w:rPr>
              <w:t>ed</w:t>
            </w:r>
            <w:r>
              <w:rPr>
                <w:szCs w:val="20"/>
                <w:lang w:val="en-US"/>
              </w:rPr>
              <w:t xml:space="preserve"> in the course of </w:t>
            </w:r>
            <w:r>
              <w:rPr>
                <w:szCs w:val="20"/>
                <w:lang w:val="en-US"/>
              </w:rPr>
              <w:t xml:space="preserve">the </w:t>
            </w:r>
            <w:r>
              <w:rPr>
                <w:szCs w:val="20"/>
                <w:lang w:val="en-US"/>
              </w:rPr>
              <w:t xml:space="preserve">project implementation. With our agile approach based on SCRUM methodology, the necessary organizational requirements </w:t>
            </w:r>
            <w:r>
              <w:rPr>
                <w:szCs w:val="20"/>
                <w:lang w:val="en-US"/>
              </w:rPr>
              <w:t xml:space="preserve">using </w:t>
            </w:r>
            <w:r>
              <w:rPr>
                <w:szCs w:val="20"/>
                <w:lang w:val="en-US"/>
              </w:rPr>
              <w:t xml:space="preserve">proven principles </w:t>
            </w:r>
            <w:r>
              <w:rPr>
                <w:szCs w:val="20"/>
                <w:lang w:val="en-US"/>
              </w:rPr>
              <w:t>are set up</w:t>
            </w:r>
            <w:r>
              <w:rPr>
                <w:szCs w:val="20"/>
                <w:lang w:val="en-US"/>
              </w:rPr>
              <w:t>.</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40" w:name="_Toc24546600"/>
      <w:bookmarkStart w:id="41" w:name="_Toc463518912"/>
      <w:r>
        <w:rPr>
          <w:rStyle w:val="Heading2Char"/>
          <w:color w:val="auto"/>
          <w:sz w:val="22"/>
        </w:rPr>
        <w:t xml:space="preserve">III.3. Description of the </w:t>
      </w:r>
      <w:bookmarkEnd w:id="41"/>
      <w:r>
        <w:rPr>
          <w:rStyle w:val="Heading2Char"/>
          <w:color w:val="auto"/>
          <w:sz w:val="22"/>
        </w:rPr>
        <w:t>consortium members</w:t>
      </w:r>
      <w:bookmarkEnd w:id="40"/>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42" w:name="__RefHeading___Toc4460_3374853057"/>
      <w:bookmarkStart w:id="43" w:name="_Toc24546601"/>
      <w:bookmarkEnd w:id="42"/>
      <w:r>
        <w:rPr/>
        <w:t>III.3.1. Partner number – P1 – (Leipzig University</w:t>
      </w:r>
      <w:r>
        <w:rPr>
          <w:i/>
        </w:rPr>
        <w:t>)</w:t>
      </w:r>
      <w:bookmarkEnd w:id="43"/>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Cs w:val="20"/>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szCs w:val="20"/>
        </w:rPr>
      </w:pPr>
      <w:r>
        <w:rPr>
          <w:szCs w:val="20"/>
        </w:rPr>
        <w:t xml:space="preserve">- be the single point of contact of the Agency for all communications on the project; </w:t>
      </w:r>
    </w:p>
    <w:p>
      <w:pPr>
        <w:pStyle w:val="Normal"/>
        <w:rPr>
          <w:szCs w:val="20"/>
        </w:rPr>
      </w:pPr>
      <w:r>
        <w:rPr>
          <w:szCs w:val="20"/>
        </w:rPr>
        <w:t>- coordinate the work of the consortium in line with the work plan;</w:t>
      </w:r>
    </w:p>
    <w:p>
      <w:pPr>
        <w:pStyle w:val="Normal"/>
        <w:rPr>
          <w:szCs w:val="20"/>
        </w:rPr>
      </w:pPr>
      <w:r>
        <w:rPr>
          <w:szCs w:val="20"/>
        </w:rPr>
        <w:t>- monitor that the action is implemented in accordance with the EU grant agreement.</w:t>
      </w:r>
    </w:p>
    <w:p>
      <w:pPr>
        <w:pStyle w:val="Normal"/>
        <w:rPr>
          <w:szCs w:val="20"/>
        </w:rPr>
      </w:pPr>
      <w:r>
        <w:rPr>
          <w:szCs w:val="20"/>
        </w:rPr>
      </w:r>
    </w:p>
    <w:p>
      <w:pPr>
        <w:pStyle w:val="Normal"/>
        <w:jc w:val="both"/>
        <w:rPr>
          <w:sz w:val="22"/>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44" w:name="__RefHeading___Toc4462_3374853057"/>
      <w:bookmarkStart w:id="45" w:name="_Toc24546602"/>
      <w:bookmarkEnd w:id="44"/>
      <w:r>
        <w:rPr/>
        <w:t>III.3.2. Partner number – P2 – (HS Offenburg</w:t>
      </w:r>
      <w:r>
        <w:rPr>
          <w:i/>
        </w:rPr>
        <w:t>)</w:t>
      </w:r>
      <w:bookmarkEnd w:id="45"/>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Pavel Liv</w:t>
            </w:r>
            <w:r>
              <w:rPr>
                <w:bCs/>
                <w:szCs w:val="20"/>
              </w:rPr>
              <w:t>o</w:t>
            </w:r>
            <w:r>
              <w:rPr>
                <w:bCs/>
                <w:szCs w:val="20"/>
              </w:rPr>
              <w:t>tov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46" w:name="__RefHeading___Toc4464_3374853057"/>
      <w:bookmarkStart w:id="47" w:name="_Toc24546603"/>
      <w:bookmarkEnd w:id="46"/>
      <w:r>
        <w:rPr/>
        <w:t>III.3.3. Partner number – P3 – (INSA Strasbourg</w:t>
      </w:r>
      <w:r>
        <w:rPr>
          <w:i/>
        </w:rPr>
        <w:t>)</w:t>
      </w:r>
      <w:bookmarkEnd w:id="47"/>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pPr>
      <w:bookmarkStart w:id="48" w:name="__RefHeading___Toc4466_3374853057"/>
      <w:bookmarkStart w:id="49" w:name="_Toc24546604"/>
      <w:bookmarkEnd w:id="48"/>
      <w:r>
        <w:rPr/>
        <w:t>III.3.4. Partner number – P4 – (BUT Brno</w:t>
      </w:r>
      <w:r>
        <w:rPr>
          <w:i/>
        </w:rPr>
        <w:t>)</w:t>
      </w:r>
      <w:bookmarkEnd w:id="49"/>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extkrper"/>
              <w:spacing w:before="0" w:after="120"/>
              <w:rPr>
                <w:b/>
                <w:b/>
                <w:bCs/>
              </w:rPr>
            </w:pPr>
            <w:r>
              <w:rPr>
                <w:b/>
                <w:bCs/>
              </w:rPr>
              <w:t>BUT Brno</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Czech Republic</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 w:val="22"/>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Bohuslav Busov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50" w:name="__RefHeading___Toc4468_3374853057"/>
      <w:bookmarkStart w:id="51" w:name="_Toc24546605"/>
      <w:bookmarkEnd w:id="50"/>
      <w:r>
        <w:rPr/>
        <w:t>III.3.5. Partner number – P5 – (UTC Cluj-Napoca</w:t>
      </w:r>
      <w:r>
        <w:rPr>
          <w:i/>
        </w:rPr>
        <w:t>)</w:t>
      </w:r>
      <w:bookmarkEnd w:id="5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52" w:name="__RefHeading___Toc4470_3374853057"/>
      <w:bookmarkStart w:id="53" w:name="_Toc24546606"/>
      <w:bookmarkEnd w:id="52"/>
      <w:r>
        <w:rPr/>
        <w:t>III.3.6. Partner number – P6 – (</w:t>
      </w:r>
      <w:bookmarkEnd w:id="53"/>
      <w:r>
        <w:rPr>
          <w:i w:val="false"/>
          <w:iCs w:val="false"/>
        </w:rPr>
        <w:t>LUT Lappenranta)</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4" w:name="__RefHeading___Toc4472_3374853057"/>
      <w:bookmarkStart w:id="55" w:name="_Toc245466061"/>
      <w:bookmarkEnd w:id="54"/>
      <w:r>
        <w:rPr/>
        <w:t>III.3.7. Partner number – P7 – (</w:t>
      </w:r>
      <w:bookmarkEnd w:id="55"/>
      <w:r>
        <w:rPr/>
        <w:t>HTBLA Wolfsberg</w:t>
      </w:r>
      <w:r>
        <w:rPr/>
        <w:t>)</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56" w:name="__RefHeading___Toc9665_2808305147"/>
            <w:bookmarkEnd w:id="56"/>
            <w:r>
              <w:rPr>
                <w:b/>
                <w:bCs/>
              </w:rPr>
              <w:t>HTBLA Wolfsberg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7" w:name="__RefHeading___Toc4474_3374853057"/>
      <w:bookmarkStart w:id="58" w:name="_Toc245466062"/>
      <w:bookmarkEnd w:id="57"/>
      <w:r>
        <w:rPr/>
        <w:t>III.3.8. Partner number – P8 – (</w:t>
      </w:r>
      <w:bookmarkEnd w:id="58"/>
      <w:r>
        <w:rPr>
          <w:i w:val="false"/>
          <w:iCs w:val="false"/>
        </w:rPr>
        <w:t>Schaeffler AG)</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59" w:name="__RefHeading___Toc9667_2808305147"/>
      <w:bookmarkStart w:id="60" w:name="_Toc2454660622"/>
      <w:bookmarkEnd w:id="59"/>
      <w:r>
        <w:rPr/>
        <w:t>III.3.</w:t>
      </w:r>
      <w:r>
        <w:rPr/>
        <w:t>9</w:t>
      </w:r>
      <w:r>
        <w:rPr/>
        <w:t>. Partner number – P</w:t>
      </w:r>
      <w:r>
        <w:rPr/>
        <w:t>9</w:t>
      </w:r>
      <w:r>
        <w:rPr/>
        <w:t xml:space="preserve"> – (</w:t>
      </w:r>
      <w:bookmarkEnd w:id="60"/>
      <w:r>
        <w:rPr/>
        <w:t>Arxia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61" w:name="__RefHeading___Toc9669_2808305147"/>
            <w:bookmarkEnd w:id="61"/>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9</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9</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9</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2" w:name="__RefHeading___Toc9671_2808305147"/>
      <w:bookmarkStart w:id="63" w:name="_Toc2454660623"/>
      <w:bookmarkEnd w:id="62"/>
      <w:r>
        <w:rPr/>
        <w:t>III.3.</w:t>
      </w:r>
      <w:r>
        <w:rPr/>
        <w:t>10</w:t>
      </w:r>
      <w:r>
        <w:rPr/>
        <w:t>. Partner number – P</w:t>
      </w:r>
      <w:r>
        <w:rPr/>
        <w:t>10</w:t>
      </w:r>
      <w:r>
        <w:rPr/>
        <w:t xml:space="preserve"> – (</w:t>
      </w:r>
      <w:bookmarkEnd w:id="63"/>
      <w:r>
        <w:rPr/>
        <w:t>Tehnoprod Plast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10</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10</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10</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4" w:name="__RefHeading___Toc9673_2808305147"/>
      <w:bookmarkStart w:id="65" w:name="_Toc245466063"/>
      <w:bookmarkEnd w:id="64"/>
      <w:r>
        <w:rPr/>
        <w:t>III.3.</w:t>
      </w:r>
      <w:r>
        <w:rPr/>
        <w:t>11</w:t>
      </w:r>
      <w:r>
        <w:rPr/>
        <w:t>. Partner number – P</w:t>
      </w:r>
      <w:r>
        <w:rPr/>
        <w:t>11</w:t>
      </w:r>
      <w:r>
        <w:rPr/>
        <w:t xml:space="preserve"> – (</w:t>
      </w:r>
      <w:bookmarkEnd w:id="65"/>
      <w:r>
        <w:rPr/>
        <w:t>Target Invention Minsk)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11</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Target Innovation has a rich teaching experience and practical consulting of SME all over the world (in particular Samsung/Korea, China).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11</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with quality assurance of both practical teaching courses and teaching material.</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11</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 xml:space="preserve">He </w:t>
            </w:r>
            <w:r>
              <w:rPr>
                <w:bCs/>
                <w:szCs w:val="20"/>
              </w:rPr>
              <w:t>is a certified TRIZ master for many years and the main representative of the Minsk OTSM-TRIZ school.</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6" w:name="__RefHeading___Toc4478_3374853057"/>
      <w:bookmarkStart w:id="67" w:name="_Toc245466064"/>
      <w:bookmarkEnd w:id="66"/>
      <w:r>
        <w:rPr/>
        <w:t>III.3.1</w:t>
      </w:r>
      <w:r>
        <w:rPr/>
        <w:t>2</w:t>
      </w:r>
      <w:r>
        <w:rPr/>
        <w:t>. Partner number – P1</w:t>
      </w:r>
      <w:r>
        <w:rPr/>
        <w:t>2</w:t>
      </w:r>
      <w:r>
        <w:rPr/>
        <w:t xml:space="preserve"> – (</w:t>
      </w:r>
      <w:bookmarkEnd w:id="67"/>
      <w:r>
        <w:rPr/>
        <w:t>NPK Consult Moscow)</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NPK Consult Moscow</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NPK Consult Moscow is a big consulting company with rich experience in applying TRIZ methodology within SME innovation challenges.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sharing experience in organizing intra and cross SME trainings in systematic innovation methodologies to build up a common stock of approaches of such training concepts and materials.</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Elena Redkolis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8" w:name="__RefHeading___Toc4480_3374853057"/>
      <w:bookmarkStart w:id="69" w:name="_Toc245466065"/>
      <w:bookmarkEnd w:id="68"/>
      <w:r>
        <w:rPr/>
        <w:t>III.3.1</w:t>
      </w:r>
      <w:r>
        <w:rPr/>
        <w:t>3</w:t>
      </w:r>
      <w:r>
        <w:rPr/>
        <w:t>. Partner number – P1</w:t>
      </w:r>
      <w:r>
        <w:rPr/>
        <w:t>3</w:t>
      </w:r>
      <w:r>
        <w:rPr/>
        <w:t xml:space="preserve"> – (</w:t>
      </w:r>
      <w:bookmarkEnd w:id="69"/>
      <w:r>
        <w:rPr/>
        <w:t>BM TRIZ Chelyabinsk)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3</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BM TRIZ Chelyabinsk is one of the leading consulting firms in the area of business and management using contradiction oriented systematic innovation methodologies. In Sept. 2019 Anton Kozhemyako was appointed as Director of Developing TRIZ Applications for Business and Management by MA TRIZ, the International TRIZ Association.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3</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to support the collection of recent business cases and methodological development in the area of business and management to continuously improve the teaching concepts and materials within our Knowledge Alliance.</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3</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 xml:space="preserve">In Sept. 2019 </w:t>
            </w:r>
            <w:r>
              <w:rPr>
                <w:bCs/>
                <w:szCs w:val="20"/>
              </w:rPr>
              <w:t xml:space="preserve">he </w:t>
            </w:r>
            <w:r>
              <w:rPr>
                <w:bCs/>
                <w:szCs w:val="20"/>
              </w:rPr>
              <w:t>was appointed as Director of Developing TRIZ Applications for Business and Management by MA TRIZ, the International TRIZ Association.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70" w:name="_Toc24546607"/>
      <w:r>
        <w:rPr>
          <w:rStyle w:val="Heading2Char"/>
          <w:color w:val="auto"/>
          <w:sz w:val="22"/>
        </w:rPr>
        <w:t>III.4. Cooperation arrangements across the partnership</w:t>
      </w:r>
      <w:bookmarkEnd w:id="70"/>
      <w:r>
        <w:rPr>
          <w:rStyle w:val="Heading2Char"/>
          <w:color w:val="auto"/>
          <w:sz w:val="22"/>
        </w:rPr>
        <w:t xml:space="preserve"> </w:t>
      </w:r>
    </w:p>
    <w:p>
      <w:pPr>
        <w:pStyle w:val="Normal"/>
        <w:jc w:val="both"/>
        <w:rPr>
          <w:i/>
          <w:i/>
          <w:szCs w:val="20"/>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highlight w:val="yellow"/>
        </w:rPr>
      </w:pPr>
      <w:bookmarkStart w:id="71" w:name="_Toc24546608"/>
      <w:r>
        <w:rPr>
          <w:rStyle w:val="Heading2Char"/>
          <w:color w:val="auto"/>
          <w:sz w:val="22"/>
        </w:rPr>
        <w:t>III.5. Partner Country participation</w:t>
      </w:r>
      <w:bookmarkEnd w:id="71"/>
      <w:r>
        <w:rPr>
          <w:rStyle w:val="Funotenanker"/>
          <w:rStyle w:val="Funotenanker"/>
          <w:szCs w:val="22"/>
          <w:lang w:eastAsia="en-GB"/>
        </w:rPr>
        <w:footnoteReference w:id="8"/>
      </w:r>
      <w:r>
        <w:rPr>
          <w:rStyle w:val="Heading2Char"/>
          <w:color w:val="auto"/>
          <w:sz w:val="22"/>
        </w:rPr>
        <w:t xml:space="preserve"> (where applicable) </w:t>
      </w:r>
    </w:p>
    <w:p>
      <w:pPr>
        <w:pStyle w:val="Normal"/>
        <w:jc w:val="both"/>
        <w:rPr>
          <w:b/>
          <w:b/>
          <w:szCs w:val="20"/>
        </w:rPr>
      </w:pPr>
      <w:r>
        <w:rPr>
          <w:b/>
          <w:szCs w:val="20"/>
        </w:rPr>
        <w:t>This section should be completed, if the application involves organisations from Erasmus+ Partner Countries.</w:t>
      </w:r>
    </w:p>
    <w:p>
      <w:pPr>
        <w:pStyle w:val="Normal"/>
        <w:jc w:val="both"/>
        <w:rPr>
          <w:i/>
          <w:i/>
          <w:szCs w:val="20"/>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i/>
          <w:i/>
          <w:szCs w:val="20"/>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rFonts w:ascii="Times New Roman" w:hAnsi="Times New Roman"/>
        </w:rPr>
      </w:pPr>
      <w:bookmarkStart w:id="72" w:name="__RefHeading___Toc4482_3374853057"/>
      <w:bookmarkStart w:id="73" w:name="_Toc24546609"/>
      <w:bookmarkEnd w:id="72"/>
      <w:r>
        <w:rPr>
          <w:rFonts w:ascii="Times New Roman" w:hAnsi="Times New Roman"/>
        </w:rPr>
        <w:t>PART IV. Impact, dissemination, exploitation, and sustainability</w:t>
      </w:r>
      <w:bookmarkEnd w:id="73"/>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74" w:name="_Toc24546610"/>
      <w:r>
        <w:rPr>
          <w:rStyle w:val="Heading2Char"/>
          <w:color w:val="auto"/>
          <w:sz w:val="22"/>
        </w:rPr>
        <w:t>IV.1. Target groups</w:t>
      </w:r>
      <w:bookmarkEnd w:id="74"/>
    </w:p>
    <w:p>
      <w:pPr>
        <w:pStyle w:val="Normal"/>
        <w:rPr>
          <w:i/>
          <w:i/>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 xml:space="preserve">1. Actors for the exemplary establishment of a corresponding training structure in </w:t>
            </w:r>
            <w:r>
              <w:rPr>
                <w:szCs w:val="20"/>
                <w:lang w:val="en-US"/>
              </w:rPr>
              <w:t xml:space="preserve">Mitteldeutschland </w:t>
            </w:r>
            <w:r>
              <w:rPr>
                <w:szCs w:val="20"/>
                <w:lang w:val="en-US"/>
              </w:rPr>
              <w:t>(Leipzig region).</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3. Industrial companies that want to build up an appropriate base of skill</w:t>
            </w:r>
            <w:r>
              <w:rPr>
                <w:szCs w:val="20"/>
                <w:lang w:val="en-US"/>
              </w:rPr>
              <w:t>ed people</w:t>
            </w:r>
            <w:r>
              <w:rPr>
                <w:szCs w:val="20"/>
                <w:lang w:val="en-US"/>
              </w:rPr>
              <w:t xml:space="preserve"> in their own company.</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i/>
          <w:i/>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75" w:name="_Toc24546611"/>
      <w:r>
        <w:rPr>
          <w:rStyle w:val="Heading2Char"/>
          <w:color w:val="auto"/>
          <w:sz w:val="22"/>
        </w:rPr>
        <w:t>IV.2. Sustainability and impact</w:t>
      </w:r>
      <w:bookmarkEnd w:id="75"/>
      <w:r>
        <w:rPr>
          <w:rStyle w:val="Heading2Char"/>
          <w:color w:val="auto"/>
          <w:sz w:val="22"/>
        </w:rPr>
        <w:t xml:space="preserve"> </w:t>
      </w:r>
    </w:p>
    <w:p>
      <w:pPr>
        <w:pStyle w:val="Normal"/>
        <w:jc w:val="both"/>
        <w:rPr>
          <w:i/>
          <w:i/>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i/>
          <w:i/>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szCs w:val="20"/>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i/>
          <w:i/>
        </w:rPr>
      </w:pPr>
      <w:r>
        <w:rPr>
          <w:i/>
        </w:rPr>
        <w:t>IV.2.5 Overview of short term results and long term outcome indicators</w:t>
      </w:r>
    </w:p>
    <w:p>
      <w:pPr>
        <w:pStyle w:val="Normal"/>
        <w:rPr>
          <w:i/>
          <w:i/>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b/>
          <w:b/>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9"/>
        <w:gridCol w:w="2353"/>
        <w:gridCol w:w="2490"/>
        <w:gridCol w:w="2665"/>
      </w:tblGrid>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Cs w:val="20"/>
              </w:rPr>
            </w:pPr>
            <w:r>
              <w:rPr>
                <w:b/>
                <w:szCs w:val="20"/>
              </w:rPr>
              <w:t>Short term results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9"/>
        <w:gridCol w:w="2353"/>
        <w:gridCol w:w="2490"/>
        <w:gridCol w:w="2665"/>
      </w:tblGrid>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Long term outcomes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9"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0"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5"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76" w:name="_Toc24546612"/>
      <w:r>
        <w:rPr>
          <w:rStyle w:val="Heading2Char"/>
          <w:color w:val="auto"/>
          <w:sz w:val="22"/>
        </w:rPr>
        <w:t>IV.3. Dissemination and exploitation strategy</w:t>
      </w:r>
      <w:bookmarkEnd w:id="76"/>
    </w:p>
    <w:p>
      <w:pPr>
        <w:pStyle w:val="Normal"/>
        <w:rPr>
          <w:i/>
          <w:i/>
          <w:szCs w:val="20"/>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i/>
          <w:i/>
          <w:szCs w:val="20"/>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77" w:name="_Toc24546613"/>
      <w:r>
        <w:rPr>
          <w:rStyle w:val="Heading2Char"/>
          <w:color w:val="auto"/>
          <w:sz w:val="22"/>
        </w:rPr>
        <w:t>IV.4. Open access to the educational resources</w:t>
      </w:r>
      <w:bookmarkEnd w:id="77"/>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 </w:t>
            </w:r>
            <w:r>
              <w:rPr>
                <w:szCs w:val="20"/>
              </w:rPr>
              <w:t>this direction</w:t>
            </w:r>
            <w:r>
              <w:rPr>
                <w:szCs w:val="20"/>
              </w:rPr>
              <w:t xml:space="preserve"> the project follows the principles of Open Culture and in particular </w:t>
            </w:r>
            <w:r>
              <w:rPr>
                <w:szCs w:val="20"/>
              </w:rPr>
              <w:t xml:space="preserve">presents the </w:t>
            </w:r>
            <w:r>
              <w:rPr>
                <w:szCs w:val="20"/>
              </w:rPr>
              <w:t xml:space="preserve">experience gathered on a public platform for subsequent use. We build on the experience and structures of the Leipzig WUMM </w:t>
            </w:r>
            <w:r>
              <w:rPr>
                <w:szCs w:val="20"/>
              </w:rPr>
              <w:t>P</w:t>
            </w:r>
            <w:r>
              <w:rPr>
                <w:szCs w:val="20"/>
              </w:rPr>
              <w:t>roject</w:t>
            </w:r>
            <w:r>
              <w:rPr>
                <w:rStyle w:val="Funotenanker"/>
                <w:szCs w:val="20"/>
              </w:rPr>
              <w:footnoteReference w:id="9"/>
            </w:r>
            <w:r>
              <w:rPr>
                <w:szCs w:val="20"/>
              </w:rPr>
              <w:t>, in which a corresponding open infrastructure has been built around a github organizational account</w:t>
            </w:r>
            <w:r>
              <w:rPr>
                <w:rStyle w:val="Funotenanker"/>
                <w:szCs w:val="20"/>
              </w:rPr>
              <w:footnoteReference w:id="10"/>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w:t>
            </w:r>
            <w:r>
              <w:rPr>
                <w:szCs w:val="20"/>
              </w:rPr>
              <w:t>L</w:t>
            </w:r>
            <w:r>
              <w:rPr>
                <w:szCs w:val="20"/>
              </w:rPr>
              <w:t>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78" w:name="__RefHeading___Toc4484_3374853057"/>
      <w:bookmarkStart w:id="79" w:name="_Toc24546614"/>
      <w:bookmarkEnd w:id="78"/>
      <w:r>
        <w:rPr>
          <w:rFonts w:ascii="Times New Roman" w:hAnsi="Times New Roman"/>
        </w:rPr>
        <w:t>PART V. Specific arrangements regarding learning mobility (if applicable)</w:t>
      </w:r>
      <w:bookmarkEnd w:id="79"/>
    </w:p>
    <w:p>
      <w:pPr>
        <w:pStyle w:val="Normal"/>
        <w:jc w:val="both"/>
        <w:rPr>
          <w:szCs w:val="20"/>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80" w:name="_Toc24546615"/>
      <w:r>
        <w:rPr>
          <w:rStyle w:val="Heading2Char"/>
          <w:color w:val="auto"/>
          <w:sz w:val="22"/>
        </w:rPr>
        <w:t>V.1. Added value</w:t>
      </w:r>
      <w:bookmarkEnd w:id="8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81" w:name="_Toc24546616"/>
      <w:r>
        <w:rPr>
          <w:rStyle w:val="Heading2Char"/>
          <w:color w:val="auto"/>
          <w:sz w:val="22"/>
        </w:rPr>
        <w:t>V.2. Implementation of the learning mobility</w:t>
      </w:r>
      <w:bookmarkEnd w:id="81"/>
    </w:p>
    <w:p>
      <w:pPr>
        <w:pStyle w:val="Normal"/>
        <w:jc w:val="both"/>
        <w:rPr>
          <w:i/>
          <w:i/>
          <w:szCs w:val="20"/>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i/>
          <w:i/>
          <w:szCs w:val="20"/>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rFonts w:ascii="Times New Roman" w:hAnsi="Times New Roman"/>
        </w:rPr>
      </w:pPr>
      <w:bookmarkStart w:id="82" w:name="__RefHeading___Toc4486_3374853057"/>
      <w:bookmarkStart w:id="83" w:name="_Toc24546617"/>
      <w:bookmarkEnd w:id="82"/>
      <w:r>
        <w:rPr>
          <w:rFonts w:ascii="Times New Roman" w:hAnsi="Times New Roman"/>
        </w:rPr>
        <w:t>PART VI. Additional project information (if applicable)</w:t>
      </w:r>
      <w:bookmarkEnd w:id="83"/>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b/>
          <w:b/>
          <w:i/>
          <w:i/>
          <w:szCs w:val="20"/>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9">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84" w:name="__RefHeading___Toc4488_3374853057"/>
      <w:bookmarkStart w:id="85" w:name="_Toc24546618"/>
      <w:bookmarkStart w:id="86" w:name="_Toc214095647"/>
      <w:bookmarkEnd w:id="84"/>
      <w:r>
        <w:rPr>
          <w:rFonts w:ascii="Times New Roman" w:hAnsi="Times New Roman"/>
        </w:rPr>
        <w:t>PART VII. Work Plan and Work Packages</w:t>
      </w:r>
      <w:bookmarkEnd w:id="85"/>
      <w:bookmarkEnd w:id="86"/>
    </w:p>
    <w:p>
      <w:pPr>
        <w:pStyle w:val="Text1"/>
        <w:ind w:left="0" w:hanging="0"/>
        <w:rPr>
          <w:rStyle w:val="Heading2Char"/>
          <w:color w:val="auto"/>
          <w:sz w:val="22"/>
        </w:rPr>
      </w:pPr>
      <w:bookmarkStart w:id="87" w:name="_Toc24546619"/>
      <w:r>
        <w:rPr>
          <w:rStyle w:val="Heading2Char"/>
          <w:color w:val="auto"/>
          <w:sz w:val="22"/>
        </w:rPr>
        <w:t>VII.0. Work Plan and Work Packages (WPs) list</w:t>
      </w:r>
      <w:bookmarkEnd w:id="87"/>
    </w:p>
    <w:p>
      <w:pPr>
        <w:pStyle w:val="Normal"/>
        <w:spacing w:before="120" w:after="120"/>
        <w:jc w:val="both"/>
        <w:rPr/>
      </w:pPr>
      <w:bookmarkStart w:id="88" w:name="_Toc179804429"/>
      <w:bookmarkStart w:id="89" w:name="_Toc188076994"/>
      <w:bookmarkEnd w:id="88"/>
      <w:bookmarkEnd w:id="89"/>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 number</w:t>
            </w:r>
          </w:p>
        </w:tc>
        <w:tc>
          <w:tcPr>
            <w:tcW w:w="6770" w:type="dxa"/>
            <w:tcBorders/>
            <w:shd w:fill="auto" w:val="clear"/>
            <w:vAlign w:val="center"/>
          </w:tcPr>
          <w:p>
            <w:pPr>
              <w:pStyle w:val="Normal"/>
              <w:spacing w:before="120" w:after="120"/>
              <w:jc w:val="center"/>
              <w:rPr>
                <w:b/>
                <w:b/>
                <w:sz w:val="22"/>
                <w:szCs w:val="22"/>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WP1</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WP2</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WP3</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WP4</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WP5</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WP6</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sz w:val="22"/>
                <w:szCs w:val="22"/>
              </w:rPr>
            </w:pPr>
            <w:r>
              <w:rPr>
                <w:sz w:val="22"/>
                <w:szCs w:val="22"/>
              </w:rPr>
              <w:t>Etc.</w:t>
            </w:r>
          </w:p>
        </w:tc>
        <w:tc>
          <w:tcPr>
            <w:tcW w:w="6770" w:type="dxa"/>
            <w:tcBorders/>
            <w:shd w:fill="auto" w:val="clear"/>
            <w:vAlign w:val="center"/>
          </w:tcPr>
          <w:p>
            <w:pPr>
              <w:pStyle w:val="Normal"/>
              <w:spacing w:before="120" w:after="120"/>
              <w:rPr>
                <w:szCs w:val="20"/>
              </w:rPr>
            </w:pPr>
            <w:r>
              <w:rPr>
                <w:szCs w:val="20"/>
              </w:rPr>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b/>
          <w:b/>
        </w:rPr>
      </w:pPr>
      <w:r>
        <w:rPr/>
        <w:t>(add more WPs if necessary)</w:t>
      </w:r>
    </w:p>
    <w:p>
      <w:pPr>
        <w:pStyle w:val="Normal"/>
        <w:rPr>
          <w:b/>
          <w:b/>
          <w:sz w:val="22"/>
        </w:rPr>
      </w:pPr>
      <w:r>
        <w:rPr>
          <w:b/>
          <w:sz w:val="22"/>
        </w:rPr>
      </w:r>
    </w:p>
    <w:p>
      <w:pPr>
        <w:pStyle w:val="Text1"/>
        <w:ind w:left="0" w:hanging="0"/>
        <w:rPr>
          <w:rStyle w:val="Heading2Char"/>
          <w:color w:val="auto"/>
          <w:sz w:val="22"/>
        </w:rPr>
      </w:pPr>
      <w:bookmarkStart w:id="90" w:name="_Toc24546620"/>
      <w:r>
        <w:rPr>
          <w:rStyle w:val="Heading2Char"/>
          <w:color w:val="auto"/>
          <w:sz w:val="22"/>
        </w:rPr>
        <w:t xml:space="preserve">VII.1. Work Package 1 – </w:t>
      </w:r>
      <w:r>
        <w:rPr>
          <w:rStyle w:val="Heading2Char"/>
          <w:i/>
          <w:color w:val="auto"/>
          <w:sz w:val="22"/>
        </w:rPr>
        <w:t>(Add Title)</w:t>
      </w:r>
      <w:bookmarkEnd w:id="90"/>
    </w:p>
    <w:p>
      <w:pPr>
        <w:pStyle w:val="Normal"/>
        <w:rPr>
          <w:b/>
          <w:b/>
          <w:sz w:val="22"/>
        </w:rPr>
      </w:pPr>
      <w:r>
        <w:rPr>
          <w:b/>
          <w:sz w:val="22"/>
        </w:rPr>
      </w:r>
    </w:p>
    <w:p>
      <w:pPr>
        <w:pStyle w:val="Normal"/>
        <w:rPr>
          <w:b/>
          <w:b/>
          <w:sz w:val="22"/>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bookmarkStart w:id="91" w:name="_Toc1798044291"/>
      <w:bookmarkStart w:id="92" w:name="_Toc1880769941"/>
      <w:bookmarkStart w:id="93" w:name="_Toc1798044291"/>
      <w:bookmarkStart w:id="94" w:name="_Toc1880769941"/>
      <w:bookmarkEnd w:id="93"/>
      <w:bookmarkEnd w:id="94"/>
    </w:p>
    <w:p>
      <w:pPr>
        <w:pStyle w:val="Normal"/>
        <w:rPr>
          <w:b/>
          <w:b/>
        </w:rPr>
      </w:pPr>
      <w:r>
        <w:rPr>
          <w:b/>
        </w:rPr>
      </w:r>
    </w:p>
    <w:p>
      <w:pPr>
        <w:pStyle w:val="Normal"/>
        <w:rPr>
          <w:b/>
          <w:b/>
          <w:sz w:val="22"/>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rStyle w:val="Heading2Char"/>
          <w:color w:val="auto"/>
          <w:sz w:val="22"/>
        </w:rPr>
      </w:pPr>
      <w:bookmarkStart w:id="95" w:name="_Toc24546621"/>
      <w:r>
        <w:rPr>
          <w:rStyle w:val="Heading2Char"/>
          <w:color w:val="auto"/>
          <w:sz w:val="22"/>
        </w:rPr>
        <w:t xml:space="preserve">VII.2. Work Package 2 – </w:t>
      </w:r>
      <w:r>
        <w:rPr>
          <w:rStyle w:val="Heading2Char"/>
          <w:i/>
          <w:color w:val="auto"/>
          <w:sz w:val="22"/>
        </w:rPr>
        <w:t>(Add Title)</w:t>
      </w:r>
      <w:bookmarkEnd w:id="95"/>
    </w:p>
    <w:p>
      <w:pPr>
        <w:pStyle w:val="Normal"/>
        <w:rPr>
          <w:b/>
          <w:b/>
          <w:sz w:val="22"/>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96" w:name="_Toc24546622"/>
      <w:r>
        <w:rPr>
          <w:rStyle w:val="Heading2Char"/>
          <w:color w:val="auto"/>
          <w:sz w:val="22"/>
        </w:rPr>
        <w:t xml:space="preserve">VII.3. Work Package 3 – </w:t>
      </w:r>
      <w:r>
        <w:rPr>
          <w:rStyle w:val="Heading2Char"/>
          <w:i/>
          <w:color w:val="auto"/>
          <w:sz w:val="22"/>
        </w:rPr>
        <w:t>(Add Title)</w:t>
      </w:r>
      <w:bookmarkEnd w:id="96"/>
    </w:p>
    <w:p>
      <w:pPr>
        <w:pStyle w:val="Normal"/>
        <w:rPr>
          <w:b/>
          <w:b/>
          <w:sz w:val="22"/>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97" w:name="_Toc24546623"/>
      <w:r>
        <w:rPr>
          <w:rStyle w:val="Heading2Char"/>
          <w:color w:val="auto"/>
          <w:sz w:val="22"/>
        </w:rPr>
        <w:t xml:space="preserve">VII.4. Work Package 4 – </w:t>
      </w:r>
      <w:r>
        <w:rPr>
          <w:rStyle w:val="Heading2Char"/>
          <w:i/>
          <w:color w:val="auto"/>
          <w:sz w:val="22"/>
        </w:rPr>
        <w:t>(Add Title)</w:t>
      </w:r>
      <w:bookmarkEnd w:id="97"/>
    </w:p>
    <w:p>
      <w:pPr>
        <w:pStyle w:val="Normal"/>
        <w:rPr>
          <w:b/>
          <w:b/>
          <w:sz w:val="22"/>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98" w:name="_Toc24546624"/>
      <w:r>
        <w:rPr>
          <w:rStyle w:val="Heading2Char"/>
          <w:color w:val="auto"/>
          <w:sz w:val="22"/>
        </w:rPr>
        <w:t xml:space="preserve">VII.5. Work Package 5 – </w:t>
      </w:r>
      <w:r>
        <w:rPr>
          <w:rStyle w:val="Heading2Char"/>
          <w:i/>
          <w:color w:val="auto"/>
          <w:sz w:val="22"/>
        </w:rPr>
        <w:t>(Add Title)</w:t>
      </w:r>
      <w:bookmarkEnd w:id="98"/>
    </w:p>
    <w:p>
      <w:pPr>
        <w:pStyle w:val="Normal"/>
        <w:rPr>
          <w:b/>
          <w:b/>
          <w:sz w:val="22"/>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99" w:name="_Toc24546625"/>
      <w:r>
        <w:rPr>
          <w:rStyle w:val="Heading2Char"/>
          <w:color w:val="auto"/>
          <w:sz w:val="22"/>
        </w:rPr>
        <w:t xml:space="preserve">VII.6. Work Package 6 – </w:t>
      </w:r>
      <w:r>
        <w:rPr>
          <w:rStyle w:val="Heading2Char"/>
          <w:i/>
          <w:color w:val="auto"/>
          <w:sz w:val="22"/>
        </w:rPr>
        <w:t>(Add Title)</w:t>
      </w:r>
      <w:bookmarkEnd w:id="99"/>
    </w:p>
    <w:p>
      <w:pPr>
        <w:pStyle w:val="Normal"/>
        <w:rPr>
          <w:b/>
          <w:b/>
          <w:sz w:val="22"/>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WP6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WP6</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0"/>
          <w:footerReference w:type="default" r:id="rId11"/>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Text1"/>
        <w:ind w:left="0" w:hanging="0"/>
        <w:rPr>
          <w:rStyle w:val="Heading2Char"/>
          <w:color w:val="auto"/>
          <w:sz w:val="22"/>
        </w:rPr>
      </w:pPr>
      <w:bookmarkStart w:id="100" w:name="_Toc24546626"/>
      <w:r>
        <w:rPr>
          <w:rStyle w:val="Heading2Char"/>
          <w:color w:val="auto"/>
          <w:sz w:val="22"/>
        </w:rPr>
        <w:t>VII.7. Overview of consortium partners involved and resources required</w:t>
      </w:r>
      <w:bookmarkEnd w:id="10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58" w:type="dxa"/>
        <w:tblBorders>
          <w:top w:val="single" w:sz="8" w:space="0" w:color="000000"/>
          <w:left w:val="single" w:sz="8" w:space="0" w:color="000000"/>
          <w:right w:val="single" w:sz="4" w:space="0" w:color="000000"/>
          <w:insideV w:val="single" w:sz="4" w:space="0" w:color="000000"/>
        </w:tblBorders>
        <w:tblCellMar>
          <w:top w:w="0" w:type="dxa"/>
          <w:left w:w="48"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b/>
                <w:b/>
                <w:bCs/>
                <w:color w:val="000000"/>
                <w:szCs w:val="20"/>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bCs/>
                <w:color w:val="000000"/>
                <w:szCs w:val="20"/>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p>
            <w:pPr>
              <w:pStyle w:val="Normal"/>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rStyle w:val="Heading2Char"/>
          <w:color w:val="auto"/>
          <w:sz w:val="22"/>
        </w:rPr>
      </w:pPr>
      <w:bookmarkStart w:id="101" w:name="_Toc24546627"/>
      <w:r>
        <w:rPr>
          <w:rStyle w:val="Heading2Char"/>
          <w:color w:val="auto"/>
          <w:sz w:val="22"/>
        </w:rPr>
        <w:t>VII.8. Overview of expected results (outputs and outcomes)</w:t>
      </w:r>
      <w:bookmarkEnd w:id="101"/>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bCs/>
                <w:szCs w:val="20"/>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12"/>
          <w:footerReference w:type="default" r:id="rId13"/>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pPr>
    </w:p>
    <w:p>
      <w:pPr>
        <w:pStyle w:val="Normal"/>
        <w:rPr>
          <w:b/>
          <w:b/>
        </w:rPr>
      </w:pPr>
      <w:r>
        <w:rPr>
          <w:b/>
        </w:rPr>
      </w:r>
    </w:p>
    <w:p>
      <w:pPr>
        <w:pStyle w:val="Berschrift1"/>
        <w:shd w:val="clear" w:color="auto" w:fill="404040"/>
        <w:tabs>
          <w:tab w:val="clear" w:pos="426"/>
          <w:tab w:val="clear" w:pos="1440"/>
        </w:tabs>
        <w:ind w:left="1843" w:hanging="1843"/>
        <w:rPr/>
      </w:pPr>
      <w:bookmarkStart w:id="102" w:name="__RefHeading___Toc4490_3374853057"/>
      <w:bookmarkStart w:id="103" w:name="_Toc24546628"/>
      <w:bookmarkEnd w:id="102"/>
      <w:r>
        <w:rPr>
          <w:rFonts w:ascii="Times New Roman" w:hAnsi="Times New Roman"/>
        </w:rPr>
        <w:t>PART VIII. Specific arrangements regarding Associated Partners (if applicable)</w:t>
      </w:r>
      <w:bookmarkEnd w:id="103"/>
    </w:p>
    <w:p>
      <w:pPr>
        <w:pStyle w:val="Normal"/>
        <w:jc w:val="both"/>
        <w:rPr>
          <w:sz w:val="22"/>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i/>
          <w:i/>
          <w:szCs w:val="20"/>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i/>
          <w:i/>
          <w:szCs w:val="2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rFonts w:ascii="Times New Roman" w:hAnsi="Times New Roman"/>
        </w:rPr>
      </w:pPr>
      <w:bookmarkStart w:id="104" w:name="__RefHeading___Toc4492_3374853057"/>
      <w:bookmarkStart w:id="105" w:name="_Toc469413594"/>
      <w:bookmarkStart w:id="106" w:name="_Toc24546629"/>
      <w:bookmarkEnd w:id="104"/>
      <w:r>
        <w:rPr>
          <w:rFonts w:ascii="Times New Roman" w:hAnsi="Times New Roman"/>
        </w:rPr>
        <w:t>Annex – Affiliated Entities (if applicable)</w:t>
      </w:r>
      <w:bookmarkEnd w:id="105"/>
      <w:bookmarkEnd w:id="106"/>
    </w:p>
    <w:p>
      <w:pPr>
        <w:pStyle w:val="Normal"/>
        <w:rPr>
          <w:b/>
          <w:b/>
          <w:szCs w:val="20"/>
          <w:lang w:eastAsia="en-US"/>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rFonts w:eastAsia="Calibri"/>
          <w:i/>
          <w:i/>
          <w:szCs w:val="20"/>
          <w:lang w:eastAsia="en-US"/>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7"/>
        <w:gridCol w:w="1538"/>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rFonts w:eastAsia="Calibri"/>
                <w:b/>
                <w:b/>
                <w:color w:val="000000"/>
                <w:szCs w:val="20"/>
                <w:lang w:eastAsia="en-US"/>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sz w:val="24"/>
                <w:szCs w:val="24"/>
                <w:lang w:val="it-IT" w:eastAsia="en-GB"/>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rFonts w:eastAsia="Calibri"/>
                <w:b/>
                <w:b/>
                <w:color w:val="000000"/>
                <w:szCs w:val="20"/>
                <w:lang w:val="it-IT" w:eastAsia="en-US"/>
              </w:rPr>
            </w:pPr>
            <w:r>
              <w:rPr>
                <w:rFonts w:eastAsia="Calibri"/>
                <w:b/>
                <w:color w:val="000000"/>
                <w:szCs w:val="20"/>
                <w:lang w:val="it-IT" w:eastAsia="en-US"/>
              </w:rPr>
              <w:t>AE (AE1 – AEn)</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Affiliated Entity of the beneficiary organisation</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xml:space="preserve">AE </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1</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2</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3</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b/>
          <w:b/>
          <w:i/>
          <w:i/>
          <w:color w:val="808080"/>
          <w:szCs w:val="20"/>
          <w:lang w:eastAsia="en-GB"/>
        </w:rPr>
      </w:pPr>
      <w:r>
        <w:rPr>
          <w:b/>
          <w:szCs w:val="20"/>
          <w:lang w:eastAsia="en-GB"/>
        </w:rPr>
        <w:t xml:space="preserve">Partner number - P x </w:t>
      </w:r>
      <w:r>
        <w:rPr>
          <w:b/>
          <w:i/>
          <w:szCs w:val="20"/>
          <w:lang w:eastAsia="en-GB"/>
        </w:rPr>
        <w:t>[P1 – Pn] (beneficiary organisation)</w:t>
      </w:r>
    </w:p>
    <w:p>
      <w:pPr>
        <w:pStyle w:val="Normal"/>
        <w:rPr>
          <w:b/>
          <w:b/>
          <w:szCs w:val="20"/>
          <w:lang w:eastAsia="en-GB"/>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14"/>
          <w:footerReference w:type="default" r:id="rId15"/>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b/>
          <w:b/>
          <w:sz w:val="22"/>
          <w:lang w:eastAsia="en-GB"/>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i/>
          <w:i/>
          <w:sz w:val="18"/>
          <w:szCs w:val="18"/>
          <w:lang w:eastAsia="en-GB"/>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 w:val="18"/>
          <w:szCs w:val="18"/>
          <w:lang w:eastAsia="en-GB"/>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Country</w:t>
            </w:r>
          </w:p>
          <w:p>
            <w:pPr>
              <w:pStyle w:val="Normal"/>
              <w:rPr>
                <w:b/>
                <w:b/>
                <w:bCs/>
                <w:color w:val="000000"/>
                <w:szCs w:val="20"/>
                <w:lang w:eastAsia="en-GB"/>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t>Role and tasks in the Work Package</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b/>
                <w:b/>
                <w:bCs/>
                <w:color w:val="000000"/>
                <w:szCs w:val="20"/>
                <w:lang w:eastAsia="en-GB"/>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P(x)</w:t>
            </w:r>
          </w:p>
          <w:p>
            <w:pPr>
              <w:pStyle w:val="Normal"/>
              <w:rPr>
                <w:color w:val="000000"/>
                <w:szCs w:val="20"/>
                <w:lang w:eastAsia="en-GB"/>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lang w:eastAsia="en-GB"/>
              </w:rPr>
            </w:pPr>
            <w:r>
              <w:rPr>
                <w:color w:val="000000"/>
                <w:szCs w:val="20"/>
                <w:lang w:eastAsia="en-GB"/>
              </w:rPr>
              <w:t>P(x)</w:t>
            </w:r>
          </w:p>
          <w:p>
            <w:pPr>
              <w:pStyle w:val="Normal"/>
              <w:jc w:val="both"/>
              <w:rPr>
                <w:color w:val="000000"/>
                <w:szCs w:val="20"/>
                <w:lang w:eastAsia="en-GB"/>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16"/>
      <w:footerReference w:type="default" r:id="rId17"/>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1</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51</w:t>
    </w:r>
    <w:r>
      <w:rP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rFonts w:ascii="Tahoma-Bold" w:hAnsi="Tahoma-Bold"/>
        <w:i/>
        <w:i/>
        <w:szCs w:val="20"/>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25</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47</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51</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tab/>
      </w:r>
      <w:hyperlink r:id="rId1">
        <w:r>
          <w:rPr>
            <w:rStyle w:val="Internetverknpfung"/>
          </w:rPr>
          <w:t>https://en.wikipedia.org/wiki/TRIZ</w:t>
        </w:r>
      </w:hyperlink>
      <w:r>
        <w:rPr/>
        <w:t xml:space="preserve"> </w:t>
      </w:r>
    </w:p>
  </w:footnote>
  <w:footnote w:id="3">
    <w:p>
      <w:pPr>
        <w:pStyle w:val="Funote"/>
        <w:rPr/>
      </w:pPr>
      <w:r>
        <w:rPr>
          <w:rStyle w:val="Funotenzeichen"/>
        </w:rPr>
        <w:footnoteRef/>
      </w:r>
      <w:r>
        <w:rPr>
          <w:rStyle w:val="Funotenzeichen"/>
        </w:rPr>
        <w:tab/>
      </w:r>
      <w:r>
        <w:rPr>
          <w:rStyle w:val="Funotenzeichen"/>
        </w:rPr>
        <w:tab/>
      </w:r>
      <w:r>
        <w:rPr/>
        <w:t>Runhua Tan. TRIZ, the development and dissemination in industries in China. Proceedings TRIZCON 2017.</w:t>
      </w:r>
    </w:p>
  </w:footnote>
  <w:footnote w:id="4">
    <w:p>
      <w:pPr>
        <w:pStyle w:val="Funote"/>
        <w:rPr/>
      </w:pPr>
      <w:r>
        <w:rPr>
          <w:rStyle w:val="Funotenzeichen"/>
        </w:rPr>
        <w:footnoteRef/>
      </w:r>
      <w:r>
        <w:rPr>
          <w:rStyle w:val="Funotenzeichen"/>
        </w:rPr>
        <w:tab/>
      </w:r>
      <w:r>
        <w:rPr/>
        <w:tab/>
      </w:r>
      <w:hyperlink r:id="rId2">
        <w:r>
          <w:rPr>
            <w:rStyle w:val="Internetverknpfung"/>
          </w:rPr>
          <w:t>https://matriz.org</w:t>
        </w:r>
      </w:hyperlink>
      <w:r>
        <w:rPr/>
        <w:t xml:space="preserve"> </w:t>
      </w:r>
    </w:p>
  </w:footnote>
  <w:footnote w:id="5">
    <w:p>
      <w:pPr>
        <w:pStyle w:val="Funote"/>
        <w:rPr/>
      </w:pPr>
      <w:r>
        <w:rPr>
          <w:rStyle w:val="Funotenzeichen"/>
        </w:rPr>
        <w:footnoteRef/>
      </w:r>
      <w:r>
        <w:rPr>
          <w:rStyle w:val="Funotenzeichen"/>
        </w:rPr>
        <w:tab/>
      </w:r>
      <w:r>
        <w:rPr/>
        <w:tab/>
      </w:r>
      <w:hyperlink r:id="rId3">
        <w:r>
          <w:rPr>
            <w:rStyle w:val="Internetverknpfung"/>
          </w:rPr>
          <w:t>http://etria.eu/portal/</w:t>
        </w:r>
      </w:hyperlink>
      <w:r>
        <w:rPr/>
        <w:t xml:space="preserve"> </w:t>
      </w:r>
    </w:p>
  </w:footnote>
  <w:footnote w:id="6">
    <w:p>
      <w:pPr>
        <w:pStyle w:val="Funote"/>
        <w:rPr/>
      </w:pPr>
      <w:r>
        <w:rPr>
          <w:rStyle w:val="Funotenzeichen"/>
        </w:rPr>
        <w:footnoteRef/>
      </w:r>
      <w:r>
        <w:rPr>
          <w:rStyle w:val="Funotenzeichen"/>
        </w:rPr>
        <w:tab/>
      </w:r>
      <w:r>
        <w:rPr>
          <w:rStyle w:val="Funotenzeichen"/>
        </w:rPr>
        <w:tab/>
        <w:tab/>
        <w:tab/>
        <w:tab/>
      </w:r>
      <w:r>
        <w:rPr>
          <w:rStyle w:val="FootnoteCharacters"/>
        </w:rPr>
        <w:tab/>
      </w:r>
      <w:r>
        <w:rPr/>
        <w:t xml:space="preserve"> </w:t>
      </w:r>
      <w:r>
        <w:rPr>
          <w:sz w:val="16"/>
          <w:szCs w:val="16"/>
        </w:rPr>
        <w:t>E.g. chambers of commerce, trade union, intermediary, sectorial representation, etc.</w:t>
      </w:r>
    </w:p>
  </w:footnote>
  <w:footnote w:id="7">
    <w:p>
      <w:pPr>
        <w:pStyle w:val="Funote"/>
        <w:rPr/>
      </w:pPr>
      <w:r>
        <w:rPr>
          <w:rStyle w:val="Funotenzeichen"/>
        </w:rPr>
        <w:footnoteRef/>
      </w:r>
      <w:r>
        <w:rPr/>
        <w:tab/>
      </w:r>
      <w:hyperlink r:id="rId4">
        <w:r>
          <w:rPr>
            <w:rStyle w:val="Internetverknpfung"/>
          </w:rPr>
          <w:t>http://www.leipzig-netz.de/index.php/WUMM</w:t>
        </w:r>
      </w:hyperlink>
      <w:hyperlink r:id="rId5">
        <w:r>
          <w:rPr/>
          <w:t xml:space="preserve"> </w:t>
        </w:r>
      </w:hyperlink>
    </w:p>
  </w:footnote>
  <w:footnote w:id="8">
    <w:p>
      <w:pPr>
        <w:pStyle w:val="Funote"/>
        <w:rPr/>
      </w:pPr>
      <w:r>
        <w:rPr>
          <w:rStyle w:val="Funotenzeichen"/>
        </w:rPr>
        <w:footnoteRef/>
      </w:r>
      <w:r>
        <w:rPr>
          <w:rStyle w:val="Funotenzeichen"/>
        </w:rPr>
        <w:tab/>
      </w:r>
      <w:r>
        <w:rPr>
          <w:rStyle w:val="Funotenzeichen"/>
        </w:rPr>
        <w:tab/>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 w:id="9">
    <w:p>
      <w:pPr>
        <w:pStyle w:val="Funote"/>
        <w:rPr/>
      </w:pPr>
      <w:r>
        <w:rPr>
          <w:rStyle w:val="Funotenzeichen"/>
        </w:rPr>
        <w:footnoteRef/>
      </w:r>
      <w:r>
        <w:rPr/>
        <w:tab/>
      </w:r>
      <w:hyperlink r:id="rId6">
        <w:r>
          <w:rPr>
            <w:rStyle w:val="Internetverknpfung"/>
          </w:rPr>
          <w:t>http://www.leipzig-netz.de/index.php/WUMM</w:t>
        </w:r>
      </w:hyperlink>
      <w:hyperlink r:id="rId7">
        <w:r>
          <w:rPr/>
          <w:t xml:space="preserve"> </w:t>
        </w:r>
      </w:hyperlink>
    </w:p>
  </w:footnote>
  <w:footnote w:id="10">
    <w:p>
      <w:pPr>
        <w:pStyle w:val="Funote"/>
        <w:rPr/>
      </w:pPr>
      <w:r>
        <w:rPr>
          <w:rStyle w:val="Funotenzeichen"/>
        </w:rPr>
        <w:footnoteRef/>
      </w:r>
      <w:r>
        <w:rPr/>
        <w:tab/>
      </w:r>
      <w:hyperlink r:id="rId8">
        <w:r>
          <w:rPr>
            <w:rStyle w:val="Internetverknpfung"/>
          </w:rPr>
          <w:t>https://github.com/wumm-project</w:t>
        </w:r>
      </w:hyperlink>
      <w:hyperlink r:id="rId9">
        <w:r>
          <w:rPr/>
          <w:t xml:space="preserve"> </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fals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fals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fals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s://eacea.ec.europa.eu/erasmus-plus/actions/erasmus-charter_en"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n.wikipedia.org/wiki/TRIZ" TargetMode="External"/><Relationship Id="rId2" Type="http://schemas.openxmlformats.org/officeDocument/2006/relationships/hyperlink" Target="https://matriz.org/" TargetMode="External"/><Relationship Id="rId3" Type="http://schemas.openxmlformats.org/officeDocument/2006/relationships/hyperlink" Target="http://etria.eu/portal/" TargetMode="External"/><Relationship Id="rId4" Type="http://schemas.openxmlformats.org/officeDocument/2006/relationships/hyperlink" Target="http://www.leipzig-netz.de/index.php/WUMM" TargetMode="External"/><Relationship Id="rId5" Type="http://schemas.openxmlformats.org/officeDocument/2006/relationships/hyperlink" Target="" TargetMode="External"/><Relationship Id="rId6" Type="http://schemas.openxmlformats.org/officeDocument/2006/relationships/hyperlink" Target="http://www.leipzig-netz.de/index.php/WUMM" TargetMode="External"/><Relationship Id="rId7" Type="http://schemas.openxmlformats.org/officeDocument/2006/relationships/hyperlink" Target="" TargetMode="External"/><Relationship Id="rId8" Type="http://schemas.openxmlformats.org/officeDocument/2006/relationships/hyperlink" Target="https://github.com/wumm-project" TargetMode="External"/><Relationship Id="rId9"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Application>LibreOffice/6.0.7.3$Linux_X86_64 LibreOffice_project/00m0$Build-3</Application>
  <Pages>51</Pages>
  <Words>8876</Words>
  <Characters>51268</Characters>
  <CharactersWithSpaces>59744</CharactersWithSpaces>
  <Paragraphs>1067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2020-02-02T21:25:31Z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