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_rels/document.xml.rels" ContentType="application/vnd.openxmlformats-package.relationships+xml"/>
  <Override PartName="/word/header4.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1.png" ContentType="image/png"/>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header8.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header1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218"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pPr>
            <w:r>
              <w:rPr>
                <w:b/>
                <w:i/>
                <w:sz w:val="28"/>
                <w:szCs w:val="28"/>
                <w:lang w:eastAsia="en-US"/>
              </w:rPr>
              <w:t>Application Form</w:t>
            </w:r>
          </w:p>
          <w:p>
            <w:pPr>
              <w:pStyle w:val="Normal"/>
              <w:tabs>
                <w:tab w:val="center" w:pos="4153" w:leader="none"/>
                <w:tab w:val="right" w:pos="8306" w:leader="none"/>
              </w:tabs>
              <w:spacing w:lineRule="auto" w:line="360"/>
              <w:rPr/>
            </w:pPr>
            <w:r>
              <w:rPr>
                <w:b/>
                <w:lang w:eastAsia="en-US"/>
              </w:rPr>
              <w:t>Call: EAC/A02/2019</w:t>
            </w:r>
          </w:p>
          <w:p>
            <w:pPr>
              <w:pStyle w:val="Kopfzeile"/>
              <w:spacing w:lineRule="auto" w:line="360" w:before="0" w:after="120"/>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pPr>
      <w:r>
        <w:rPr>
          <w:b/>
          <w:sz w:val="24"/>
          <w:szCs w:val="24"/>
        </w:rPr>
        <w:t>TABLE OF CONTENT</w:t>
      </w:r>
    </w:p>
    <w:p>
      <w:pPr>
        <w:pStyle w:val="Normal"/>
        <w:jc w:val="center"/>
        <w:rPr/>
      </w:pPr>
      <w:r>
        <w:rPr>
          <w:b/>
          <w:i/>
          <w:szCs w:val="20"/>
        </w:rPr>
        <w:t>(Please click right and update field - entire table - to refresh page numbers)</w:t>
      </w:r>
    </w:p>
    <w:p>
      <w:pPr>
        <w:pStyle w:val="Inhaltsverzeichnis3"/>
        <w:rPr/>
      </w:pPr>
      <w:r>
        <w:rPr/>
      </w:r>
    </w:p>
    <w:p>
      <w:pPr>
        <w:pStyle w:val="TOAHeading"/>
        <w:rPr/>
      </w:pPr>
      <w:r>
        <w:rPr/>
        <w:t>Inhaltsverzeichnis</w:t>
      </w:r>
    </w:p>
    <w:p>
      <w:pPr>
        <w:pStyle w:val="Inhaltsverzeichnis1"/>
        <w:tabs>
          <w:tab w:val="right" w:pos="9638" w:leader="dot"/>
        </w:tabs>
        <w:rPr/>
      </w:pPr>
      <w:r>
        <w:fldChar w:fldCharType="begin"/>
      </w:r>
      <w:r>
        <w:rPr>
          <w:rStyle w:val="Verzeichnissprung"/>
          <w:i w:val="false"/>
          <w:iCs w:val="false"/>
        </w:rPr>
        <w:instrText> TOC \f \o "1-3" \h</w:instrText>
      </w:r>
      <w:r>
        <w:rPr>
          <w:rStyle w:val="Verzeichnissprung"/>
          <w:i w:val="false"/>
          <w:iCs w:val="false"/>
        </w:rPr>
        <w:fldChar w:fldCharType="separate"/>
      </w:r>
      <w:hyperlink w:anchor="__RefHeading___Toc6077_4118694307">
        <w:r>
          <w:rPr>
            <w:rStyle w:val="Verzeichnissprung"/>
            <w:i w:val="false"/>
            <w:iCs w:val="false"/>
          </w:rPr>
          <w:t>PART 0. Project summary and involvement in previous relevant projects</w:t>
          <w:tab/>
          <w:t>3</w:t>
        </w:r>
      </w:hyperlink>
    </w:p>
    <w:p>
      <w:pPr>
        <w:pStyle w:val="Inhaltsverzeichnis1"/>
        <w:tabs>
          <w:tab w:val="right" w:pos="9638" w:leader="dot"/>
        </w:tabs>
        <w:rPr/>
      </w:pPr>
      <w:hyperlink w:anchor="__RefHeading___Toc4454_3374853057">
        <w:r>
          <w:rPr>
            <w:rStyle w:val="Verzeichnissprung"/>
          </w:rPr>
          <w:t>PART I. Project relevance</w:t>
          <w:tab/>
          <w:t>4</w:t>
        </w:r>
      </w:hyperlink>
    </w:p>
    <w:p>
      <w:pPr>
        <w:pStyle w:val="Inhaltsverzeichnis1"/>
        <w:tabs>
          <w:tab w:val="right" w:pos="9638" w:leader="dot"/>
        </w:tabs>
        <w:rPr/>
      </w:pPr>
      <w:hyperlink w:anchor="__RefHeading___Toc4456_3374853057">
        <w:r>
          <w:rPr>
            <w:rStyle w:val="Verzeichnissprung"/>
          </w:rPr>
          <w:t>PART II. Quality of the project design and implementation</w:t>
          <w:tab/>
          <w:t>7</w:t>
        </w:r>
      </w:hyperlink>
    </w:p>
    <w:p>
      <w:pPr>
        <w:pStyle w:val="Inhaltsverzeichnis1"/>
        <w:tabs>
          <w:tab w:val="right" w:pos="9638" w:leader="dot"/>
        </w:tabs>
        <w:rPr/>
      </w:pPr>
      <w:hyperlink w:anchor="__RefHeading___Toc4458_3374853057">
        <w:r>
          <w:rPr>
            <w:rStyle w:val="Verzeichnissprung"/>
          </w:rPr>
          <w:t>PART III. Quality of the partnership, the team and the cooperation arrangements</w:t>
          <w:tab/>
          <w:t>10</w:t>
        </w:r>
      </w:hyperlink>
    </w:p>
    <w:p>
      <w:pPr>
        <w:pStyle w:val="Inhaltsverzeichnis3"/>
        <w:tabs>
          <w:tab w:val="right" w:pos="9638" w:leader="dot"/>
        </w:tabs>
        <w:rPr/>
      </w:pPr>
      <w:hyperlink w:anchor="__RefHeading___Toc4460_3374853057">
        <w:r>
          <w:rPr>
            <w:rStyle w:val="Verzeichnissprung"/>
          </w:rPr>
          <w:t>III.3.1. Partner number – P1 – (Leipzig University – ULEI</w:t>
        </w:r>
        <w:r>
          <w:rPr>
            <w:rStyle w:val="Verzeichnissprung"/>
            <w:i/>
          </w:rPr>
          <w:t>)</w:t>
        </w:r>
        <w:r>
          <w:rPr>
            <w:rStyle w:val="Verzeichnissprung"/>
          </w:rPr>
          <w:tab/>
          <w:t>13</w:t>
        </w:r>
      </w:hyperlink>
    </w:p>
    <w:p>
      <w:pPr>
        <w:pStyle w:val="Inhaltsverzeichnis3"/>
        <w:tabs>
          <w:tab w:val="right" w:pos="9638" w:leader="dot"/>
        </w:tabs>
        <w:rPr/>
      </w:pPr>
      <w:hyperlink w:anchor="__RefHeading___Toc5877_1418198404">
        <w:r>
          <w:rPr>
            <w:rStyle w:val="Verzeichnissprung"/>
          </w:rPr>
          <w:t>III.3.2. Partner number – P2 – (INSA Strasbourg – INSA</w:t>
        </w:r>
        <w:r>
          <w:rPr>
            <w:rStyle w:val="Verzeichnissprung"/>
            <w:i/>
          </w:rPr>
          <w:t>)</w:t>
        </w:r>
        <w:r>
          <w:rPr>
            <w:rStyle w:val="Verzeichnissprung"/>
          </w:rPr>
          <w:tab/>
          <w:t>15</w:t>
        </w:r>
      </w:hyperlink>
    </w:p>
    <w:p>
      <w:pPr>
        <w:pStyle w:val="Inhaltsverzeichnis3"/>
        <w:tabs>
          <w:tab w:val="right" w:pos="9638" w:leader="dot"/>
        </w:tabs>
        <w:rPr/>
      </w:pPr>
      <w:hyperlink w:anchor="__RefHeading___Toc4462_3374853057">
        <w:r>
          <w:rPr>
            <w:rStyle w:val="Verzeichnissprung"/>
          </w:rPr>
          <w:t>III.3.3. Partner number – P3 – (HS Offenburg – HSO</w:t>
        </w:r>
        <w:r>
          <w:rPr>
            <w:rStyle w:val="Verzeichnissprung"/>
            <w:i/>
          </w:rPr>
          <w:t>)</w:t>
        </w:r>
        <w:r>
          <w:rPr>
            <w:rStyle w:val="Verzeichnissprung"/>
          </w:rPr>
          <w:tab/>
          <w:t>16</w:t>
        </w:r>
      </w:hyperlink>
    </w:p>
    <w:p>
      <w:pPr>
        <w:pStyle w:val="Inhaltsverzeichnis3"/>
        <w:tabs>
          <w:tab w:val="right" w:pos="9638" w:leader="dot"/>
        </w:tabs>
        <w:rPr/>
      </w:pPr>
      <w:hyperlink w:anchor="__RefHeading___Toc4468_3374853057">
        <w:r>
          <w:rPr>
            <w:rStyle w:val="Verzeichnissprung"/>
          </w:rPr>
          <w:t>III.3.4. Partner number – P4 – (UTC Cluj-Napoca – UTC</w:t>
        </w:r>
        <w:r>
          <w:rPr>
            <w:rStyle w:val="Verzeichnissprung"/>
            <w:i w:val="false"/>
            <w:iCs w:val="false"/>
          </w:rPr>
          <w:t>)</w:t>
        </w:r>
        <w:r>
          <w:rPr>
            <w:rStyle w:val="Verzeichnissprung"/>
          </w:rPr>
          <w:tab/>
          <w:t>19</w:t>
        </w:r>
      </w:hyperlink>
    </w:p>
    <w:p>
      <w:pPr>
        <w:pStyle w:val="Inhaltsverzeichnis3"/>
        <w:tabs>
          <w:tab w:val="right" w:pos="9638" w:leader="dot"/>
        </w:tabs>
        <w:rPr/>
      </w:pPr>
      <w:hyperlink w:anchor="__RefHeading___Toc4470_3374853057">
        <w:r>
          <w:rPr>
            <w:rStyle w:val="Verzeichnissprung"/>
          </w:rPr>
          <w:t>III.3.5. Partner number – P65– (</w:t>
        </w:r>
        <w:r>
          <w:rPr>
            <w:rStyle w:val="Verzeichnissprung"/>
            <w:i w:val="false"/>
            <w:iCs w:val="false"/>
          </w:rPr>
          <w:t>LUT Lappenranta – LUT)</w:t>
        </w:r>
        <w:r>
          <w:rPr>
            <w:rStyle w:val="Verzeichnissprung"/>
          </w:rPr>
          <w:tab/>
          <w:t>20</w:t>
        </w:r>
      </w:hyperlink>
    </w:p>
    <w:p>
      <w:pPr>
        <w:pStyle w:val="Inhaltsverzeichnis3"/>
        <w:tabs>
          <w:tab w:val="right" w:pos="9638" w:leader="dot"/>
        </w:tabs>
        <w:rPr/>
      </w:pPr>
      <w:hyperlink w:anchor="__RefHeading___Toc4474_3374853057">
        <w:r>
          <w:rPr>
            <w:rStyle w:val="Verzeichnissprung"/>
          </w:rPr>
          <w:t>III.3.6. Partner number – P6 – (</w:t>
        </w:r>
        <w:r>
          <w:rPr>
            <w:rStyle w:val="Verzeichnissprung"/>
            <w:i w:val="false"/>
            <w:iCs w:val="false"/>
          </w:rPr>
          <w:t>Schaeffler AG – Schaeffler)</w:t>
        </w:r>
        <w:r>
          <w:rPr>
            <w:rStyle w:val="Verzeichnissprung"/>
          </w:rPr>
          <w:tab/>
          <w:t>21</w:t>
        </w:r>
      </w:hyperlink>
    </w:p>
    <w:p>
      <w:pPr>
        <w:pStyle w:val="Inhaltsverzeichnis3"/>
        <w:tabs>
          <w:tab w:val="right" w:pos="9638" w:leader="dot"/>
        </w:tabs>
        <w:rPr/>
      </w:pPr>
      <w:hyperlink w:anchor="__RefHeading___Toc9667_2808305147">
        <w:r>
          <w:rPr>
            <w:rStyle w:val="Verzeichnissprung"/>
          </w:rPr>
          <w:t>III.3.7. Partner number – P7 – (Arxia SRL – Arxia</w:t>
        </w:r>
        <w:r>
          <w:rPr>
            <w:rStyle w:val="Verzeichnissprung"/>
            <w:i w:val="false"/>
            <w:iCs w:val="false"/>
          </w:rPr>
          <w:t>)</w:t>
        </w:r>
        <w:r>
          <w:rPr>
            <w:rStyle w:val="Verzeichnissprung"/>
          </w:rPr>
          <w:tab/>
          <w:t>22</w:t>
        </w:r>
      </w:hyperlink>
    </w:p>
    <w:p>
      <w:pPr>
        <w:pStyle w:val="Inhaltsverzeichnis3"/>
        <w:tabs>
          <w:tab w:val="right" w:pos="9638" w:leader="dot"/>
        </w:tabs>
        <w:rPr/>
      </w:pPr>
      <w:hyperlink w:anchor="__RefHeading___Toc5740_3453647945">
        <w:r>
          <w:rPr>
            <w:rStyle w:val="Verzeichnissprung"/>
          </w:rPr>
          <w:t>III.3.8. Partner number – P8 – (Tehnoprod Plast SRL – TechnoPlast</w:t>
        </w:r>
        <w:r>
          <w:rPr>
            <w:rStyle w:val="Verzeichnissprung"/>
            <w:i w:val="false"/>
            <w:iCs w:val="false"/>
          </w:rPr>
          <w:t>)</w:t>
        </w:r>
        <w:r>
          <w:rPr>
            <w:rStyle w:val="Verzeichnissprung"/>
          </w:rPr>
          <w:tab/>
          <w:t>23</w:t>
        </w:r>
      </w:hyperlink>
    </w:p>
    <w:p>
      <w:pPr>
        <w:pStyle w:val="Inhaltsverzeichnis3"/>
        <w:tabs>
          <w:tab w:val="right" w:pos="9638" w:leader="dot"/>
        </w:tabs>
        <w:rPr/>
      </w:pPr>
      <w:hyperlink w:anchor="__RefHeading___Toc5879_1418198404">
        <w:r>
          <w:rPr>
            <w:rStyle w:val="Verzeichnissprung"/>
          </w:rPr>
          <w:t>III.3.9. Partner number – P9 – (Jantschgi C&amp;R – Jantschgi)</w:t>
          <w:tab/>
          <w:t>24</w:t>
        </w:r>
      </w:hyperlink>
    </w:p>
    <w:p>
      <w:pPr>
        <w:pStyle w:val="Inhaltsverzeichnis3"/>
        <w:tabs>
          <w:tab w:val="right" w:pos="9638" w:leader="dot"/>
        </w:tabs>
        <w:rPr/>
      </w:pPr>
      <w:hyperlink w:anchor="__RefHeading___Toc5881_1418198404">
        <w:r>
          <w:rPr>
            <w:rStyle w:val="Verzeichnissprung"/>
          </w:rPr>
          <w:t>III.3.10. Partner number – P10 – (Target Invention Minsk – TIM)</w:t>
          <w:tab/>
          <w:t>25</w:t>
        </w:r>
      </w:hyperlink>
    </w:p>
    <w:p>
      <w:pPr>
        <w:pStyle w:val="Inhaltsverzeichnis3"/>
        <w:tabs>
          <w:tab w:val="right" w:pos="9638" w:leader="dot"/>
        </w:tabs>
        <w:rPr/>
      </w:pPr>
      <w:hyperlink w:anchor="__RefHeading___Toc5742_3453647945">
        <w:r>
          <w:rPr>
            <w:rStyle w:val="Verzeichnissprung"/>
          </w:rPr>
          <w:t>III.3.11. Partner number – P11 – (Farmec SA – Farmec</w:t>
        </w:r>
        <w:r>
          <w:rPr>
            <w:rStyle w:val="Verzeichnissprung"/>
            <w:i w:val="false"/>
            <w:iCs w:val="false"/>
          </w:rPr>
          <w:t>)</w:t>
        </w:r>
        <w:r>
          <w:rPr>
            <w:rStyle w:val="Verzeichnissprung"/>
          </w:rPr>
          <w:tab/>
          <w:t>25</w:t>
        </w:r>
      </w:hyperlink>
    </w:p>
    <w:p>
      <w:pPr>
        <w:pStyle w:val="Inhaltsverzeichnis3"/>
        <w:tabs>
          <w:tab w:val="right" w:pos="9638" w:leader="dot"/>
        </w:tabs>
        <w:rPr/>
      </w:pPr>
      <w:hyperlink w:anchor="__RefHeading___Toc4480_3374853057">
        <w:r>
          <w:rPr>
            <w:rStyle w:val="Verzeichnissprung"/>
          </w:rPr>
          <w:t>III.3.12. Partner number – P12 – (BM TRIZ Chelyabinsk – BM-TRIZ)</w:t>
          <w:tab/>
          <w:t>26</w:t>
        </w:r>
      </w:hyperlink>
    </w:p>
    <w:p>
      <w:pPr>
        <w:pStyle w:val="Inhaltsverzeichnis1"/>
        <w:tabs>
          <w:tab w:val="right" w:pos="9638" w:leader="dot"/>
        </w:tabs>
        <w:rPr/>
      </w:pPr>
      <w:hyperlink w:anchor="__RefHeading___Toc4482_3374853057">
        <w:r>
          <w:rPr>
            <w:rStyle w:val="Verzeichnissprung"/>
          </w:rPr>
          <w:t>PART IV. Impact, dissemination, exploitation, and sustainability</w:t>
          <w:tab/>
          <w:t>29</w:t>
        </w:r>
      </w:hyperlink>
    </w:p>
    <w:p>
      <w:pPr>
        <w:pStyle w:val="Inhaltsverzeichnis1"/>
        <w:tabs>
          <w:tab w:val="right" w:pos="9638" w:leader="dot"/>
        </w:tabs>
        <w:rPr/>
      </w:pPr>
      <w:hyperlink w:anchor="__RefHeading___Toc4484_3374853057">
        <w:r>
          <w:rPr>
            <w:rStyle w:val="Verzeichnissprung"/>
          </w:rPr>
          <w:t>PART V. Specific arrangements regarding learning mobility (if applicable)</w:t>
          <w:tab/>
          <w:t>32</w:t>
        </w:r>
      </w:hyperlink>
    </w:p>
    <w:p>
      <w:pPr>
        <w:pStyle w:val="Inhaltsverzeichnis1"/>
        <w:tabs>
          <w:tab w:val="right" w:pos="9638" w:leader="dot"/>
        </w:tabs>
        <w:rPr/>
      </w:pPr>
      <w:hyperlink w:anchor="__RefHeading___Toc4486_3374853057">
        <w:r>
          <w:rPr>
            <w:rStyle w:val="Verzeichnissprung"/>
          </w:rPr>
          <w:t>PART VI. Additional project information (if applicable)</w:t>
          <w:tab/>
          <w:t>33</w:t>
        </w:r>
      </w:hyperlink>
    </w:p>
    <w:p>
      <w:pPr>
        <w:pStyle w:val="Inhaltsverzeichnis1"/>
        <w:tabs>
          <w:tab w:val="right" w:pos="9638" w:leader="dot"/>
        </w:tabs>
        <w:rPr/>
      </w:pPr>
      <w:hyperlink w:anchor="__RefHeading___Toc4488_3374853057">
        <w:r>
          <w:rPr>
            <w:rStyle w:val="Verzeichnissprung"/>
          </w:rPr>
          <w:t>PART VII. Work Plan and Work Packages</w:t>
          <w:tab/>
          <w:t>34</w:t>
        </w:r>
      </w:hyperlink>
    </w:p>
    <w:p>
      <w:pPr>
        <w:pStyle w:val="Inhaltsverzeichnis1"/>
        <w:tabs>
          <w:tab w:val="right" w:pos="9638" w:leader="dot"/>
        </w:tabs>
        <w:rPr/>
      </w:pPr>
      <w:hyperlink w:anchor="__RefHeading___Toc4490_3374853057">
        <w:r>
          <w:rPr>
            <w:rStyle w:val="Verzeichnissprung"/>
          </w:rPr>
          <w:t>PART VIII. Specific arrangements regarding Associated Partners (if applicable)</w:t>
          <w:tab/>
          <w:t>57</w:t>
        </w:r>
      </w:hyperlink>
    </w:p>
    <w:p>
      <w:pPr>
        <w:pStyle w:val="Inhaltsverzeichnis1"/>
        <w:tabs>
          <w:tab w:val="right" w:pos="9638" w:leader="dot"/>
        </w:tabs>
        <w:rPr/>
      </w:pPr>
      <w:hyperlink w:anchor="__RefHeading___Toc4492_3374853057">
        <w:r>
          <w:rPr>
            <w:rStyle w:val="Verzeichnissprung"/>
          </w:rPr>
          <w:t>Annex – Affiliated Entities (if applicable)</w:t>
          <w:tab/>
          <w:t>58</w:t>
        </w:r>
      </w:hyperlink>
    </w:p>
    <w:p>
      <w:pPr>
        <w:pStyle w:val="Inhaltsverzeichnis1"/>
        <w:tabs>
          <w:tab w:val="right" w:pos="9638" w:leader="dot"/>
        </w:tabs>
        <w:rPr>
          <w:vanish w:val="false"/>
        </w:rPr>
      </w:pPr>
      <w:r>
        <w:rPr>
          <w:vanish w:val="false"/>
        </w:rPr>
      </w:r>
      <w:r>
        <w:rPr>
          <w:vanish w:val="false"/>
        </w:rPr>
        <w:fldChar w:fldCharType="end"/>
      </w:r>
    </w:p>
    <w:p>
      <w:pPr>
        <w:pStyle w:val="Berschrift1"/>
        <w:shd w:val="clear" w:color="auto" w:fill="404040"/>
        <w:tabs>
          <w:tab w:val="left" w:pos="426" w:leader="none"/>
          <w:tab w:val="left" w:pos="1440" w:leader="none"/>
          <w:tab w:val="left" w:pos="3649" w:leader="none"/>
          <w:tab w:val="left" w:pos="5349" w:leader="none"/>
          <w:tab w:val="left" w:pos="7992" w:leader="none"/>
          <w:tab w:val="left" w:pos="9409" w:leader="none"/>
          <w:tab w:val="left" w:pos="10778" w:leader="none"/>
        </w:tabs>
        <w:jc w:val="both"/>
        <w:rPr/>
      </w:pPr>
      <w:bookmarkStart w:id="1" w:name="__RefHeading___Toc6077_4118694307"/>
      <w:bookmarkStart w:id="2" w:name="_Toc245465831"/>
      <w:bookmarkEnd w:id="1"/>
      <w:r>
        <w:rPr>
          <w:rFonts w:ascii="Times New Roman" w:hAnsi="Times New Roman"/>
          <w:bCs/>
          <w:i w:val="false"/>
          <w:iCs w:val="false"/>
          <w:color w:val="FFFFFF"/>
          <w:szCs w:val="20"/>
        </w:rPr>
        <w:t>PART 0. Project summary and involvement in previous relevant projects</w:t>
      </w:r>
      <w:bookmarkEnd w:id="2"/>
      <w:r>
        <w:rPr>
          <w:rFonts w:ascii="Times New Roman" w:hAnsi="Times New Roman"/>
          <w:bCs/>
          <w:i w:val="false"/>
          <w:iCs w:val="false"/>
          <w:color w:val="FFFFFF"/>
          <w:szCs w:val="20"/>
        </w:rPr>
        <w:t xml:space="preserve"> </w:t>
      </w:r>
    </w:p>
    <w:p>
      <w:pPr>
        <w:pStyle w:val="Text1"/>
        <w:widowControl/>
        <w:bidi w:val="0"/>
        <w:spacing w:before="0" w:after="240"/>
        <w:ind w:left="0" w:right="0" w:hanging="0"/>
        <w:jc w:val="both"/>
        <w:rPr/>
      </w:pPr>
      <w:bookmarkStart w:id="3" w:name="_Toc245465841"/>
      <w:r>
        <w:rP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Please bear in mind that your short summary may be published on EC or/and EACEA websites and dissemination tools.</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7"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The target of SIM are the 20% Pareto-hard innovation challenges arising from strong contradictory requirements. SIM are 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This Knowledge Alliance </w:t>
            </w:r>
            <w:r>
              <w:rPr>
                <w:b/>
                <w:bCs/>
                <w:szCs w:val="20"/>
              </w:rPr>
              <w:t>aims at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rPr/>
            </w:pPr>
            <w:r>
              <w:rPr>
                <w:szCs w:val="20"/>
              </w:rPr>
              <w:t>(1983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Project / network dates</w:t>
            </w:r>
          </w:p>
          <w:p>
            <w:pPr>
              <w:pStyle w:val="NormalWeb"/>
              <w:spacing w:beforeAutospacing="0" w:before="0" w:afterAutospacing="0" w:after="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false"/>
              <w:spacing w:lineRule="exact" w:line="220" w:beforeAutospacing="0" w:before="0" w:afterAutospacing="0" w:after="0"/>
              <w:ind w:right="170" w:hanging="0"/>
              <w:textAlignment w:val="baseline"/>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Start w:id="7" w:name="__DdeLink__6455_656527910"/>
      <w:bookmarkEnd w:id="5"/>
      <w:bookmarkEnd w:id="7"/>
      <w:r>
        <w:rPr>
          <w:rFonts w:ascii="Times New Roman" w:hAnsi="Times New Roman"/>
        </w:rPr>
        <w:t>PART I. Project relevance</w:t>
      </w:r>
      <w:bookmarkEnd w:id="6"/>
    </w:p>
    <w:p>
      <w:pPr>
        <w:pStyle w:val="Text1"/>
        <w:ind w:left="0" w:hanging="0"/>
        <w:rPr/>
      </w:pPr>
      <w:bookmarkStart w:id="8" w:name="_Toc24546587"/>
      <w:bookmarkStart w:id="9" w:name="__DdeLink__6455_6565279101"/>
      <w:bookmarkEnd w:id="9"/>
      <w:r>
        <w:rPr>
          <w:rStyle w:val="Heading2Char"/>
          <w:color w:val="auto"/>
          <w:sz w:val="22"/>
        </w:rPr>
        <w:t>I.1. Why has the consortium decided to undertake this project?</w:t>
      </w:r>
      <w:bookmarkEnd w:id="8"/>
      <w:r>
        <w:rPr>
          <w:rStyle w:val="Heading2Char"/>
          <w:color w:val="auto"/>
          <w:sz w:val="22"/>
        </w:rPr>
        <w:t xml:space="preserve"> </w:t>
      </w:r>
    </w:p>
    <w:p>
      <w:pPr>
        <w:pStyle w:val="Normal"/>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10" w:name="__RefHeading___Toc4396_2808305147"/>
            <w:bookmarkEnd w:id="10"/>
            <w:r>
              <w:rPr>
                <w:b w:val="false"/>
                <w:bCs w:val="false"/>
              </w:rPr>
              <w:t>The imparting of knowledge and skills in the field of Systematic Innovation Methodologies (SIM) has a growing importance as a cross-sectional qualification, not only in engineering and computer science studies, in order to develop the skill for systematic analysis of complex contradictory situations in everyday professional life and to develop innovative solutions. The core of SIM are the 20% Pareto-hard innovation challenges. Growing up from engineering approaches as TRIZ SIM are nowadays applied in different domains (requirements engineering, business planning, sustainability management, change matagement, technology forecasting, …) and were further enhanced during the last 30 years in several directions.</w:t>
            </w:r>
          </w:p>
          <w:p>
            <w:pPr>
              <w:pStyle w:val="Normal"/>
              <w:spacing w:before="0" w:after="57"/>
              <w:jc w:val="both"/>
              <w:rPr/>
            </w:pPr>
            <w:r>
              <w:rPr>
                <w:b w:val="false"/>
                <w:bCs w:val="false"/>
              </w:rPr>
              <w:t>The systematic dissemination of such methodologies already plays an important role in training in Asia (China, South Korea, Japan), for example in the framework of the MEOTM program</w:t>
            </w:r>
            <w:r>
              <w:rPr>
                <w:rStyle w:val="Funotenanker"/>
                <w:b w:val="false"/>
                <w:bCs w:val="false"/>
              </w:rPr>
              <w:t xml:space="preserve"> </w:t>
            </w:r>
            <w:r>
              <w:rPr>
                <w:rStyle w:val="Funotenanker"/>
                <w:b w:val="false"/>
                <w:bCs w:val="false"/>
                <w:position w:val="0"/>
                <w:sz w:val="16"/>
                <w:sz w:val="20"/>
                <w:szCs w:val="20"/>
                <w:vertAlign w:val="baseline"/>
              </w:rPr>
              <w:t>(Tan 2017)</w:t>
            </w:r>
            <w:r>
              <w:rPr>
                <w:b w:val="false"/>
                <w:bCs w:val="false"/>
              </w:rPr>
              <w:t xml:space="preserve"> of nationwide coordinated training of engineers in these methodologies in China. Such activities are coordinated worldwide by the international TRIZ organization MATRIZ and in Europe by ETRIA. </w:t>
            </w:r>
          </w:p>
          <w:p>
            <w:pPr>
              <w:pStyle w:val="Normal"/>
              <w:spacing w:before="0" w:after="57"/>
              <w:jc w:val="both"/>
              <w:rPr/>
            </w:pPr>
            <w:r>
              <w:rPr>
                <w:b w:val="false"/>
                <w:bCs w:val="false"/>
              </w:rPr>
              <w:t xml:space="preserve">The preparation of our application has shown once more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(Heilbronn 2020) – rather than at the level of individual companies. At the corporate level, the need for action is also recognised more in large companies than in SMEs. </w:t>
            </w:r>
          </w:p>
          <w:p>
            <w:pPr>
              <w:pStyle w:val="Normal"/>
              <w:spacing w:before="0" w:after="57"/>
              <w:jc w:val="both"/>
              <w:rPr/>
            </w:pPr>
            <w:r>
              <w:rPr>
                <w:b w:val="false"/>
                <w:bCs w:val="false"/>
              </w:rPr>
              <w:t>The proposed project aims to take the networking of these teaching and research activities at different European locations as well as its recognition and support by industrial companies to a new level. Our project addresses the existing deficits acting in the following directions:</w:t>
            </w:r>
          </w:p>
          <w:p>
            <w:pPr>
              <w:pStyle w:val="Normal"/>
              <w:numPr>
                <w:ilvl w:val="0"/>
                <w:numId w:val="4"/>
              </w:numPr>
              <w:spacing w:before="0" w:after="57"/>
              <w:jc w:val="both"/>
              <w:rPr/>
            </w:pPr>
            <w:r>
              <w:rPr>
                <w:b w:val="false"/>
                <w:bCs w:val="false"/>
              </w:rPr>
              <w:t>Coordinate the activities in SIM teaching as cross-sectional skills in different HEI forms and at different HEI locations within Europe.</w:t>
            </w:r>
          </w:p>
          <w:p>
            <w:pPr>
              <w:pStyle w:val="Normal"/>
              <w:numPr>
                <w:ilvl w:val="0"/>
                <w:numId w:val="4"/>
              </w:numPr>
              <w:spacing w:before="0" w:after="57"/>
              <w:jc w:val="both"/>
              <w:rPr/>
            </w:pPr>
            <w:r>
              <w:rPr>
                <w:b w:val="false"/>
                <w:bCs w:val="false"/>
              </w:rPr>
              <w:t>Start a concerted action to increase the recognition of both the needs and the potentials of SIM skilled personnel for the strategic development of industrial companies.</w:t>
            </w:r>
          </w:p>
          <w:p>
            <w:pPr>
              <w:pStyle w:val="Normal"/>
              <w:numPr>
                <w:ilvl w:val="0"/>
                <w:numId w:val="4"/>
              </w:numPr>
              <w:spacing w:before="0" w:after="57"/>
              <w:jc w:val="both"/>
              <w:rPr/>
            </w:pPr>
            <w:r>
              <w:rPr>
                <w:b w:val="false"/>
                <w:bCs w:val="false"/>
              </w:rPr>
              <w:t>Join the efforts of (1) and (2) within a digitally backed SIM Semantic Social Network (SIM-SSN).</w:t>
            </w:r>
          </w:p>
          <w:p>
            <w:pPr>
              <w:pStyle w:val="Normal"/>
              <w:numPr>
                <w:ilvl w:val="0"/>
                <w:numId w:val="4"/>
              </w:numPr>
              <w:spacing w:before="0" w:after="57"/>
              <w:jc w:val="both"/>
              <w:rPr/>
            </w:pPr>
            <w:r>
              <w:rPr>
                <w:b w:val="false"/>
                <w:bCs w:val="false"/>
              </w:rPr>
              <w:t>Boost the development, piloting, publishing and promotion of teaching concepts, offers and OER teaching materials using and enhancing modern digitally backed infrastructures.</w:t>
            </w:r>
          </w:p>
          <w:p>
            <w:pPr>
              <w:pStyle w:val="Normal"/>
              <w:spacing w:before="170" w:after="57"/>
              <w:rPr>
                <w:b/>
                <w:b/>
                <w:bCs/>
              </w:rPr>
            </w:pPr>
            <w:r>
              <w:rPr>
                <w:b/>
                <w:bCs/>
              </w:rPr>
              <w:t>References:</w:t>
            </w:r>
          </w:p>
          <w:p>
            <w:pPr>
              <w:pStyle w:val="Funote"/>
              <w:numPr>
                <w:ilvl w:val="0"/>
                <w:numId w:val="3"/>
              </w:numPr>
              <w:rPr/>
            </w:pPr>
            <w:r>
              <w:rPr>
                <w:b w:val="false"/>
                <w:bCs w:val="false"/>
              </w:rPr>
              <w:t>Runhua Tan (2017). TRIZ, the development and dissemination in industries in China. Proceedings TRIZCON 2017.</w:t>
            </w:r>
          </w:p>
          <w:p>
            <w:pPr>
              <w:pStyle w:val="Funote"/>
              <w:numPr>
                <w:ilvl w:val="0"/>
                <w:numId w:val="3"/>
              </w:numPr>
              <w:rPr/>
            </w:pPr>
            <w:r>
              <w:rPr>
                <w:b w:val="false"/>
                <w:bCs w:val="false"/>
              </w:rPr>
              <w:t xml:space="preserve">IHK Heilbronn (2020). Letter of Intent. </w:t>
            </w:r>
            <w:hyperlink r:id="rId5">
              <w:r>
                <w:rPr>
                  <w:rStyle w:val="Internetverknpfung"/>
                  <w:b w:val="false"/>
                  <w:bCs w:val="false"/>
                </w:rPr>
                <w:t>https://wumm-project.github.io/Erasmus/LOI-IHK-Heilbronn.pdf</w:t>
              </w:r>
            </w:hyperlink>
            <w:r>
              <w:rPr>
                <w:b w:val="false"/>
                <w:bCs w:val="false"/>
              </w:rPr>
              <w:t xml:space="preserve"> </w:t>
            </w:r>
          </w:p>
          <w:p>
            <w:pPr>
              <w:pStyle w:val="Normal"/>
              <w:rPr/>
            </w:pPr>
            <w:bookmarkStart w:id="11" w:name="__RefHeading___Toc4398_2808305147"/>
            <w:bookmarkEnd w:id="11"/>
            <w:r>
              <w:rPr/>
              <w:t>(3025 characters)</w:t>
            </w:r>
          </w:p>
        </w:tc>
      </w:tr>
    </w:tbl>
    <w:p>
      <w:pPr>
        <w:pStyle w:val="Normal"/>
        <w:rPr>
          <w:b/>
          <w:b/>
          <w:szCs w:val="20"/>
        </w:rPr>
      </w:pPr>
      <w:r>
        <w:rPr>
          <w:b/>
          <w:szCs w:val="20"/>
        </w:rPr>
      </w:r>
    </w:p>
    <w:p>
      <w:pPr>
        <w:pStyle w:val="Normal"/>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w:t>
            </w:r>
            <w:r>
              <w:rPr>
                <w:b/>
                <w:bCs/>
                <w:szCs w:val="20"/>
              </w:rPr>
              <w:t xml:space="preserve">full partners </w:t>
            </w:r>
            <w:r>
              <w:rPr>
                <w:szCs w:val="20"/>
              </w:rPr>
              <w:t xml:space="preserve">are both HEI and industrial companies in which the strategic importance of SIM has already been recognised and structurally anchored. They </w:t>
            </w:r>
            <w:r>
              <w:rPr>
                <w:b/>
                <w:bCs/>
                <w:szCs w:val="20"/>
              </w:rPr>
              <w:t xml:space="preserve">expect a significant boost </w:t>
            </w:r>
            <w:r>
              <w:rPr>
                <w:szCs w:val="20"/>
              </w:rPr>
              <w:t xml:space="preserve">to their own activities through the strengthening of appropriate structures by leveraging synergies and consolidating overarching structures at European level, in particular </w:t>
            </w:r>
            <w:r>
              <w:rPr>
                <w:b/>
                <w:bCs/>
                <w:szCs w:val="20"/>
              </w:rPr>
              <w:t xml:space="preserve">attracting additional partners </w:t>
            </w:r>
            <w:r>
              <w:rPr>
                <w:szCs w:val="20"/>
              </w:rPr>
              <w:t xml:space="preserve">to the network.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A </w:t>
            </w:r>
            <w:r>
              <w:rPr>
                <w:b/>
                <w:bCs/>
                <w:szCs w:val="20"/>
              </w:rPr>
              <w:t xml:space="preserve">special role </w:t>
            </w:r>
            <w:r>
              <w:rPr>
                <w:szCs w:val="20"/>
              </w:rPr>
              <w:t>is played by the Leipzig University, where corresponding teaching structures are only just beginning to exist. The necessity of establishing appropriate structures results from the requirements of various disciplines –   computer science (Gräbe), medical technology (Neumuth), environmental technology (Lautenschläger). The necessities are also seen in other HEIs in the region (Duale Hochschule Gera-Eisenach, Berufsakademie Sachsen), so that in Leipzig a larger goal of establishing a regional training structure involving various institutions is formulated. With the Mitteldeutsches Kompetenzzentrum (Central German Competence Centre) SIM, the structural foundation for these plans does already exist. Leipzig University plays a leading role in this regional development project. At the same time, this will create a best practice example for the development of regional SIM structures that goes beyond the framework of a Knowledge Alliance and can be used as a potential source of experience throughout Europe.</w:t>
            </w:r>
          </w:p>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Concerning the </w:t>
            </w:r>
            <w:r>
              <w:rPr>
                <w:b/>
                <w:bCs/>
                <w:i w:val="false"/>
                <w:iCs w:val="false"/>
                <w:szCs w:val="20"/>
              </w:rPr>
              <w:t>European policies in the fields of education and training t</w:t>
            </w:r>
            <w:r>
              <w:rPr>
                <w:szCs w:val="20"/>
              </w:rPr>
              <w: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spacing w:before="0" w:after="57"/>
              <w:jc w:val="both"/>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formulated in the Programme Guide (p. 133), and acts towards </w:t>
            </w:r>
          </w:p>
          <w:p>
            <w:pPr>
              <w:pStyle w:val="Normal"/>
              <w:numPr>
                <w:ilvl w:val="0"/>
                <w:numId w:val="7"/>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developing entrepreneurial mind-set and skills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pPr>
            <w:r>
              <w:rPr>
                <w:szCs w:val="20"/>
              </w:rPr>
              <w:t>(1878 characters)</w:t>
            </w:r>
          </w:p>
        </w:tc>
      </w:tr>
    </w:tbl>
    <w:p>
      <w:pPr>
        <w:pStyle w:val="Normal"/>
        <w:rPr>
          <w:b/>
          <w:b/>
          <w:szCs w:val="20"/>
        </w:rPr>
      </w:pPr>
      <w:r>
        <w:rPr>
          <w:b/>
          <w:szCs w:val="20"/>
        </w:rPr>
      </w:r>
    </w:p>
    <w:p>
      <w:pPr>
        <w:pStyle w:val="Normal"/>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spacing w:before="0" w:after="57"/>
              <w:rPr>
                <w:b/>
                <w:b/>
                <w:bCs/>
                <w:szCs w:val="20"/>
              </w:rPr>
            </w:pPr>
            <w:r>
              <w:rPr>
                <w:b/>
                <w:bCs/>
                <w:szCs w:val="20"/>
              </w:rPr>
              <w:t>Main output:</w:t>
            </w:r>
          </w:p>
          <w:p>
            <w:pPr>
              <w:pStyle w:val="Normal"/>
              <w:numPr>
                <w:ilvl w:val="0"/>
                <w:numId w:val="5"/>
              </w:numPr>
              <w:jc w:val="both"/>
              <w:rPr/>
            </w:pPr>
            <w:r>
              <w:rPr>
                <w:b w:val="false"/>
                <w:bCs w:val="false"/>
                <w:szCs w:val="20"/>
              </w:rPr>
              <w:t>Digital map of European SIM offers with clear semantic RDF-descriptions based on a coordinated ontology of educational offers.</w:t>
            </w:r>
          </w:p>
          <w:p>
            <w:pPr>
              <w:pStyle w:val="Normal"/>
              <w:numPr>
                <w:ilvl w:val="0"/>
                <w:numId w:val="5"/>
              </w:numPr>
              <w:jc w:val="both"/>
              <w:rPr/>
            </w:pPr>
            <w:r>
              <w:rPr>
                <w:b w:val="false"/>
                <w:bCs w:val="false"/>
                <w:szCs w:val="20"/>
              </w:rPr>
              <w:t>Establishment of a SIM-SSN with local nodes to accompany the further operational development of the SIM service structures as well as the networking of the SIM actors within and beyond the project partners.</w:t>
            </w:r>
          </w:p>
          <w:p>
            <w:pPr>
              <w:pStyle w:val="Normal"/>
              <w:numPr>
                <w:ilvl w:val="0"/>
                <w:numId w:val="5"/>
              </w:numPr>
              <w:jc w:val="both"/>
              <w:rPr/>
            </w:pPr>
            <w:r>
              <w:rPr>
                <w:b w:val="false"/>
                <w:bCs w:val="false"/>
                <w:szCs w:val="20"/>
              </w:rPr>
              <w:t>Development, piloting, publishing and promotion of teaching concepts, offers and OER teaching materials using and enhancing modern digitally backed infrastructures.</w:t>
            </w:r>
          </w:p>
          <w:p>
            <w:pPr>
              <w:pStyle w:val="Normal"/>
              <w:spacing w:before="170" w:after="57"/>
              <w:jc w:val="both"/>
              <w:rPr>
                <w:b/>
                <w:b/>
                <w:bCs/>
              </w:rPr>
            </w:pPr>
            <w:r>
              <w:rPr>
                <w:b/>
                <w:bCs/>
                <w:szCs w:val="20"/>
              </w:rPr>
              <w:t>Outcome:</w:t>
            </w:r>
          </w:p>
          <w:p>
            <w:pPr>
              <w:pStyle w:val="Normal"/>
              <w:spacing w:before="0" w:after="57"/>
              <w:jc w:val="both"/>
              <w:rPr>
                <w:b w:val="false"/>
                <w:b w:val="false"/>
                <w:bCs w:val="false"/>
              </w:rPr>
            </w:pPr>
            <w:r>
              <w:rPr>
                <w:b w:val="false"/>
                <w:bCs w:val="false"/>
                <w:szCs w:val="20"/>
              </w:rPr>
              <w:t xml:space="preserve">An important role for the success of the project plays the category of </w:t>
            </w:r>
            <w:r>
              <w:rPr>
                <w:b w:val="false"/>
                <w:bCs w:val="false"/>
                <w:i/>
                <w:iCs/>
                <w:szCs w:val="20"/>
              </w:rPr>
              <w:t xml:space="preserve">additional partners </w:t>
            </w:r>
            <w:r>
              <w:rPr>
                <w:b w:val="false"/>
                <w:bCs w:val="false"/>
                <w:szCs w:val="20"/>
              </w:rPr>
              <w:t>both from HEI and industry</w:t>
            </w:r>
          </w:p>
          <w:p>
            <w:pPr>
              <w:pStyle w:val="Normal"/>
              <w:numPr>
                <w:ilvl w:val="0"/>
                <w:numId w:val="6"/>
              </w:numPr>
              <w:spacing w:before="0" w:after="57"/>
              <w:jc w:val="both"/>
              <w:rPr/>
            </w:pPr>
            <w:r>
              <w:rPr>
                <w:b w:val="false"/>
                <w:bCs w:val="false"/>
                <w:szCs w:val="20"/>
              </w:rPr>
              <w:t>to use and disseminate the results of the project,</w:t>
            </w:r>
          </w:p>
          <w:p>
            <w:pPr>
              <w:pStyle w:val="Normal"/>
              <w:numPr>
                <w:ilvl w:val="0"/>
                <w:numId w:val="6"/>
              </w:numPr>
              <w:spacing w:before="0" w:after="57"/>
              <w:jc w:val="both"/>
              <w:rPr/>
            </w:pPr>
            <w:r>
              <w:rPr>
                <w:b w:val="false"/>
                <w:bCs w:val="false"/>
                <w:szCs w:val="20"/>
              </w:rPr>
              <w:t>to generate additional input and</w:t>
            </w:r>
          </w:p>
          <w:p>
            <w:pPr>
              <w:pStyle w:val="Normal"/>
              <w:numPr>
                <w:ilvl w:val="0"/>
                <w:numId w:val="6"/>
              </w:numPr>
              <w:spacing w:before="0" w:after="57"/>
              <w:jc w:val="both"/>
              <w:rPr/>
            </w:pPr>
            <w:r>
              <w:rPr>
                <w:b w:val="false"/>
                <w:bCs w:val="false"/>
                <w:szCs w:val="20"/>
              </w:rPr>
              <w:t>to focus on sustainability of the network beyond the end of the project starting from the first day.</w:t>
            </w:r>
          </w:p>
          <w:p>
            <w:pPr>
              <w:pStyle w:val="Normal"/>
              <w:spacing w:before="113" w:after="57"/>
              <w:jc w:val="both"/>
              <w:rPr/>
            </w:pPr>
            <w:r>
              <w:rPr>
                <w:b w:val="false"/>
                <w:bCs w:val="false"/>
                <w:szCs w:val="20"/>
              </w:rPr>
              <w:t>This are core areas and key practices to advance the practical dissemination of SIM skills in Europe.</w:t>
            </w:r>
          </w:p>
          <w:p>
            <w:pPr>
              <w:pStyle w:val="Normal"/>
              <w:spacing w:before="0" w:after="0"/>
              <w:jc w:val="both"/>
              <w:rPr/>
            </w:pPr>
            <w:r>
              <w:rPr>
                <w:b w:val="false"/>
                <w:bCs w:val="false"/>
                <w:szCs w:val="20"/>
              </w:rPr>
              <w:t>(986 characters)</w:t>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2" w:name="_Toc24546588"/>
      <w:r>
        <w:rPr>
          <w:rStyle w:val="Heading2Char"/>
          <w:color w:val="auto"/>
          <w:sz w:val="22"/>
        </w:rPr>
        <w:t>I.2. Analysis of the subject area (current state of the art) and innovative character</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needs analysis </w:t>
            </w:r>
            <w:r>
              <w:rPr>
                <w:szCs w:val="20"/>
              </w:rPr>
              <w:t>is based on a number of studies and analyses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2018) where 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survey (TFC 2015) where 3 authors (including full partner Bušov) explain TRIZ teaching needs and experience at several technical universities in the Czech Republic since 1996 (Brno, Prague, Liberec, Pilsen, Ostrava, Zilina, Kosice). See also (Bušov 2019)</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The worldwide attention that SIM also receives in the management area, e.g., (Peace 2012), (WEF 2016).</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Recent talks with experts at the international conferences TRIZ Developer Summit (June 2019, Minsk), TRIZ-Fest (September 2019, Heilbronn), TRIZ Future (October 2019, Marrakesh).</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The project focuses on building an infrastructure supported by </w:t>
            </w:r>
            <w:r>
              <w:rPr>
                <w:b/>
                <w:bCs/>
                <w:szCs w:val="20"/>
              </w:rPr>
              <w:t xml:space="preserve">new digital and semantic tools </w:t>
            </w:r>
            <w:r>
              <w:rPr>
                <w:szCs w:val="20"/>
              </w:rPr>
              <w:t xml:space="preserve">to further increase the visibility of the topic. </w:t>
            </w:r>
          </w:p>
          <w:p>
            <w:pPr>
              <w:pStyle w:val="Normal"/>
              <w:tabs>
                <w:tab w:val="left" w:pos="3649" w:leader="none"/>
                <w:tab w:val="left" w:pos="5349" w:leader="none"/>
                <w:tab w:val="left" w:pos="7992" w:leader="none"/>
                <w:tab w:val="left" w:pos="9409" w:leader="none"/>
                <w:tab w:val="left" w:pos="10778" w:leader="none"/>
              </w:tabs>
              <w:spacing w:before="57" w:after="0"/>
              <w:jc w:val="both"/>
              <w:rPr/>
            </w:pPr>
            <w:r>
              <w:rPr>
                <w:szCs w:val="20"/>
              </w:rPr>
              <w:t xml:space="preserve">At the same time, this is an </w:t>
            </w:r>
            <w:r>
              <w:rPr>
                <w:b/>
                <w:bCs/>
                <w:szCs w:val="20"/>
              </w:rPr>
              <w:t>essential innovative approach</w:t>
            </w:r>
            <w:r>
              <w:rPr>
                <w:szCs w:val="20"/>
              </w:rPr>
              <w:t>, which is practically supported by concrete methodical approaches of innovative teaching (MOOCs, training according to the flipped classroom method, training with practical parts in simulation structures) as well as the SIM-SSN.</w:t>
            </w:r>
          </w:p>
          <w:p>
            <w:pPr>
              <w:pStyle w:val="Normal"/>
              <w:tabs>
                <w:tab w:val="left" w:pos="3649" w:leader="none"/>
                <w:tab w:val="left" w:pos="5349" w:leader="none"/>
                <w:tab w:val="left" w:pos="7992" w:leader="none"/>
                <w:tab w:val="left" w:pos="9409" w:leader="none"/>
                <w:tab w:val="left" w:pos="10778" w:leader="none"/>
              </w:tabs>
              <w:spacing w:before="170" w:after="0"/>
              <w:jc w:val="both"/>
              <w:rPr>
                <w:b/>
                <w:b/>
                <w:bCs/>
              </w:rPr>
            </w:pPr>
            <w:r>
              <w:rPr>
                <w:b/>
                <w:bCs/>
                <w:szCs w:val="20"/>
              </w:rPr>
              <w:t>References:</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2018) Sustainable Education in Inventive Problem Solving with TRIZ and Knowledge-Based Innovation at Universities. Proceedings of the 8th International TRIZ Future Conference, TFC 2018,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(TFC 2015) TRIZ already 35 years in the Czech Republic. Proceedings of the 8th International TRIZ Future Conference, TFC 2015, Strasbourg, France.</w:t>
            </w:r>
          </w:p>
          <w:p>
            <w:pPr>
              <w:pStyle w:val="Normal"/>
              <w:numPr>
                <w:ilvl w:val="0"/>
                <w:numId w:val="1"/>
              </w:numPr>
              <w:tabs>
                <w:tab w:val="left" w:pos="3649" w:leader="none"/>
                <w:tab w:val="left" w:pos="5349" w:leader="none"/>
                <w:tab w:val="left" w:pos="7992" w:leader="none"/>
                <w:tab w:val="left" w:pos="9409" w:leader="none"/>
                <w:tab w:val="left" w:pos="10778" w:leader="none"/>
              </w:tabs>
              <w:jc w:val="left"/>
              <w:rPr/>
            </w:pPr>
            <w:r>
              <w:rPr>
                <w:szCs w:val="20"/>
              </w:rPr>
              <w:t xml:space="preserve">Bohuslav Bušov (2019). Result of interviewing about 2000 students at BUT. </w:t>
            </w:r>
            <w:hyperlink r:id="rId6">
              <w:r>
                <w:rPr>
                  <w:rStyle w:val="Internetverknpfung"/>
                  <w:szCs w:val="20"/>
                </w:rPr>
                <w:t>https://wumm-project.github.io/Erasmus/Busov-20191218-Survey.pdf</w:t>
              </w:r>
            </w:hyperlink>
            <w:r>
              <w:rPr>
                <w:szCs w:val="20"/>
              </w:rPr>
              <w:t xml:space="preserve">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Natalie Peace (2012). Why Most Brainstorming Sessions Are Useless. forbes.com, 2012-04-09. </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 xml:space="preserve">World Economic Forum (2016). The Future of Jobs. Employment, Skills and Workforce Strategy for the Fourth Industrial Revolution. January 2016 </w:t>
            </w:r>
          </w:p>
          <w:p>
            <w:pPr>
              <w:pStyle w:val="Normal"/>
              <w:tabs>
                <w:tab w:val="left" w:pos="3649" w:leader="none"/>
                <w:tab w:val="left" w:pos="5349" w:leader="none"/>
                <w:tab w:val="left" w:pos="7992" w:leader="none"/>
                <w:tab w:val="left" w:pos="9409" w:leader="none"/>
                <w:tab w:val="left" w:pos="10778" w:leader="none"/>
              </w:tabs>
              <w:jc w:val="both"/>
              <w:rPr/>
            </w:pPr>
            <w:r>
              <w:rPr>
                <w:szCs w:val="20"/>
              </w:rPr>
              <w:t>(1994 characters)</w:t>
            </w:r>
          </w:p>
        </w:tc>
      </w:tr>
    </w:tbl>
    <w:p>
      <w:pPr>
        <w:pStyle w:val="Normal"/>
        <w:rPr>
          <w:b/>
          <w:b/>
          <w:szCs w:val="20"/>
        </w:rPr>
      </w:pPr>
      <w:r>
        <w:rPr>
          <w:b/>
          <w:szCs w:val="20"/>
        </w:rPr>
      </w:r>
    </w:p>
    <w:p>
      <w:pPr>
        <w:pStyle w:val="Text1"/>
        <w:ind w:left="0" w:hanging="0"/>
        <w:rPr/>
      </w:pPr>
      <w:bookmarkStart w:id="13" w:name="_Toc24546589"/>
      <w:r>
        <w:rPr>
          <w:rStyle w:val="Heading2Char"/>
          <w:color w:val="auto"/>
          <w:sz w:val="22"/>
        </w:rPr>
        <w:t>I.3. Aims and objectives</w:t>
      </w:r>
      <w:bookmarkEnd w:id="13"/>
      <w:r>
        <w:rPr>
          <w:rStyle w:val="Heading2Char"/>
          <w:color w:val="auto"/>
          <w:sz w:val="22"/>
        </w:rPr>
        <w:t xml:space="preserve"> </w:t>
      </w:r>
    </w:p>
    <w:p>
      <w:pPr>
        <w:pStyle w:val="Normal"/>
        <w:jc w:val="both"/>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0.1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A first focus of the project is the establishment of a reliable structural and processual organization of the network of the participating HEI (full and additional partners) on a conceptual, content and organizational level supported by modern semantic technology.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lang w:val="en-US"/>
              </w:rPr>
              <w:t xml:space="preserve">Thus the project has </w:t>
            </w:r>
            <w:r>
              <w:rPr>
                <w:b/>
                <w:bCs/>
                <w:lang w:val="en-US"/>
              </w:rPr>
              <w:t>two main orientations</w:t>
            </w:r>
            <w:r>
              <w:rPr>
                <w:lang w:val="en-US"/>
              </w:rPr>
              <w:t>, a structural and a content related one.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Structurally</w:t>
            </w:r>
            <w:r>
              <w:rPr>
                <w:lang w:val="en-US"/>
              </w:rPr>
              <w:t xml:space="preserve">, the two networks are to be established or further strengthened and interconnected building up the supporting digital infrastructure. In particular, this relates to aims and work of ETRIA, the European TRIZ organization, in whose foundation and development representatives of project partners (Cavallucci, Livotov, Brad) were and are significantly involved.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In </w:t>
            </w:r>
            <w:r>
              <w:rPr>
                <w:b/>
                <w:bCs/>
                <w:szCs w:val="20"/>
              </w:rPr>
              <w:t>terms of content</w:t>
            </w:r>
            <w:r>
              <w:rPr>
                <w:szCs w:val="20"/>
              </w:rPr>
              <w:t xml:space="preserve">, the </w:t>
            </w:r>
            <w:r>
              <w:rPr>
                <w:b w:val="false"/>
                <w:bCs w:val="false"/>
                <w:szCs w:val="20"/>
              </w:rPr>
              <w:t xml:space="preserve">main objectives of the project </w:t>
            </w:r>
            <w:r>
              <w:rPr>
                <w:szCs w:val="20"/>
              </w:rPr>
              <w:t>are</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exchange, joint development and further elaboration of relevant teaching materials as Open Educational Resources,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development and expansion of online-based training structures based on existing case collections in the form of online courses and in transregional platforms,</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close integration of student training with practical challenges in this area by establishing appropriate stable contacts with industrial companies and </w:t>
            </w:r>
          </w:p>
          <w:p>
            <w:pPr>
              <w:pStyle w:val="Normal"/>
              <w:numPr>
                <w:ilvl w:val="0"/>
                <w:numId w:val="8"/>
              </w:numPr>
              <w:tabs>
                <w:tab w:val="left" w:pos="3649" w:leader="none"/>
                <w:tab w:val="left" w:pos="5349" w:leader="none"/>
                <w:tab w:val="left" w:pos="7992" w:leader="none"/>
                <w:tab w:val="left" w:pos="9409" w:leader="none"/>
                <w:tab w:val="left" w:pos="10778" w:leader="none"/>
              </w:tabs>
              <w:spacing w:before="0" w:after="57"/>
              <w:jc w:val="both"/>
              <w:rPr/>
            </w:pPr>
            <w:r>
              <w:rPr>
                <w:szCs w:val="20"/>
              </w:rPr>
              <w:t>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i w:val="false"/>
                <w:i w:val="false"/>
                <w:iCs w:val="false"/>
              </w:rPr>
            </w:pPr>
            <w:r>
              <w:rPr>
                <w:i w:val="false"/>
                <w:iCs w:val="false"/>
                <w:szCs w:val="20"/>
              </w:rPr>
              <w:t>The relation to the problems and challenges identified in sections I.1 and I.2 is obvious.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w:t>
            </w:r>
            <w:r>
              <w:rPr>
                <w:b/>
                <w:bCs/>
                <w:szCs w:val="20"/>
              </w:rPr>
              <w:t xml:space="preserve">supports </w:t>
            </w:r>
            <w:r>
              <w:rPr>
                <w:b/>
                <w:bCs/>
                <w:i w:val="false"/>
                <w:iCs w:val="false"/>
                <w:szCs w:val="20"/>
              </w:rPr>
              <w:t xml:space="preserve">the objective </w:t>
            </w:r>
          </w:p>
          <w:p>
            <w:pPr>
              <w:pStyle w:val="Normal"/>
              <w:numPr>
                <w:ilvl w:val="0"/>
                <w:numId w:val="9"/>
              </w:numPr>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Developing entrepreneurial mind-set and skills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i w:val="false"/>
                <w:iCs w:val="false"/>
                <w:szCs w:val="20"/>
              </w:rPr>
              <w:t>of the Knowledge Alliances action</w:t>
            </w:r>
            <w:r>
              <w:rPr>
                <w:i w:val="false"/>
                <w:iCs w:val="false"/>
                <w:szCs w:val="20"/>
              </w:rPr>
              <w:t xml:space="preserve"> in the three dimensions listed in the Programme Guide p. 133-34.</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i w:val="false"/>
                <w:iCs w:val="false"/>
                <w:szCs w:val="20"/>
              </w:rPr>
              <w:t>(1941 characters)</w:t>
            </w:r>
          </w:p>
        </w:tc>
      </w:tr>
    </w:tbl>
    <w:p>
      <w:pPr>
        <w:pStyle w:val="Normal"/>
        <w:rPr>
          <w:i/>
          <w:i/>
          <w:szCs w:val="20"/>
        </w:rPr>
      </w:pPr>
      <w:r>
        <w:rPr>
          <w:i/>
          <w:szCs w:val="20"/>
        </w:rPr>
      </w:r>
    </w:p>
    <w:p>
      <w:pPr>
        <w:pStyle w:val="Normal"/>
        <w:jc w:val="both"/>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HEI full partners (the special role of the University of Leipzig has already been explained in point 1.1.2) already bring extensive, but also differing experience in the field of SIM teaching, since different teaching strategies and concepts have to be used in the various HEI forms. The </w:t>
            </w:r>
            <w:r>
              <w:rPr>
                <w:b/>
                <w:bCs/>
                <w:szCs w:val="20"/>
              </w:rPr>
              <w:t xml:space="preserve">short-term benefits </w:t>
            </w:r>
            <w:r>
              <w:rPr>
                <w:szCs w:val="20"/>
              </w:rPr>
              <w:t xml:space="preserve">result from the intensive theoretical (WP 3) and practical (WP 4) exchange on concepts and teaching methods. The </w:t>
            </w:r>
            <w:r>
              <w:rPr>
                <w:b/>
                <w:bCs/>
                <w:szCs w:val="20"/>
              </w:rPr>
              <w:t xml:space="preserve">long-term benefits </w:t>
            </w:r>
            <w:r>
              <w:rPr>
                <w:szCs w:val="20"/>
              </w:rPr>
              <w:t>result from the gradual development of a common infrastructure of teaching and learning materials (especially good use case examples) as well as the shared use of learning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While among the full partners the mutual learning from each other is in the foreground, the </w:t>
            </w:r>
            <w:r>
              <w:rPr>
                <w:b/>
                <w:bCs/>
                <w:szCs w:val="20"/>
              </w:rPr>
              <w:t xml:space="preserve">additional partners </w:t>
            </w:r>
            <w:r>
              <w:rPr>
                <w:szCs w:val="20"/>
              </w:rPr>
              <w:t xml:space="preserve">to be acquired in the course of the project already have access to a partially developed infrastructure in which they can participate not only as users, but also as contributors.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(918 characters)</w:t>
            </w:r>
          </w:p>
        </w:tc>
      </w:tr>
    </w:tbl>
    <w:p>
      <w:pPr>
        <w:pStyle w:val="Normal"/>
        <w:rPr>
          <w:b/>
          <w:b/>
          <w:szCs w:val="20"/>
        </w:rPr>
      </w:pPr>
      <w:r>
        <w:rPr>
          <w:b/>
          <w:szCs w:val="20"/>
        </w:rPr>
      </w:r>
    </w:p>
    <w:p>
      <w:pPr>
        <w:pStyle w:val="Normal"/>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There are two types of business partners contributing to the project – industrial companies with intra company organized training of engineers in the targeted skills (Schaeffler, Arxia) and consulting companies (Jantschgi C&amp;R, Target Invention) that organize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Textkrper"/>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enterprises will </w:t>
            </w:r>
          </w:p>
          <w:p>
            <w:pPr>
              <w:pStyle w:val="Textkrper"/>
              <w:numPr>
                <w:ilvl w:val="0"/>
                <w:numId w:val="10"/>
              </w:numPr>
              <w:spacing w:before="0" w:after="0"/>
              <w:rPr/>
            </w:pPr>
            <w:r>
              <w:rPr/>
              <w:t xml:space="preserve">contribute in shaping the curricula, </w:t>
            </w:r>
          </w:p>
          <w:p>
            <w:pPr>
              <w:pStyle w:val="Textkrper"/>
              <w:numPr>
                <w:ilvl w:val="0"/>
                <w:numId w:val="10"/>
              </w:numPr>
              <w:spacing w:before="0" w:after="0"/>
              <w:rPr/>
            </w:pPr>
            <w:r>
              <w:rPr/>
              <w:t xml:space="preserve">provide useful use cases </w:t>
            </w:r>
          </w:p>
          <w:p>
            <w:pPr>
              <w:pStyle w:val="Textkrper"/>
              <w:numPr>
                <w:ilvl w:val="0"/>
                <w:numId w:val="10"/>
              </w:numPr>
              <w:spacing w:before="0" w:after="57"/>
              <w:rPr/>
            </w:pPr>
            <w:r>
              <w:rPr/>
              <w:t xml:space="preserve">and in the large run also provide practices and support in graduation in their companies. </w:t>
            </w:r>
          </w:p>
          <w:p>
            <w:pPr>
              <w:pStyle w:val="Textkrper"/>
              <w:spacing w:before="0" w:after="57"/>
              <w:rPr/>
            </w:pPr>
            <w:r>
              <w:rPr/>
              <w:t>Their benefits are:</w:t>
            </w:r>
          </w:p>
          <w:p>
            <w:pPr>
              <w:pStyle w:val="Textkrper"/>
              <w:numPr>
                <w:ilvl w:val="0"/>
                <w:numId w:val="11"/>
              </w:numPr>
              <w:spacing w:before="0" w:after="0"/>
              <w:rPr/>
            </w:pPr>
            <w:r>
              <w:rPr/>
              <w:t xml:space="preserve">Premium access to graduates skilled in that area. </w:t>
            </w:r>
          </w:p>
          <w:p>
            <w:pPr>
              <w:pStyle w:val="Textkrper"/>
              <w:numPr>
                <w:ilvl w:val="0"/>
                <w:numId w:val="11"/>
              </w:numPr>
              <w:spacing w:before="0" w:after="57"/>
              <w:jc w:val="both"/>
              <w:rPr/>
            </w:pPr>
            <w:r>
              <w:rPr/>
              <w:t xml:space="preserve">Leading position in an ongoing process of shaping soft skills in human resources important for the future of companies at large.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special role in this context play experts from partner countries with their extensive experience in the Asian market and profound knowledge of the TRIZ roots of today's more comprehensive SIM approaches, see point 7. Engaging these high-certified TRIZ experts with the project opens an additional perspective to the heterogeneous international developments in the field of SIM, in particular to the processes around the international TRIZ association MATRIZ.</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(1367 characters)</w:t>
            </w:r>
          </w:p>
        </w:tc>
      </w:tr>
    </w:tbl>
    <w:p>
      <w:pPr>
        <w:pStyle w:val="Normal"/>
        <w:rPr>
          <w:b/>
          <w:b/>
        </w:rPr>
      </w:pPr>
      <w:r>
        <w:rPr>
          <w:b/>
        </w:rPr>
      </w:r>
    </w:p>
    <w:p>
      <w:pPr>
        <w:pStyle w:val="Normal"/>
        <w:rPr>
          <w:b/>
          <w:b/>
        </w:rPr>
      </w:pPr>
      <w:r>
        <w:rPr>
          <w:b/>
        </w:rPr>
      </w:r>
    </w:p>
    <w:p>
      <w:pPr>
        <w:pStyle w:val="Text1"/>
        <w:ind w:left="0" w:hanging="0"/>
        <w:rPr/>
      </w:pPr>
      <w:bookmarkStart w:id="14" w:name="_Toc24546590"/>
      <w:r>
        <w:rPr>
          <w:rStyle w:val="Heading2Char"/>
          <w:color w:val="auto"/>
          <w:sz w:val="22"/>
        </w:rPr>
        <w:t>I.4. European added value</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added value for the EU lies in the consolidation of training activities and capacities in the area of cross-sectional skills, which are becoming more and more important in an increasingly technological world. SIM encompasses skills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pPr>
            <w:r>
              <w:rPr>
                <w:szCs w:val="20"/>
              </w:rPr>
              <w:t>in the field of modelling complex issues,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analysing contradictory requirements (“the tea should be hot so that it tastes good, and at the same time cold so that you don't burn your fingers”),</w:t>
            </w:r>
          </w:p>
          <w:p>
            <w:pPr>
              <w:pStyle w:val="Normal"/>
              <w:numPr>
                <w:ilvl w:val="0"/>
                <w:numId w:val="12"/>
              </w:numPr>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in the field of resolving contradictory requirements (not “lukewarm tea”, but the implementation of a separation principle – the invention of the tea glass with handle),</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using established methodological principles and a wealth of experience from inventive activities in a systematic way.</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To understand the European dimension, the motto </w:t>
            </w:r>
            <w:r>
              <w:rPr>
                <w:i/>
                <w:iCs/>
                <w:szCs w:val="20"/>
              </w:rPr>
              <w:t xml:space="preserve">think globally, act locally </w:t>
            </w:r>
            <w:r>
              <w:rPr>
                <w:szCs w:val="20"/>
              </w:rPr>
              <w:t xml:space="preserve">has to be applied. The </w:t>
            </w:r>
            <w:r>
              <w:rPr>
                <w:i/>
                <w:iCs/>
                <w:szCs w:val="20"/>
              </w:rPr>
              <w:t xml:space="preserve">practical </w:t>
            </w:r>
            <w:r>
              <w:rPr>
                <w:szCs w:val="20"/>
              </w:rPr>
              <w:t xml:space="preserve">establishment of such structures </w:t>
            </w:r>
            <w:r>
              <w:rPr>
                <w:i/>
                <w:iCs/>
                <w:szCs w:val="20"/>
              </w:rPr>
              <w:t xml:space="preserve">must </w:t>
            </w:r>
            <w:r>
              <w:rPr>
                <w:szCs w:val="20"/>
              </w:rPr>
              <w:t xml:space="preserve">take place at local level, as it is planned for the Leipzig region within the project. However, the analysis, consolidation and use of experience should definitely include the diversity of cultural, linguistic and political contexts in the European Economic Area. An essential principle of the SIM is the identification of unity in diversity in the course of analysis and the reconstruction of diversity from this unity in practical action.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(1289 characters)</w:t>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5" w:name="__RefHeading___Toc4456_3374853057"/>
      <w:bookmarkStart w:id="16" w:name="_Toc24546591"/>
      <w:bookmarkEnd w:id="15"/>
      <w:r>
        <w:rPr>
          <w:rFonts w:ascii="Times New Roman" w:hAnsi="Times New Roman"/>
        </w:rPr>
        <w:t>PART II. Quality of the project design and implementation</w:t>
      </w:r>
      <w:bookmarkEnd w:id="1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pPr>
      <w:bookmarkStart w:id="17" w:name="_Toc24546592"/>
      <w:r>
        <w:rPr>
          <w:rStyle w:val="Heading2Char"/>
          <w:color w:val="auto"/>
          <w:sz w:val="22"/>
        </w:rPr>
        <w:t>II.1. Methodology</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A </w:t>
            </w:r>
            <w:r>
              <w:rPr>
                <w:szCs w:val="20"/>
              </w:rPr>
              <w:t>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This is the content of the WP 1–4. WP 1 and 2 are concerned with the analysis of the current situation, that has to be structured and consolidated using RDF based semantic technologies as a first result. This data serves as basis for a decentralised open web infrastructure SIM-SSN that has to be designed as a second outcome of WP 2. This web infrastructure is easy extendible and serves as basis for a permanent vivid update process of the data as a core rquirement for a sustainable and inventive digitally backed infrastructure for the project and beyond it.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The work is prepared by WP 1 in the pre-application phase, which will be mainly worked out until 11/2020 and discussed on the planning meeting P1. The deliverable of this WP 1 will be consolidated afterwards until P2. The continuation of this work and the further consolidation of the results from WP 1 is planned in WP 2.</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WP 3 and 4 concentrate on curricular development and harmonisation and d</w:t>
            </w:r>
            <w:r>
              <w:rPr>
                <w:b w:val="false"/>
                <w:bCs w:val="false"/>
                <w:szCs w:val="20"/>
              </w:rPr>
              <w:t xml:space="preserve">evelopment, piloting, publishing and promotion of teaching concepts, offers and OER teaching materials. WP 3 is the </w:t>
            </w:r>
            <w:r>
              <w:rPr>
                <w:b/>
                <w:bCs/>
                <w:szCs w:val="20"/>
              </w:rPr>
              <w:t>core activity for priority A</w:t>
            </w:r>
            <w:r>
              <w:rPr>
                <w:b w:val="false"/>
                <w:bCs w:val="false"/>
                <w:szCs w:val="20"/>
              </w:rPr>
              <w:t xml:space="preserve">. Since focus points and methodology seriously differ from location to location, the main part of WP 4 is planned as </w:t>
            </w:r>
            <w:r>
              <w:rPr>
                <w:b w:val="false"/>
                <w:bCs w:val="false"/>
                <w:i/>
                <w:iCs/>
                <w:szCs w:val="20"/>
              </w:rPr>
              <w:t xml:space="preserve">mobility activity </w:t>
            </w:r>
            <w:r>
              <w:rPr>
                <w:b w:val="false"/>
                <w:bCs w:val="false"/>
                <w:szCs w:val="20"/>
              </w:rPr>
              <w:t xml:space="preserve">“teach the teacher” to train the partners in 6 training units at 6 different HEI locations by one of the partners as trainer according to the teaching methods used on that site.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Note the strong interplay with the dissemination package WP 7 for both setting up the SIM-SSN tools and the curricular development activities.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szCs w:val="20"/>
              </w:rPr>
              <w:t xml:space="preserve">Priority B. </w:t>
            </w:r>
            <w:r>
              <w:rPr>
                <w:b w:val="false"/>
                <w:bCs w:val="false"/>
                <w:szCs w:val="20"/>
              </w:rPr>
              <w:t xml:space="preserve">The full partner companies participate with own tasks both in the qualification of teaching activities and materials in WP 3 and 4 (provision of use cases and internship opportunities) and in QA measures in WP 8 (assessment of concepts). WP 5 centers on establishing further contacts in the business world, with particular emphasis on best practice experiences and the design of contractual relationships between HEI and companies thus establishing </w:t>
            </w:r>
            <w:r>
              <w:rPr>
                <w:b/>
                <w:bCs/>
                <w:szCs w:val="20"/>
              </w:rPr>
              <w:t xml:space="preserve">a dedicated subnetwork for companies </w:t>
            </w:r>
            <w:r>
              <w:rPr>
                <w:b w:val="false"/>
                <w:bCs w:val="false"/>
                <w:szCs w:val="20"/>
              </w:rPr>
              <w:t>to address their specific issues.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val="false"/>
                <w:bCs w:val="false"/>
                <w:szCs w:val="20"/>
              </w:rPr>
              <w:t xml:space="preserve">As explained already in section 1.1.1 </w:t>
            </w:r>
            <w:r>
              <w:rPr>
                <w:szCs w:val="20"/>
              </w:rPr>
              <w:t xml:space="preserve">it has shown that, unlike in Asia, European industrial companies do still insufficiently recognise the strategic importance of skills in SIM, in particular for engineering and technical staff and in the middle management. The </w:t>
            </w:r>
            <w:r>
              <w:rPr>
                <w:b/>
                <w:bCs/>
                <w:szCs w:val="20"/>
              </w:rPr>
              <w:t xml:space="preserve">core activity </w:t>
            </w:r>
            <w:r>
              <w:rPr>
                <w:szCs w:val="20"/>
              </w:rPr>
              <w:t xml:space="preserve">of this part of the project is on raising the awareness of other EU companies, particularly those in the manufacturing sector, and to convince them to join the network as </w:t>
            </w:r>
            <w:r>
              <w:rPr>
                <w:i/>
                <w:iCs/>
                <w:szCs w:val="20"/>
              </w:rPr>
              <w:t>additional partners</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Both networks meet in the evaluation process of the teaching activities within the Project Meetings that combine every 6 months a WP 4 activity with Sprint Review and Sprint Retrospective. The accompanying QA activities at the PM are prepared within WP 8.</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(3717 characters)</w:t>
            </w:r>
          </w:p>
        </w:tc>
      </w:tr>
    </w:tbl>
    <w:p>
      <w:pPr>
        <w:pStyle w:val="Normal"/>
        <w:rPr>
          <w:b/>
          <w:b/>
          <w:sz w:val="22"/>
        </w:rPr>
      </w:pPr>
      <w:r>
        <w:rPr>
          <w:b/>
          <w:sz w:val="22"/>
        </w:rPr>
      </w:r>
    </w:p>
    <w:p>
      <w:pPr>
        <w:pStyle w:val="Normal"/>
        <w:rPr>
          <w:b/>
          <w:b/>
          <w:sz w:val="22"/>
        </w:rPr>
      </w:pPr>
      <w:r>
        <w:rPr>
          <w:b/>
          <w:sz w:val="22"/>
        </w:rPr>
      </w:r>
    </w:p>
    <w:p>
      <w:pPr>
        <w:pStyle w:val="Text1"/>
        <w:ind w:left="0" w:hanging="0"/>
        <w:rPr/>
      </w:pPr>
      <w:bookmarkStart w:id="18" w:name="_Toc24546593"/>
      <w:r>
        <w:rPr>
          <w:rStyle w:val="Heading2Char"/>
          <w:color w:val="auto"/>
          <w:sz w:val="22"/>
        </w:rPr>
        <w:t>II.2. Overall project management</w:t>
      </w:r>
      <w:bookmarkEnd w:id="18"/>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project organization is based on the </w:t>
            </w:r>
            <w:r>
              <w:rPr>
                <w:b/>
                <w:bCs/>
                <w:szCs w:val="20"/>
              </w:rPr>
              <w:t xml:space="preserve">SCRUM methodology </w:t>
            </w:r>
            <w:r>
              <w:rPr>
                <w:szCs w:val="20"/>
              </w:rPr>
              <w:t xml:space="preserve">as an agile process model. The work is divided into </w:t>
            </w:r>
            <w:r>
              <w:rPr>
                <w:b/>
                <w:bCs/>
                <w:szCs w:val="20"/>
              </w:rPr>
              <w:t>6 sprints of about 6 months each</w:t>
            </w:r>
            <w:r>
              <w:rPr>
                <w:szCs w:val="20"/>
              </w:rPr>
              <w:t>. Sprint Planning, Sprint Review and Sprint Retrospective will take place at multi-day project meetings P1 to P7 according to the SCRUM methodology that are combined with a WP 4 mobility activity.</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Project meetings with an even number have the character of a review, where the operational status of the work is analysed in more detail and deliverables in advanced stage are presented and discussed. Project meetings with an odd number are planned as milestones at which essential deliverables are finally confirmed.</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The different WP are led by different HEI partners that are also responsible for the project management of that WP.</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WP definitions correspond to SCRUM Epics, which are broken down into Stories and those into Tasks. The </w:t>
            </w:r>
            <w:r>
              <w:rPr>
                <w:b/>
                <w:bCs/>
                <w:szCs w:val="20"/>
              </w:rPr>
              <w:t xml:space="preserve">Project Plan </w:t>
            </w:r>
            <w:r>
              <w:rPr>
                <w:szCs w:val="20"/>
              </w:rPr>
              <w:t xml:space="preserve">defines an initial tailoring of Tasks, including an associated distribution of funds among the partners. Required project adjustments, which are more likely to be necessary in view of the applied agile methodology, are coordinated at the Project Meetings according to the SCRUM methodology and the Project Plan is updated accordingly. </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pPr>
            <w:r>
              <w:rPr>
                <w:szCs w:val="20"/>
              </w:rPr>
              <w:t xml:space="preserve">The Project Plan is the coordinated management instrument, where also the relevant deliverables including responsibilities are fixed. </w:t>
            </w:r>
            <w:r>
              <w:rPr>
                <w:b/>
                <w:bCs/>
                <w:szCs w:val="20"/>
              </w:rPr>
              <w:t>The leaders of the individual WP form the closer project management.</w:t>
            </w:r>
          </w:p>
          <w:p>
            <w:pPr>
              <w:pStyle w:val="Normal"/>
              <w:tabs>
                <w:tab w:val="left" w:pos="3649" w:leader="none"/>
                <w:tab w:val="left" w:pos="5349" w:leader="none"/>
                <w:tab w:val="left" w:pos="7992" w:leader="none"/>
                <w:tab w:val="left" w:pos="9409" w:leader="none"/>
                <w:tab w:val="left" w:pos="10778" w:leader="none"/>
              </w:tabs>
              <w:spacing w:before="0" w:after="57"/>
              <w:ind w:left="34" w:hanging="0"/>
              <w:jc w:val="both"/>
              <w:rPr>
                <w:b w:val="false"/>
                <w:b w:val="false"/>
                <w:bCs w:val="false"/>
              </w:rPr>
            </w:pPr>
            <w:r>
              <w:rPr>
                <w:b w:val="false"/>
                <w:bCs w:val="false"/>
                <w:szCs w:val="20"/>
              </w:rPr>
              <w:t>(1428 characters)</w:t>
            </w:r>
          </w:p>
        </w:tc>
      </w:tr>
    </w:tbl>
    <w:p>
      <w:pPr>
        <w:pStyle w:val="Normal"/>
        <w:rPr>
          <w:b/>
          <w:b/>
          <w:sz w:val="22"/>
        </w:rPr>
      </w:pPr>
      <w:r>
        <w:rPr>
          <w:b/>
          <w:sz w:val="22"/>
        </w:rPr>
      </w:r>
    </w:p>
    <w:p>
      <w:pPr>
        <w:pStyle w:val="Text1"/>
        <w:ind w:left="0" w:hanging="0"/>
        <w:rPr/>
      </w:pPr>
      <w:bookmarkStart w:id="19" w:name="_Toc24546594"/>
      <w:r>
        <w:rPr>
          <w:rStyle w:val="Heading2Char"/>
          <w:color w:val="auto"/>
          <w:sz w:val="22"/>
        </w:rPr>
        <w:t>II.3. Quality assurance, evaluation and monitoring</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central management instruments are the Project Plan to be decided at the beginning of the project and the responsibility by the leads of the packages. In the Project Plan also measures are defined to monitor the success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QA follows SCRUM principles, the evaluation and alignment of the work status is done on the project meetings, the corresponding analytical preparations are specified as tasks in WP 8.</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(427 characters)</w:t>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pPr>
      <w:bookmarkStart w:id="20" w:name="_Toc24546595"/>
      <w:r>
        <w:rPr>
          <w:rStyle w:val="Heading2Char"/>
          <w:color w:val="auto"/>
          <w:sz w:val="22"/>
        </w:rPr>
        <w:t>II.4. Recognition and validation</w:t>
      </w:r>
      <w:bookmarkEnd w:id="2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 our project learning outcomes play a role at most within the activity “teach the teachers” in WP 4. However, since the concept follows academic principles and rather amounts to an evaluation of the respective teaching concepts, which is already part of other project activities, a direct analysis of learning outcomes in the project is not required. </w:t>
            </w:r>
          </w:p>
        </w:tc>
      </w:tr>
    </w:tbl>
    <w:p>
      <w:pPr>
        <w:pStyle w:val="Normal"/>
        <w:rPr>
          <w:b/>
          <w:b/>
        </w:rPr>
      </w:pPr>
      <w:r>
        <w:rPr>
          <w:b/>
        </w:rPr>
      </w:r>
    </w:p>
    <w:p>
      <w:pPr>
        <w:pStyle w:val="Text1"/>
        <w:ind w:left="0" w:hanging="0"/>
        <w:rPr/>
      </w:pPr>
      <w:bookmarkStart w:id="21" w:name="_Toc24546596"/>
      <w:r>
        <w:rPr>
          <w:rStyle w:val="Heading2Char"/>
          <w:color w:val="auto"/>
          <w:sz w:val="22"/>
        </w:rPr>
        <w:t>II.5. Budget and cost-effectiveness</w:t>
      </w:r>
      <w:bookmarkEnd w:id="21"/>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allocation of the budgets was initially based on a percentage key according to the importance of the individual work packages as Epics of the project.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In a second step, stories and tasks were determined, the tasks were assigned to individual partners, and the resources of the individual packages were distributed to these tasks. This also resulted in the allocation of project resources to the individual partners. </w:t>
            </w:r>
          </w:p>
        </w:tc>
      </w:tr>
    </w:tbl>
    <w:p>
      <w:pPr>
        <w:sectPr>
          <w:headerReference w:type="default" r:id="rId7"/>
          <w:headerReference w:type="first" r:id="rId8"/>
          <w:footerReference w:type="default" r:id="rId9"/>
          <w:footerReference w:type="first" r:id="rId10"/>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Berschrift1"/>
        <w:shd w:val="clear" w:color="auto" w:fill="404040"/>
        <w:rPr/>
      </w:pPr>
      <w:bookmarkStart w:id="22" w:name="__RefHeading___Toc4458_3374853057"/>
      <w:bookmarkStart w:id="23" w:name="_Toc24546597"/>
      <w:bookmarkEnd w:id="22"/>
      <w:r>
        <w:rPr>
          <w:rFonts w:ascii="Times New Roman" w:hAnsi="Times New Roman"/>
        </w:rPr>
        <w:t>PART III. Quality of the partnership, the team and the cooperation arrangements</w:t>
      </w:r>
      <w:bookmarkEnd w:id="23"/>
    </w:p>
    <w:p>
      <w:pPr>
        <w:pStyle w:val="Normal"/>
        <w:rPr>
          <w:b/>
          <w:b/>
        </w:rPr>
      </w:pPr>
      <w:r>
        <w:rPr>
          <w:b/>
        </w:rPr>
      </w:r>
    </w:p>
    <w:p>
      <w:pPr>
        <w:pStyle w:val="Text1"/>
        <w:ind w:left="0" w:hanging="0"/>
        <w:rPr/>
      </w:pPr>
      <w:bookmarkStart w:id="24" w:name="_Toc24546598"/>
      <w:r>
        <w:rPr>
          <w:rStyle w:val="Heading2Char"/>
          <w:color w:val="auto"/>
          <w:sz w:val="22"/>
        </w:rPr>
        <w:t>III.1. Knowledge Alliances: composition of the consortium</w:t>
      </w:r>
      <w:bookmarkEnd w:id="24"/>
      <w:r>
        <w:rPr>
          <w:rStyle w:val="Heading2Char"/>
          <w:color w:val="auto"/>
          <w:sz w:val="22"/>
        </w:rPr>
        <w:t xml:space="preserve"> </w:t>
      </w:r>
    </w:p>
    <w:p>
      <w:pPr>
        <w:pStyle w:val="Normal"/>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1247"/>
        <w:gridCol w:w="1192"/>
        <w:gridCol w:w="855"/>
        <w:gridCol w:w="798"/>
        <w:gridCol w:w="785"/>
        <w:gridCol w:w="798"/>
        <w:gridCol w:w="2"/>
        <w:gridCol w:w="792"/>
        <w:gridCol w:w="932"/>
        <w:gridCol w:w="932"/>
        <w:gridCol w:w="931"/>
        <w:gridCol w:w="932"/>
        <w:gridCol w:w="931"/>
        <w:gridCol w:w="932"/>
        <w:gridCol w:w="931"/>
        <w:gridCol w:w="932"/>
        <w:gridCol w:w="926"/>
      </w:tblGrid>
      <w:tr>
        <w:trPr>
          <w:tblHeader w:val="true"/>
        </w:trPr>
        <w:tc>
          <w:tcPr>
            <w:tcW w:w="2888"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sz w:val="16"/>
                <w:szCs w:val="16"/>
              </w:rPr>
              <w:t>(please use the same numbering both in the eForm and in the Excel budget table)</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Higher Education Institution (HEI)</w:t>
            </w:r>
          </w:p>
        </w:tc>
        <w:tc>
          <w:tcPr>
            <w:tcW w:w="2383" w:type="dxa"/>
            <w:gridSpan w:val="4"/>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color w:val="000000"/>
                <w:sz w:val="16"/>
                <w:szCs w:val="16"/>
              </w:rPr>
              <w:t>Enterprises</w:t>
            </w:r>
          </w:p>
        </w:tc>
        <w:tc>
          <w:tcPr>
            <w:tcW w:w="9171" w:type="dxa"/>
            <w:gridSpan w:val="10"/>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4"/>
                <w:szCs w:val="14"/>
              </w:rPr>
              <w:t>Nr</w:t>
            </w:r>
          </w:p>
        </w:tc>
        <w:tc>
          <w:tcPr>
            <w:tcW w:w="1247"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b/>
                <w:sz w:val="16"/>
                <w:szCs w:val="16"/>
              </w:rPr>
              <w:t>Partner Acronym</w:t>
            </w:r>
          </w:p>
        </w:tc>
        <w:tc>
          <w:tcPr>
            <w:tcW w:w="1192"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pPr>
            <w:r>
              <w:rPr>
                <w:b/>
                <w:color w:val="000000"/>
                <w:sz w:val="16"/>
                <w:szCs w:val="16"/>
              </w:rPr>
              <w:t>PAR (partner) or</w:t>
            </w:r>
            <w:r>
              <w:rPr/>
              <w:t xml:space="preserve"> </w:t>
            </w:r>
            <w:r>
              <w:rPr>
                <w:b/>
                <w:color w:val="000000"/>
                <w:sz w:val="16"/>
                <w:szCs w:val="16"/>
              </w:rPr>
              <w:t>AE ( Affiliated Entity) or AssPAR (associated partner)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HEI (tertiary level - ECHE holder if in a Programme Country)</w:t>
            </w:r>
          </w:p>
        </w:tc>
        <w:tc>
          <w:tcPr>
            <w:tcW w:w="798"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Small and medium sized enterprise</w:t>
            </w:r>
          </w:p>
        </w:tc>
        <w:tc>
          <w:tcPr>
            <w:tcW w:w="785"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Large enterprise</w:t>
            </w:r>
          </w:p>
        </w:tc>
        <w:tc>
          <w:tcPr>
            <w:tcW w:w="798" w:type="dxa"/>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enterprise</w:t>
            </w:r>
          </w:p>
        </w:tc>
        <w:tc>
          <w:tcPr>
            <w:tcW w:w="794" w:type="dxa"/>
            <w:gridSpan w:val="2"/>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EU-wide network</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Social partner or other representa-tive of working life</w:t>
            </w:r>
            <w:r>
              <w:rPr>
                <w:rStyle w:val="Funotenanker"/>
                <w:rStyle w:val="Funotenanker"/>
                <w:color w:val="000000"/>
                <w:szCs w:val="16"/>
              </w:rPr>
              <w:footnoteReference w:id="2"/>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Research Institute /Centre</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lang w:val="it-IT"/>
              </w:rPr>
              <w:t>Non-govern-mental organisa-tion/asso-ciation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Vocational training</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School/ Institute/ Educatio-nal centre – Adult education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National, regional, local public body</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Counsel-ling body</w:t>
            </w:r>
          </w:p>
        </w:tc>
        <w:tc>
          <w:tcPr>
            <w:tcW w:w="926"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1</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ULEI</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APP</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2</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INSA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3</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HSO</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4</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UTC</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5</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LUT</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HEI</w:t>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6</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Schaeff</w:t>
            </w:r>
            <w:r>
              <w:rPr>
                <w:b/>
                <w:sz w:val="18"/>
                <w:szCs w:val="20"/>
              </w:rPr>
              <w:t>l</w:t>
            </w:r>
            <w:r>
              <w:rPr>
                <w:b/>
                <w:sz w:val="20"/>
                <w:szCs w:val="20"/>
              </w:rPr>
              <w:t>er</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7</w:t>
            </w:r>
          </w:p>
        </w:tc>
        <w:tc>
          <w:tcPr>
            <w:tcW w:w="1247"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Arxia</w:t>
            </w:r>
          </w:p>
        </w:tc>
        <w:tc>
          <w:tcPr>
            <w:tcW w:w="1192"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8</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TPlast</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 w:val="20"/>
                <w:szCs w:val="20"/>
              </w:rPr>
              <w:t>9</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Jantschgi</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bCs/>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Cs w:val="20"/>
              </w:rPr>
            </w:pPr>
            <w:r>
              <w:rPr>
                <w:b/>
                <w:bCs/>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1"/>
                <w:szCs w:val="21"/>
              </w:rPr>
              <w:t>10</w:t>
            </w:r>
          </w:p>
        </w:tc>
        <w:tc>
          <w:tcPr>
            <w:tcW w:w="1247"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TI Minsk</w:t>
            </w:r>
          </w:p>
        </w:tc>
        <w:tc>
          <w:tcPr>
            <w:tcW w:w="1192"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0"/>
                <w:szCs w:val="20"/>
              </w:rPr>
              <w:t>PAR</w:t>
            </w:r>
          </w:p>
        </w:tc>
        <w:tc>
          <w:tcPr>
            <w:tcW w:w="855" w:type="dxa"/>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798"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785"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8"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794" w:type="dxa"/>
            <w:gridSpan w:val="2"/>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11"/>
          <w:footerReference w:type="default" r:id="rId12"/>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pPr>
      <w:r>
        <w:rPr>
          <w:i/>
          <w:iCs/>
          <w:color w:val="000000"/>
          <w:szCs w:val="20"/>
          <w:lang w:eastAsia="en-US"/>
        </w:rPr>
        <w:t>In accordance with Art. 122 of the Financial Regulation. The following can be considered affiliated entities:</w:t>
      </w:r>
    </w:p>
    <w:p>
      <w:pPr>
        <w:pStyle w:val="Normal"/>
        <w:jc w:val="both"/>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pPr>
      <w:r>
        <w:fldChar w:fldCharType="begin">
          <w:ffData>
            <w:name w:val=""/>
            <w:enabled/>
            <w:calcOnExit w:val="0"/>
            <w:checkBox>
              <w:sizeAuto/>
            </w:checkBox>
          </w:ffData>
        </w:fldChar>
      </w:r>
      <w:r>
        <w:rPr/>
        <w:instrText> FORMCHECKBOX </w:instrText>
      </w:r>
      <w:r>
        <w:rPr/>
        <w:fldChar w:fldCharType="separate"/>
      </w:r>
      <w:bookmarkStart w:id="25" w:name="__Fieldmark__1190_1336915956"/>
      <w:bookmarkStart w:id="26" w:name="__Fieldmark__1185_943572187"/>
      <w:bookmarkStart w:id="27" w:name="__Fieldmark__1509_2330710499"/>
      <w:bookmarkStart w:id="28" w:name="__Fieldmark__2080_3426314571"/>
      <w:bookmarkStart w:id="29" w:name="__Fieldmark__1188_3518991069"/>
      <w:bookmarkStart w:id="30" w:name="__Fieldmark__1046_2808305147"/>
      <w:bookmarkStart w:id="31" w:name="__Fieldmark__1292_3887183617"/>
      <w:bookmarkStart w:id="32" w:name="__Fieldmark__1259_1591674513"/>
      <w:bookmarkStart w:id="33" w:name="__Fieldmark__1327_4118694307"/>
      <w:bookmarkStart w:id="34" w:name="__Fieldmark__1288_656527910"/>
      <w:bookmarkStart w:id="35" w:name="__Fieldmark__1072_3770479861"/>
      <w:bookmarkStart w:id="36" w:name="__Fieldmark__1268_3453647945"/>
      <w:bookmarkStart w:id="37" w:name="__Fieldmark__1145_2939642033"/>
      <w:bookmarkStart w:id="38" w:name="__Fieldmark__1316_2006952884"/>
      <w:bookmarkStart w:id="39" w:name="__Fieldmark__1209_4107198532"/>
      <w:bookmarkStart w:id="40" w:name="__Fieldmark__1154_3374853057"/>
      <w:bookmarkStart w:id="41" w:name="__Fieldmark__1149_2917479643"/>
      <w:bookmarkStart w:id="42" w:name="__Fieldmark__1582_1418198404"/>
      <w:bookmarkStart w:id="43" w:name="__Fieldmark__1480_2642140684"/>
      <w:bookmarkStart w:id="44" w:name="__Fieldmark__1205_1472461040"/>
      <w:bookmarkStart w:id="45" w:name="__Fieldmark__1271_2684351466"/>
      <w:bookmarkStart w:id="46" w:name="__Fieldmark__1259_2503915176"/>
      <w:bookmarkStart w:id="47" w:name="__Fieldmark__1190_1336915956"/>
      <w:bookmarkStart w:id="48" w:name="__Fieldmark__1190_133691595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8"/>
      <w:r>
        <w:rPr/>
      </w:r>
      <w:r>
        <w:rPr/>
        <w:fldChar w:fldCharType="end"/>
      </w:r>
      <w:r>
        <w:rPr>
          <w:b/>
          <w:szCs w:val="24"/>
          <w:lang w:eastAsia="en-GB"/>
        </w:rPr>
        <w:t xml:space="preserve">  YES</w:t>
      </w:r>
    </w:p>
    <w:p>
      <w:pPr>
        <w:pStyle w:val="Normal"/>
        <w:rPr/>
      </w:pPr>
      <w:r>
        <w:fldChar w:fldCharType="begin">
          <w:ffData>
            <w:name w:val=""/>
            <w:enabled/>
            <w:calcOnExit w:val="0"/>
            <w:checkBox>
              <w:sizeAuto/>
              <w:checked/>
            </w:checkBox>
          </w:ffData>
        </w:fldChar>
      </w:r>
      <w:r>
        <w:rPr/>
        <w:instrText> FORMCHECKBOX </w:instrText>
      </w:r>
      <w:r>
        <w:rPr/>
        <w:fldChar w:fldCharType="separate"/>
      </w:r>
      <w:bookmarkStart w:id="49" w:name="__Fieldmark__1258_1336915956"/>
      <w:bookmarkStart w:id="50" w:name="__Fieldmark__1250_943572187"/>
      <w:bookmarkStart w:id="51" w:name="__Fieldmark__2142_3426314571"/>
      <w:bookmarkStart w:id="52" w:name="__Fieldmark__1326_656527910"/>
      <w:bookmarkStart w:id="53" w:name="__Fieldmark__1300_3453647945"/>
      <w:bookmarkStart w:id="54" w:name="__Fieldmark__1066_2808305147"/>
      <w:bookmarkStart w:id="55" w:name="__Fieldmark__1252_1472461040"/>
      <w:bookmarkStart w:id="56" w:name="__Fieldmark__1156_2939642033"/>
      <w:bookmarkStart w:id="57" w:name="__Fieldmark__1171_3374853057"/>
      <w:bookmarkStart w:id="58" w:name="__Fieldmark__1315_1591674513"/>
      <w:bookmarkStart w:id="59" w:name="__Fieldmark__1214_3518991069"/>
      <w:bookmarkStart w:id="60" w:name="__Fieldmark__1318_2503915176"/>
      <w:bookmarkStart w:id="61" w:name="__Fieldmark__1512_2330710499"/>
      <w:bookmarkStart w:id="62" w:name="__Fieldmark__1336_3887183617"/>
      <w:bookmarkStart w:id="63" w:name="__Fieldmark__1503_2642140684"/>
      <w:bookmarkStart w:id="64" w:name="__Fieldmark__1357_2006952884"/>
      <w:bookmarkStart w:id="65" w:name="__Fieldmark__1080_3770479861"/>
      <w:bookmarkStart w:id="66" w:name="__Fieldmark__1238_4107198532"/>
      <w:bookmarkStart w:id="67" w:name="__Fieldmark__1163_2917479643"/>
      <w:bookmarkStart w:id="68" w:name="__Fieldmark__1378_4118694307"/>
      <w:bookmarkStart w:id="69" w:name="__Fieldmark__1306_2684351466"/>
      <w:bookmarkStart w:id="70" w:name="__Fieldmark__1635_1418198404"/>
      <w:bookmarkStart w:id="71" w:name="__Fieldmark__1258_1336915956"/>
      <w:bookmarkStart w:id="72" w:name="__Fieldmark__1258_1336915956"/>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2"/>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pPr>
      <w:bookmarkStart w:id="73" w:name="_Toc24546599"/>
      <w:r>
        <w:rPr>
          <w:rStyle w:val="Heading2Char"/>
          <w:color w:val="auto"/>
          <w:sz w:val="22"/>
        </w:rPr>
        <w:t>III.2. Rationale for setting-up the partnership</w:t>
      </w:r>
      <w:bookmarkEnd w:id="7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pPr>
      <w:bookmarkStart w:id="74" w:name="_Toc24546600"/>
      <w:bookmarkStart w:id="75" w:name="_Toc463518912"/>
      <w:r>
        <w:rPr>
          <w:rStyle w:val="Heading2Char"/>
          <w:color w:val="auto"/>
          <w:sz w:val="22"/>
        </w:rPr>
        <w:t xml:space="preserve">III.3. Description of the </w:t>
      </w:r>
      <w:bookmarkEnd w:id="75"/>
      <w:r>
        <w:rPr>
          <w:rStyle w:val="Heading2Char"/>
          <w:color w:val="auto"/>
          <w:sz w:val="22"/>
        </w:rPr>
        <w:t>consortium members</w:t>
      </w:r>
      <w:bookmarkEnd w:id="74"/>
    </w:p>
    <w:p>
      <w:pPr>
        <w:pStyle w:val="Normal"/>
        <w:tabs>
          <w:tab w:val="left" w:pos="3649" w:leader="none"/>
          <w:tab w:val="left" w:pos="5349" w:leader="none"/>
          <w:tab w:val="left" w:pos="7992" w:leader="none"/>
          <w:tab w:val="left" w:pos="9409" w:leader="none"/>
          <w:tab w:val="left" w:pos="10778" w:leader="none"/>
        </w:tabs>
        <w:jc w:val="both"/>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76" w:name="__RefHeading___Toc4460_3374853057"/>
      <w:bookmarkStart w:id="77" w:name="_Toc24546601"/>
      <w:bookmarkEnd w:id="76"/>
      <w:r>
        <w:rPr/>
        <w:t>III.3.1. Partner number – P1 – (Leipzig University – ULEI</w:t>
      </w:r>
      <w:r>
        <w:rPr>
          <w:i/>
        </w:rPr>
        <w:t>)</w:t>
      </w:r>
      <w:bookmarkEnd w:id="77"/>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color w:val="auto"/>
                <w:sz w:val="20"/>
                <w:szCs w:val="20"/>
                <w:lang w:val="en-US"/>
              </w:rPr>
              <w:t>Leipzig University</w:t>
            </w:r>
            <w:r>
              <w:rPr>
                <w:color w:val="auto"/>
                <w:sz w:val="20"/>
                <w:szCs w:val="20"/>
                <w:lang w:val="en-US"/>
              </w:rPr>
              <w:t xml:space="preserve"> (UL) was founded in 1409 and has built up on a “tradition of crossing boundaries” – by no coincidence its declared leitmotif – ever since. With 14 Faculties and a wide variety of subjects, UL is home to more than 30.000 students. It is engaged in academic cooperation worldwide, sending out and welcoming altogether over 1.500 exchange students each year. 3.500 students with foreign nationality have chosen Leipzig University as the place to achieve their degree. UL has its roots in the cosmopolitan city of Leipzig and is actively involved in the international academic community. One of the primary tasks for the future is further strategic development of internationalisation of UL at all levels. To this, the University has fully and explicitly committed in its University Development Plan 2025. Achieving internationally recognised excellence in its diverse subjects requires supportive structures. Here, too, UL is pursuing the goal of “crossing” even more boundaries (</w:t>
            </w:r>
            <w:hyperlink r:id="rId13">
              <w:r>
                <w:rPr>
                  <w:rStyle w:val="Internetverknpfung"/>
                  <w:color w:val="auto"/>
                  <w:sz w:val="20"/>
                  <w:szCs w:val="20"/>
                  <w:lang w:val="en-US"/>
                </w:rPr>
                <w:t>https://www.uni-leipzig.de/en/</w:t>
              </w:r>
            </w:hyperlink>
            <w:r>
              <w:rPr>
                <w:color w:val="auto"/>
                <w:sz w:val="20"/>
                <w:szCs w:val="20"/>
                <w:lang w:val="en-US"/>
              </w:rPr>
              <w:t>).</w:t>
            </w:r>
          </w:p>
          <w:p>
            <w:pPr>
              <w:pStyle w:val="Normal"/>
              <w:tabs>
                <w:tab w:val="left" w:pos="3649" w:leader="none"/>
                <w:tab w:val="left" w:pos="5349" w:leader="none"/>
                <w:tab w:val="left" w:pos="7992" w:leader="none"/>
                <w:tab w:val="left" w:pos="9409" w:leader="none"/>
                <w:tab w:val="left" w:pos="10778" w:leader="none"/>
              </w:tabs>
              <w:spacing w:before="0" w:after="57"/>
              <w:jc w:val="both"/>
              <w:rPr>
                <w:rFonts w:ascii="Times New Roman" w:hAnsi="Times New Roman"/>
                <w:color w:val="auto"/>
              </w:rPr>
            </w:pPr>
            <w:r>
              <w:rPr>
                <w:color w:val="auto"/>
                <w:szCs w:val="20"/>
              </w:rPr>
              <w:t xml:space="preserve">UL is a </w:t>
            </w:r>
            <w:r>
              <w:rPr>
                <w:b/>
                <w:bCs/>
                <w:color w:val="auto"/>
                <w:szCs w:val="20"/>
              </w:rPr>
              <w:t>member of the German U15</w:t>
            </w:r>
            <w:r>
              <w:rPr>
                <w:color w:val="auto"/>
                <w:szCs w:val="20"/>
              </w:rPr>
              <w:t xml:space="preserve">, an association of fifteen large research-strong and medically leading universities in Germany with a full range of subjects and without profiling engineering sciences. The aim of the network is "to ensure that the research-strong full universities present their interests in a way that reflects their importance for the science system". The association has been a member of the Global Network of Research Universities since November 2014. </w:t>
            </w:r>
          </w:p>
          <w:p>
            <w:pPr>
              <w:pStyle w:val="Normal"/>
              <w:tabs>
                <w:tab w:val="left" w:pos="3649" w:leader="none"/>
                <w:tab w:val="left" w:pos="5349" w:leader="none"/>
                <w:tab w:val="left" w:pos="7992" w:leader="none"/>
                <w:tab w:val="left" w:pos="9409" w:leader="none"/>
                <w:tab w:val="left" w:pos="10778" w:leader="none"/>
              </w:tabs>
              <w:spacing w:before="0" w:after="57"/>
              <w:jc w:val="both"/>
              <w:rPr>
                <w:rFonts w:ascii="Times New Roman" w:hAnsi="Times New Roman"/>
                <w:color w:val="auto"/>
              </w:rPr>
            </w:pPr>
            <w:r>
              <w:rPr>
                <w:color w:val="auto"/>
                <w:szCs w:val="20"/>
              </w:rPr>
              <w:t xml:space="preserve">The strengthening of SIM training at the university is being promoted from an interdisciplinary context by three divisions (IIRM, ICCAS, Software Systems) in three different faculties. For these actors, the commitment to increased training efforts in this field results from their manifold industrial contacts in joint projects promoted by various project sponsors. </w:t>
            </w:r>
          </w:p>
          <w:p>
            <w:pPr>
              <w:pStyle w:val="Normal"/>
              <w:spacing w:before="0" w:after="57"/>
              <w:jc w:val="both"/>
              <w:rPr/>
            </w:pPr>
            <w:r>
              <w:rPr>
                <w:lang w:eastAsia="de-DE"/>
              </w:rPr>
              <w:t xml:space="preserve">The </w:t>
            </w:r>
            <w:r>
              <w:rPr>
                <w:b/>
                <w:lang w:eastAsia="de-DE"/>
              </w:rPr>
              <w:t>Institute for Infrastructure and Resources Management (IIRM)</w:t>
            </w:r>
            <w:r>
              <w:rPr>
                <w:lang w:eastAsia="de-DE"/>
              </w:rPr>
              <w:t xml:space="preserve"> was established in early 2005. Founding Members were the Chairs for Environmental Technologies and Environmental Management, of Traffic Systems Management, of Brownfield Remediation and Management, and of Urban Water Management. </w:t>
            </w:r>
            <w:bookmarkStart w:id="78" w:name="_GoBack1"/>
            <w:bookmarkEnd w:id="78"/>
            <w:r>
              <w:rPr>
                <w:lang w:eastAsia="de-DE"/>
              </w:rPr>
              <w:t xml:space="preserve">Its focus of IIRM is directed to an integrated approach for sustainable planning, operating and managing technical infrastructure systems for energy, for water, waste water and waste services. Specific issues are mutual effects of infrastructure provision and of the economic as well as the demographic evolutions, the development of planning and management instruments as well as technology developments in selected cases. </w:t>
            </w:r>
          </w:p>
          <w:p>
            <w:pPr>
              <w:pStyle w:val="Normal"/>
              <w:spacing w:before="0" w:after="57"/>
              <w:jc w:val="both"/>
              <w:rPr>
                <w:rFonts w:ascii="Times New Roman" w:hAnsi="Times New Roman"/>
                <w:color w:val="auto"/>
                <w:szCs w:val="20"/>
                <w:lang w:eastAsia="de-DE"/>
              </w:rPr>
            </w:pPr>
            <w:r>
              <w:rPr>
                <w:color w:val="auto"/>
                <w:szCs w:val="20"/>
                <w:lang w:eastAsia="de-DE"/>
              </w:rPr>
              <w:t xml:space="preserve">The </w:t>
            </w:r>
            <w:r>
              <w:rPr>
                <w:b/>
                <w:bCs/>
                <w:color w:val="auto"/>
                <w:szCs w:val="20"/>
                <w:lang w:eastAsia="de-DE"/>
              </w:rPr>
              <w:t>Innovation Center Computer Assisted Surgery (ICCAS)</w:t>
            </w:r>
            <w:r>
              <w:rPr>
                <w:color w:val="auto"/>
                <w:szCs w:val="20"/>
                <w:lang w:eastAsia="de-DE"/>
              </w:rPr>
              <w:t xml:space="preserve"> develops digital technologies for future clinical use. It is the interface between research and application, promoting interdisciplinary collaboration between medical professionals, computer scientists, and engineers. Inside the institute’s own research operating theater, translations of novel medical technologies and therapeutic procedures are evaluated, based on the needs of clinicians. </w:t>
            </w:r>
            <w:r>
              <w:rPr/>
              <w:t>The research center is a well-established and ISO 13485-certified partner for medical device companies. The research results facilitate the work of clinical personnel, increase treatment safety and lead to more economical work processes in the operating theater. ICCAS presents its new technologies to the public and specialist audiences at annual events.</w:t>
            </w:r>
          </w:p>
          <w:p>
            <w:pPr>
              <w:pStyle w:val="Normal"/>
              <w:spacing w:before="0" w:after="57"/>
              <w:jc w:val="both"/>
              <w:rPr/>
            </w:pPr>
            <w:r>
              <w:rPr>
                <w:color w:val="auto"/>
                <w:szCs w:val="20"/>
                <w:lang w:eastAsia="de-DE"/>
              </w:rPr>
              <w:t xml:space="preserve">The </w:t>
            </w:r>
            <w:r>
              <w:rPr>
                <w:b/>
                <w:bCs/>
                <w:color w:val="auto"/>
                <w:szCs w:val="20"/>
                <w:lang w:eastAsia="de-DE"/>
              </w:rPr>
              <w:t>Division of Software Systems</w:t>
            </w:r>
            <w:r>
              <w:rPr>
                <w:color w:val="auto"/>
                <w:szCs w:val="20"/>
                <w:lang w:eastAsia="de-DE"/>
              </w:rPr>
              <w:t xml:space="preserve"> … to be added</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jc w:val="both"/>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pPr>
      <w:r>
        <w:rPr>
          <w:szCs w:val="20"/>
        </w:rPr>
        <w:t xml:space="preserve">- be the single point of contact of the Agency for all communications on the project; </w:t>
      </w:r>
    </w:p>
    <w:p>
      <w:pPr>
        <w:pStyle w:val="Normal"/>
        <w:rPr/>
      </w:pPr>
      <w:r>
        <w:rPr>
          <w:szCs w:val="20"/>
        </w:rPr>
        <w:t>- coordinate the work of the consortium in line with the work plan;</w:t>
      </w:r>
    </w:p>
    <w:p>
      <w:pPr>
        <w:pStyle w:val="Normal"/>
        <w:rPr/>
      </w:pPr>
      <w:r>
        <w:rPr>
          <w:szCs w:val="20"/>
        </w:rPr>
        <w:t>- monitor that the action is implemented in accordance with the EU grant agreement.</w:t>
      </w:r>
    </w:p>
    <w:p>
      <w:pPr>
        <w:pStyle w:val="Normal"/>
        <w:rPr>
          <w:szCs w:val="20"/>
        </w:rPr>
      </w:pPr>
      <w:r>
        <w:rPr>
          <w:szCs w:val="20"/>
        </w:rPr>
      </w:r>
    </w:p>
    <w:p>
      <w:pPr>
        <w:pStyle w:val="Normal"/>
        <w:jc w:val="both"/>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r>
        <w:br w:type="page"/>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t xml:space="preserve">He … </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jc w:val="both"/>
              <w:rPr/>
            </w:pPr>
            <w:r>
              <w:rPr>
                <w:bCs/>
                <w:szCs w:val="20"/>
              </w:rPr>
              <w:t>He is an adjunct professor of computer science at the chair of Software Systems, Faculty of Mathematics and Computer Science at UL.</w:t>
            </w:r>
          </w:p>
          <w:p>
            <w:pPr>
              <w:pStyle w:val="Normal"/>
              <w:spacing w:lineRule="auto" w:line="240" w:before="0" w:after="57"/>
              <w:jc w:val="both"/>
              <w:rPr/>
            </w:pPr>
            <w:r>
              <w:rPr>
                <w:bCs/>
                <w:szCs w:val="20"/>
              </w:rPr>
              <w:t xml:space="preserve">He earned a Diploma on mathematics (1979), was assistant and senior assistant at the University of Halle/S. and at the Pedagogical University Erfurt, obtained his doctorate (1983) and habilitated (1988) on algebra, computer algebra and combinatorics. Since 1990 he is a staff member at the Institute of Computer Science at UL, since 2003 as adjunct professor. </w:t>
            </w:r>
          </w:p>
          <w:p>
            <w:pPr>
              <w:pStyle w:val="Normal"/>
              <w:spacing w:lineRule="auto" w:line="240" w:before="0" w:after="57"/>
              <w:jc w:val="both"/>
              <w:rPr/>
            </w:pPr>
            <w:r>
              <w:rPr>
                <w:bCs/>
                <w:szCs w:val="20"/>
              </w:rPr>
              <w:t xml:space="preserve">The chair of Software Systems was formerly (until 1996) a chair of Computer Algebra and later (2002–2016) a chair of Enterprise Information Systems. These changes in the name of the chair had a major impact on his research interests, which during the last 20 years increasingly shifted away from mathematical issues to management problems of complex software systems (software management, software quality management, component software), to theoretical and practical questions of the Semantic Web, and to interdisciplinary issues in the context of digital change, especially in teaching. </w:t>
            </w:r>
          </w:p>
          <w:p>
            <w:pPr>
              <w:pStyle w:val="Normal"/>
              <w:spacing w:lineRule="auto" w:line="240" w:before="0" w:after="57"/>
              <w:jc w:val="both"/>
              <w:rPr/>
            </w:pPr>
            <w:r>
              <w:rPr>
                <w:bCs/>
                <w:szCs w:val="20"/>
              </w:rPr>
              <w:t xml:space="preserve">In the field of interdisciplinary commitment, particular reference should be made to a teaching project that he and Ken Kleemann (philosophy) have been developing since 2011 in an environment that has been strongly influenced in a different direction by the Bologna Process. This teaching project offers an interdisciplinary academic discourse in the spirit of the old Philosophical Faculty (before the schism in Science and Humanities) and teaching at eye level already in bachelor courses. The material of the different years are openly available on the net in the spirit of open culture and have meanwhile developed into a collection of best practices where critical academic work and academic publishing on a lightweight basis can already be practised in bachelor courses.  </w:t>
            </w:r>
          </w:p>
          <w:p>
            <w:pPr>
              <w:pStyle w:val="Normal"/>
              <w:spacing w:lineRule="auto" w:line="240" w:before="0" w:after="57"/>
              <w:jc w:val="both"/>
              <w:rPr/>
            </w:pPr>
            <w:r>
              <w:rPr>
                <w:bCs/>
                <w:szCs w:val="20"/>
              </w:rPr>
              <w:t xml:space="preserve">These experiences together with the emerging educational deficits at the institute in the direction of software technical and engineering skills of computer science students during the several years of vacancy of the chair led to a refocusing of his interests on the topic SIM. </w:t>
            </w:r>
          </w:p>
          <w:p>
            <w:pPr>
              <w:pStyle w:val="Normal"/>
              <w:spacing w:lineRule="auto" w:line="240" w:before="0" w:after="57"/>
              <w:jc w:val="both"/>
              <w:rPr/>
            </w:pPr>
            <w:r>
              <w:rPr>
                <w:b w:val="false"/>
                <w:bCs/>
                <w:szCs w:val="20"/>
              </w:rPr>
              <w:t>He organized a LIFIS conference on this topic in 2016 that reached the German TRIZ community. Since then, he concentrated his research on the legacy of the GDR schools of invention that is relevant to the SIM topic. In 2019, he started the WUMM project to transfer modern organizational experiences of open culture and Semantic Web technolo</w:t>
              <w:softHyphen/>
              <w:t xml:space="preserve">gies (in particular 20 years of experience within the SymbolicData Project, a semantic web project for the Computer Algebra Community) to the SIM community. With the establishment of a </w:t>
            </w:r>
            <w:r>
              <w:rPr>
                <w:b w:val="false"/>
                <w:bCs/>
                <w:i/>
                <w:iCs/>
                <w:szCs w:val="20"/>
              </w:rPr>
              <w:t>Central German SIM Competence Center</w:t>
            </w:r>
            <w:r>
              <w:rPr>
                <w:b w:val="false"/>
                <w:bCs/>
                <w:szCs w:val="20"/>
              </w:rPr>
              <w:t xml:space="preserve">, which has been pursued since the end of 2019, it was possible to generate regional attention for the SIM topic in other civil society structures within a short time. </w:t>
            </w:r>
          </w:p>
          <w:p>
            <w:pPr>
              <w:pStyle w:val="Normal"/>
              <w:spacing w:lineRule="auto" w:line="240" w:before="0" w:after="57"/>
              <w:jc w:val="both"/>
              <w:rPr/>
            </w:pPr>
            <w:r>
              <w:rPr>
                <w:bCs/>
                <w:szCs w:val="20"/>
              </w:rPr>
              <w:t xml:space="preserve">He has worked in the Oekonux project and the Rohrbacher Kreis and is a member of the board of the Leibniz Institute for Interdisciplinary Studies (LIFIS). </w:t>
            </w:r>
          </w:p>
          <w:p>
            <w:pPr>
              <w:pStyle w:val="Textkrper"/>
              <w:spacing w:lineRule="auto" w:line="240"/>
              <w:jc w:val="both"/>
              <w:rPr/>
            </w:pPr>
            <w:r>
              <w:rPr/>
              <w:t xml:space="preserve">The </w:t>
            </w:r>
            <w:r>
              <w:rPr>
                <w:b/>
                <w:bCs/>
              </w:rPr>
              <w:t>Leibniz Institute for Interdisciplinary Studies (LIFIS)</w:t>
            </w:r>
            <w:r>
              <w:rPr/>
              <w:t xml:space="preserve">, founded in 2002, initiates, organises and actively promotes – </w:t>
            </w:r>
            <w:r>
              <w:rPr>
                <w:rStyle w:val="Betont"/>
              </w:rPr>
              <w:t>nomen est omen</w:t>
            </w:r>
            <w:r>
              <w:rPr/>
              <w:t xml:space="preserve"> – the multidisciplinary dialogue not only within science, but also between science, economy and politics. The </w:t>
            </w:r>
            <w:r>
              <w:rPr>
                <w:i/>
                <w:iCs/>
              </w:rPr>
              <w:t>Leibniz Conferences</w:t>
            </w:r>
            <w:r>
              <w:rPr/>
              <w:t xml:space="preserve"> and the online journal </w:t>
            </w:r>
            <w:r>
              <w:rPr>
                <w:i/>
                <w:iCs/>
              </w:rPr>
              <w:t>LIFIS Online</w:t>
            </w:r>
            <w:r>
              <w:rPr/>
              <w:t xml:space="preserve"> are the two main means to turn the goal into production. </w:t>
            </w:r>
          </w:p>
          <w:p>
            <w:pPr>
              <w:pStyle w:val="Textkrper"/>
              <w:spacing w:lineRule="auto" w:line="240"/>
              <w:jc w:val="both"/>
              <w:rPr/>
            </w:pPr>
            <w:r>
              <w:rPr/>
              <w:t xml:space="preserve">With the </w:t>
            </w:r>
            <w:r>
              <w:rPr>
                <w:i/>
                <w:iCs/>
              </w:rPr>
              <w:t xml:space="preserve">Leibniz Conferences </w:t>
            </w:r>
            <w:r>
              <w:rPr/>
              <w:t xml:space="preserve">LIFIS tries to build bridges between science, economy and politics – on areas that are of essential importance for the future of our society. Leibniz Conferences aim at building a forum of mutual understanding, bridging between different disciplines and areas and stimulating productive cooperation. </w:t>
            </w:r>
          </w:p>
          <w:p>
            <w:pPr>
              <w:pStyle w:val="Textkrper"/>
              <w:spacing w:lineRule="auto" w:line="240"/>
              <w:jc w:val="both"/>
              <w:rPr/>
            </w:pPr>
            <w:r>
              <w:rPr/>
              <w:t xml:space="preserve">The Online Journal </w:t>
            </w:r>
            <w:r>
              <w:rPr>
                <w:i/>
                <w:iCs/>
              </w:rPr>
              <w:t>LIFIS Online</w:t>
            </w:r>
            <w:r>
              <w:rPr/>
              <w:t xml:space="preserve"> addresses new ideas and problem solutions, that are initiated and advised within the Leibniz Conferences and other LIFIS activities, require further elaboration in forthcoming activities. </w:t>
            </w:r>
            <w:r>
              <w:rPr>
                <w:i/>
                <w:iCs/>
              </w:rPr>
              <w:t>LIFIS Online</w:t>
            </w:r>
            <w:r>
              <w:rPr/>
              <w:t xml:space="preserve"> provides a forum for public information and discussion – without the time lag of conventional media.</w:t>
            </w:r>
          </w:p>
          <w:p>
            <w:pPr>
              <w:pStyle w:val="Normal"/>
              <w:spacing w:lineRule="auto" w:line="240" w:before="0" w:after="57"/>
              <w:jc w:val="both"/>
              <w:rPr/>
            </w:pPr>
            <w:r>
              <w:rPr>
                <w:rFonts w:eastAsia="SimSun" w:cs="Times New Roman"/>
                <w:b/>
                <w:bCs/>
                <w:sz w:val="20"/>
                <w:szCs w:val="20"/>
                <w:lang w:val="en-US" w:eastAsia="zh-CN"/>
              </w:rPr>
              <w:t>Publications (selection):</w:t>
            </w:r>
          </w:p>
          <w:p>
            <w:pPr>
              <w:pStyle w:val="Normal"/>
              <w:spacing w:lineRule="auto" w:line="240" w:before="0" w:after="57"/>
              <w:jc w:val="both"/>
              <w:rPr/>
            </w:pPr>
            <w:r>
              <w:rPr>
                <w:rFonts w:eastAsia="SimSun" w:cs="Times New Roman"/>
                <w:b w:val="false"/>
                <w:bCs w:val="false"/>
                <w:sz w:val="20"/>
                <w:szCs w:val="20"/>
                <w:lang w:val="en-US" w:eastAsia="zh-CN"/>
              </w:rPr>
              <w:t>Du, Y.; Gräbe, H.-G.; Kleemann K.P. Interdisziplinarität. Die Mühsal der Verständigung. (Interdisciplinarity. The difficulty of understanding) To appear in Proceedings DFG-Symposium „Digitalität in den Geisteswissenschaften“ 13.-15.02.2019 in Bayreuth.</w:t>
            </w:r>
          </w:p>
          <w:p>
            <w:pPr>
              <w:pStyle w:val="Normal"/>
              <w:spacing w:lineRule="auto" w:line="240" w:before="0" w:after="57"/>
              <w:jc w:val="both"/>
              <w:rPr/>
            </w:pPr>
            <w:r>
              <w:rPr>
                <w:rFonts w:eastAsia="SimSun" w:cs="Times New Roman"/>
                <w:b w:val="false"/>
                <w:bCs w:val="false"/>
                <w:sz w:val="20"/>
                <w:szCs w:val="20"/>
                <w:lang w:val="en-US" w:eastAsia="zh-CN"/>
              </w:rPr>
              <w:t xml:space="preserve">Gräbe, H.-G. 20 years SymbolicData. </w:t>
            </w:r>
            <w:r>
              <w:rPr/>
              <w:t xml:space="preserve">ACM Commun. Comput. Algebra 52, No. 3, 45-54 (2019). </w:t>
            </w:r>
          </w:p>
          <w:p>
            <w:pPr>
              <w:pStyle w:val="Normal"/>
              <w:spacing w:lineRule="auto" w:line="240" w:before="0" w:after="57"/>
              <w:jc w:val="both"/>
              <w:rPr/>
            </w:pPr>
            <w:r>
              <w:rPr>
                <w:rFonts w:eastAsia="SimSun" w:cs="Times New Roman"/>
                <w:b w:val="false"/>
                <w:bCs w:val="false"/>
                <w:sz w:val="20"/>
                <w:szCs w:val="20"/>
                <w:lang w:val="en-US" w:eastAsia="zh-CN"/>
              </w:rPr>
              <w:t xml:space="preserve">Gräbe, H.-G. </w:t>
            </w:r>
            <w:r>
              <w:rPr/>
              <w:t xml:space="preserve">The Contribution to TRIZ by the Inventor Schools in the GDR. Proceedings TRIZFest 2019 Heilbronn. </w:t>
            </w:r>
          </w:p>
          <w:p>
            <w:pPr>
              <w:pStyle w:val="Normal"/>
              <w:spacing w:lineRule="auto" w:line="240" w:before="0" w:after="57"/>
              <w:jc w:val="both"/>
              <w:rPr/>
            </w:pPr>
            <w:r>
              <w:rPr>
                <w:rFonts w:eastAsia="SimSun" w:cs="Times New Roman"/>
                <w:b w:val="false"/>
                <w:bCs w:val="false"/>
                <w:sz w:val="20"/>
                <w:szCs w:val="20"/>
                <w:lang w:val="en-US" w:eastAsia="zh-CN"/>
              </w:rPr>
              <w:t xml:space="preserve">Gräbe, H.-G. </w:t>
            </w:r>
            <w:r>
              <w:rPr/>
              <w:t>Наследие Движения Школ Изобретателeй в ГДР и Развитиe ТРИЗ. (Heritage of the Inventor School Movement in the GDR and TRIZ Development) Published in the Online Proceedings of the TRIZ Summit 2019 in Minsk.</w:t>
            </w:r>
          </w:p>
          <w:p>
            <w:pPr>
              <w:pStyle w:val="Normal"/>
              <w:spacing w:lineRule="auto" w:line="240" w:before="0" w:after="57"/>
              <w:jc w:val="both"/>
              <w:rPr/>
            </w:pPr>
            <w:r>
              <w:rPr>
                <w:rFonts w:eastAsia="SimSun" w:cs="Times New Roman"/>
                <w:b w:val="false"/>
                <w:bCs w:val="false"/>
                <w:sz w:val="20"/>
                <w:szCs w:val="20"/>
                <w:lang w:val="en-US" w:eastAsia="zh-CN"/>
              </w:rPr>
              <w:t>Gräbe, H.-G.</w:t>
            </w:r>
            <w:bookmarkStart w:id="79" w:name="work.title"/>
            <w:bookmarkEnd w:id="79"/>
            <w:r>
              <w:rPr>
                <w:rFonts w:eastAsia="SimSun" w:cs="Times New Roman"/>
                <w:b w:val="false"/>
                <w:bCs w:val="false"/>
                <w:sz w:val="20"/>
                <w:szCs w:val="20"/>
                <w:lang w:val="en-US" w:eastAsia="zh-CN"/>
              </w:rPr>
              <w:t xml:space="preserve"> Semantic-aware fingerprints of symbolic research data. In: Greuel, Gert-Martin (ed.) et al., Mathematical software – ICMS 2016. Proceedings. Lecture Notes in Computer Science 9725, 411-418 (2016). </w:t>
            </w:r>
          </w:p>
          <w:p>
            <w:pPr>
              <w:pStyle w:val="Normal"/>
              <w:spacing w:lineRule="auto" w:line="240" w:before="0" w:after="57"/>
              <w:jc w:val="both"/>
              <w:rPr>
                <w:b w:val="false"/>
                <w:b w:val="false"/>
                <w:bCs w:val="false"/>
                <w:szCs w:val="20"/>
              </w:rPr>
            </w:pPr>
            <w:r>
              <w:rPr>
                <w:rFonts w:eastAsia="SimSun" w:cs="Times New Roman"/>
                <w:b w:val="false"/>
                <w:bCs w:val="false"/>
                <w:sz w:val="20"/>
                <w:szCs w:val="20"/>
                <w:lang w:val="en-US" w:eastAsia="zh-CN"/>
              </w:rPr>
              <w:t>See also https://orcid.org/0000-0002-3934-413X</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jc w:val="both"/>
              <w:rPr/>
            </w:pPr>
            <w:r>
              <w:rPr>
                <w:rFonts w:eastAsia="SimSun" w:cs="Times New Roman"/>
                <w:bCs/>
                <w:sz w:val="20"/>
                <w:szCs w:val="20"/>
                <w:lang w:val="en-US" w:eastAsia="zh-CN"/>
              </w:rPr>
              <w:t xml:space="preserve">She earned a Dipl.-Ing. degree </w:t>
            </w:r>
            <w:r>
              <w:rPr>
                <w:rFonts w:eastAsia="SimSun" w:cs="Times New Roman"/>
                <w:bCs/>
                <w:sz w:val="20"/>
                <w:szCs w:val="20"/>
                <w:lang w:val="en-GB" w:eastAsia="zh-CN"/>
              </w:rPr>
              <w:t>on Studies of Land Management and Use and Environ</w:t>
              <w:softHyphen/>
              <w:t xml:space="preserve">mental Protection from Rostock University, Germany (2004), another graduation on </w:t>
            </w:r>
            <w:r>
              <w:rPr>
                <w:rFonts w:eastAsia="SimSun" w:cs="Times New Roman"/>
                <w:bCs/>
                <w:sz w:val="20"/>
                <w:szCs w:val="20"/>
                <w:lang w:val="en-US" w:eastAsia="zh-CN"/>
              </w:rPr>
              <w:t>Studies of Industrial Management at PrivateFernFachHochschule Darmstadt, Germany (2005) and a PhD (Dr.-Ing.) degree from Universität Leipzig, Germany (2015)</w:t>
            </w:r>
          </w:p>
          <w:p>
            <w:pPr>
              <w:pStyle w:val="Normal"/>
              <w:spacing w:lineRule="auto" w:line="240" w:before="0" w:after="57"/>
              <w:jc w:val="both"/>
              <w:rPr/>
            </w:pPr>
            <w:r>
              <w:rPr>
                <w:rFonts w:eastAsia="SimSun" w:cs="Times New Roman"/>
                <w:bCs/>
                <w:sz w:val="20"/>
                <w:szCs w:val="20"/>
                <w:lang w:val="en-US" w:eastAsia="zh-CN"/>
              </w:rPr>
              <w:t>She is a Senior Researcher at IIRM since 2005 and Managing Director of the InfraRes GmbH since 2017.</w:t>
            </w:r>
          </w:p>
          <w:p>
            <w:pPr>
              <w:pStyle w:val="Normal"/>
              <w:spacing w:lineRule="auto" w:line="240" w:before="0" w:after="113"/>
              <w:jc w:val="both"/>
              <w:rPr>
                <w:rFonts w:ascii="Times New Roman" w:hAnsi="Times New Roman" w:eastAsia="SimSun" w:cs="Times New Roman"/>
                <w:bCs/>
                <w:sz w:val="20"/>
                <w:szCs w:val="20"/>
                <w:lang w:val="en-US" w:eastAsia="zh-CN"/>
              </w:rPr>
            </w:pPr>
            <w:r>
              <w:rPr>
                <w:rFonts w:eastAsia="SimSun" w:cs="Times New Roman"/>
                <w:b/>
                <w:bCs/>
                <w:sz w:val="20"/>
                <w:szCs w:val="20"/>
                <w:lang w:val="en-US" w:eastAsia="de-DE"/>
              </w:rPr>
              <w:t>InfraRes GmbH</w:t>
            </w:r>
            <w:r>
              <w:rPr>
                <w:rFonts w:eastAsia="SimSun" w:cs="Times New Roman"/>
                <w:bCs/>
                <w:sz w:val="20"/>
                <w:szCs w:val="20"/>
                <w:lang w:val="en-US" w:eastAsia="de-DE"/>
              </w:rPr>
              <w:t xml:space="preserve"> is a science-based consultancy in the areas of circular economy, energy and resources management. It is a spin-off from IIRM at Leipzig university, situated in Leipzig and Berlin and works with public and private actors on developing concepts within its areas of expertise. Additionally, it is closely working with governmental bodies on legal impact assessment with regards to those areas.</w:t>
            </w:r>
          </w:p>
          <w:p>
            <w:pPr>
              <w:pStyle w:val="Normal"/>
              <w:spacing w:lineRule="auto" w:line="240" w:before="0" w:after="57"/>
              <w:rPr>
                <w:b/>
                <w:b/>
                <w:bCs/>
              </w:rPr>
            </w:pPr>
            <w:r>
              <w:rPr>
                <w:rFonts w:eastAsia="SimSun" w:cs="Times New Roman"/>
                <w:b/>
                <w:bCs/>
                <w:sz w:val="20"/>
                <w:szCs w:val="20"/>
                <w:lang w:val="en-US" w:eastAsia="zh-CN"/>
              </w:rPr>
              <w:t>Participation in scientific research projects (selection):</w:t>
            </w:r>
          </w:p>
          <w:p>
            <w:pPr>
              <w:pStyle w:val="Normal"/>
              <w:spacing w:lineRule="auto" w:line="240" w:before="0" w:after="57"/>
              <w:jc w:val="both"/>
              <w:rPr/>
            </w:pPr>
            <w:r>
              <w:rPr>
                <w:rFonts w:eastAsia="SimSun" w:cs="Times New Roman"/>
                <w:bCs/>
                <w:sz w:val="20"/>
                <w:szCs w:val="20"/>
                <w:lang w:val="en-US" w:eastAsia="zh-CN"/>
              </w:rPr>
              <w:t>Awaregio – Modular wastewater treatment processes for the reuse of wastewater, nutrients and energy as an opportunity for small and medium-sized enterprises (SME) – subproject: sustainability and economic efficiency 10/2016-09/2019, (Federal Ministry of Education and Research)</w:t>
            </w:r>
          </w:p>
          <w:p>
            <w:pPr>
              <w:pStyle w:val="Normal"/>
              <w:spacing w:lineRule="auto" w:line="240" w:before="0" w:after="57"/>
              <w:jc w:val="both"/>
              <w:rPr/>
            </w:pPr>
            <w:r>
              <w:rPr>
                <w:rFonts w:eastAsia="SimSun" w:cs="Times New Roman"/>
                <w:bCs/>
                <w:sz w:val="20"/>
                <w:szCs w:val="20"/>
                <w:lang w:val="en-US" w:eastAsia="zh-CN"/>
              </w:rPr>
              <w:t>Watermanagement 4.0 – Opportunities and challenges of the links between systems in water management (Wasser 4.0), 08/2017-03/2019, Federal Environment Agency</w:t>
            </w:r>
          </w:p>
          <w:p>
            <w:pPr>
              <w:pStyle w:val="Normal"/>
              <w:spacing w:lineRule="auto" w:line="240" w:before="0" w:after="57"/>
              <w:jc w:val="both"/>
              <w:rPr/>
            </w:pPr>
            <w:r>
              <w:rPr>
                <w:rFonts w:eastAsia="SimSun" w:cs="Times New Roman"/>
                <w:bCs/>
                <w:sz w:val="20"/>
                <w:szCs w:val="20"/>
                <w:lang w:val="en-US" w:eastAsia="zh-CN"/>
              </w:rPr>
              <w:t>E-Klär – Towards the energy-optimized wastewater treatment plant of the future – Development and model-based integration of innovative treatment technologies for transformation processes; sub-project 9. May 2015-Oct. 2017 (Federal Ministry of Education and Research)</w:t>
            </w:r>
          </w:p>
          <w:p>
            <w:pPr>
              <w:pStyle w:val="Normal"/>
              <w:spacing w:lineRule="auto" w:line="240" w:before="0" w:after="57"/>
              <w:jc w:val="both"/>
              <w:rPr/>
            </w:pPr>
            <w:r>
              <w:rPr>
                <w:rFonts w:eastAsia="SimSun" w:cs="Times New Roman"/>
                <w:bCs/>
                <w:sz w:val="20"/>
                <w:szCs w:val="20"/>
                <w:lang w:val="en-US" w:eastAsia="zh-CN"/>
              </w:rPr>
              <w:t>Analysis and Assessment of sustainibility and Eco-Efficiency of Small Treatment Plants and derived Improvement profiles and control instruments, 09/2013-03/2015, German Federal Environmental Foundation</w:t>
            </w:r>
          </w:p>
          <w:p>
            <w:pPr>
              <w:pStyle w:val="Normal"/>
              <w:spacing w:lineRule="auto" w:line="240" w:before="0" w:after="57"/>
              <w:rPr>
                <w:b/>
                <w:b/>
                <w:bCs/>
              </w:rPr>
            </w:pPr>
            <w:r>
              <w:rPr>
                <w:rFonts w:eastAsia="SimSun" w:cs="Times New Roman"/>
                <w:b/>
                <w:bCs/>
                <w:sz w:val="20"/>
                <w:szCs w:val="20"/>
                <w:lang w:val="en-US" w:eastAsia="zh-CN"/>
              </w:rPr>
              <w:t>Publications (selection):</w:t>
            </w:r>
          </w:p>
          <w:p>
            <w:pPr>
              <w:pStyle w:val="Normal"/>
              <w:spacing w:lineRule="auto" w:line="240" w:before="0" w:after="57"/>
              <w:jc w:val="both"/>
              <w:rPr/>
            </w:pPr>
            <w:r>
              <w:rPr>
                <w:rFonts w:eastAsia="SimSun" w:cs="Times New Roman"/>
                <w:bCs/>
                <w:sz w:val="20"/>
                <w:szCs w:val="20"/>
                <w:lang w:val="en-US" w:eastAsia="zh-CN"/>
              </w:rPr>
              <w:t>Geyler, Stefan, Lautenschläger, Sabine, Seiler, Romy, Holländer, Robert (2018): Im Stufenkonzept integrierte Ansätze zur Berücksichtigung von Robustheit bei der Entscheidung (Integration of robustness criteria into the multi-stage-decision concept for transforming sewage treatment). In: Palmowski, L., Pinnekamp, J. (Ed.): Entwicklung und Integration innovativer Kläranlagentechnologien für den Transformationsprozess in Richtung Technikwende – E-Klär (Development and model-based integration of innovative treatment technologies for transformation processes). Abschlussbericht (final report).</w:t>
            </w:r>
          </w:p>
          <w:p>
            <w:pPr>
              <w:pStyle w:val="Normal"/>
              <w:spacing w:lineRule="auto" w:line="240" w:before="0" w:after="57"/>
              <w:jc w:val="both"/>
              <w:rPr/>
            </w:pPr>
            <w:r>
              <w:rPr>
                <w:rFonts w:eastAsia="SimSun" w:cs="Times New Roman"/>
                <w:bCs/>
                <w:sz w:val="20"/>
                <w:szCs w:val="20"/>
                <w:lang w:val="en-US" w:eastAsia="zh-CN"/>
              </w:rPr>
              <w:t xml:space="preserve">Lautenschläger, S., Laforet, L., Schimpke, J., Holländer, R., Töws, I., Böttger, S., Stich, G., Lange, A. (2016): Analyse und Bewertung der Nachhaltigkeit und Ökoeffizienz von Kleinkläranlagen mit Ableitung von Produktverbesserungen. Abschlussbericht über ein Forschungsprojekt, gefördert unter dem Az: 30289 von der Deutschen Bundesstiftung Umwelt. In: Studien zu Infrastruktur und Ressourcenmanagement, Band 7, Logos Verlag, Berlin. </w:t>
            </w:r>
            <w:hyperlink r:id="rId14">
              <w:r>
                <w:rPr>
                  <w:rStyle w:val="Internetverknpfung"/>
                  <w:rFonts w:eastAsia="SimSun" w:cs="Times New Roman"/>
                  <w:bCs/>
                  <w:sz w:val="20"/>
                  <w:szCs w:val="20"/>
                  <w:lang w:val="en-US" w:eastAsia="zh-CN"/>
                </w:rPr>
                <w:t>https://www.zenodo.org/record/228162</w:t>
              </w:r>
            </w:hyperlink>
            <w:r>
              <w:rPr>
                <w:rFonts w:eastAsia="SimSun" w:cs="Times New Roman"/>
                <w:bCs/>
                <w:sz w:val="20"/>
                <w:szCs w:val="20"/>
                <w:lang w:val="en-US" w:eastAsia="zh-CN"/>
              </w:rPr>
              <w:t xml:space="preserve">. </w:t>
            </w:r>
          </w:p>
          <w:p>
            <w:pPr>
              <w:pStyle w:val="Normal"/>
              <w:spacing w:lineRule="auto" w:line="240" w:before="0" w:after="57"/>
              <w:jc w:val="both"/>
              <w:rPr/>
            </w:pPr>
            <w:r>
              <w:rPr>
                <w:rFonts w:eastAsia="SimSun" w:cs="Times New Roman"/>
                <w:bCs/>
                <w:sz w:val="20"/>
                <w:szCs w:val="20"/>
                <w:lang w:eastAsia="zh-CN"/>
              </w:rPr>
              <w:t>Geyler, S./Lautenschläger, S. (2015): Technische Konzepte und Optionen für die Wasserver- und Abwasserentsorgung, in: Gawel, E. (Hrsg.): Die Governance der Wasserinfrastruktur – Rahmenbedingungen, Herausforderungen und Optionen, Berlin: Duncker &amp; Humblot (im Erscheinen).</w:t>
            </w:r>
          </w:p>
          <w:p>
            <w:pPr>
              <w:pStyle w:val="Normal"/>
              <w:spacing w:lineRule="auto" w:line="240" w:before="0" w:after="57"/>
              <w:jc w:val="both"/>
              <w:rPr/>
            </w:pPr>
            <w:r>
              <w:rPr>
                <w:rFonts w:eastAsia="SimSun" w:cs="Times New Roman"/>
                <w:bCs/>
                <w:sz w:val="20"/>
                <w:szCs w:val="20"/>
                <w:lang w:eastAsia="zh-CN"/>
              </w:rPr>
              <w:t>Holländer, R; Lautenschläger, S.; Rüger, J.; Fälsch, M. (2013): Abwasserentgelte in Deutschland – Wie beeinflussen unterschiedliche Rahmenbedingungen die Kosten- und Entgeltstruktur der Abwasserbeseitigung?. Gutachten im Auftrag des Verbands kommunaler Unternehmen e.V. (VKU) (Hg.). Berlin: 2013.</w:t>
            </w:r>
          </w:p>
          <w:p>
            <w:pPr>
              <w:pStyle w:val="Normal"/>
              <w:spacing w:lineRule="auto" w:line="240" w:before="0" w:after="57"/>
              <w:jc w:val="both"/>
              <w:rPr/>
            </w:pPr>
            <w:r>
              <w:rPr>
                <w:rFonts w:eastAsia="SimSun" w:cs="Times New Roman"/>
                <w:bCs/>
                <w:sz w:val="20"/>
                <w:szCs w:val="20"/>
                <w:lang w:eastAsia="zh-CN"/>
              </w:rPr>
              <w:t>Fälsch, M.; Geyler, S.; Lautenschläger, S.; Holländer, R. (2010): Abbildung regionaler Unterschiede bei der Trinkwasserbereitstellung. In: InfrastrukturRecht. Energie-Verkehr-Abfall-Wasser. Nr. 11/12; November 2010. München und Frankfurt am Main: Verlag C.H.Beck. S. 284-287.</w:t>
            </w:r>
          </w:p>
          <w:p>
            <w:pPr>
              <w:pStyle w:val="Normal"/>
              <w:spacing w:lineRule="auto" w:line="240" w:before="0" w:after="57"/>
              <w:jc w:val="both"/>
              <w:rPr>
                <w:bCs/>
                <w:szCs w:val="20"/>
              </w:rPr>
            </w:pPr>
            <w:r>
              <w:rPr>
                <w:rFonts w:eastAsia="SimSun" w:cs="Times New Roman"/>
                <w:bCs/>
                <w:sz w:val="20"/>
                <w:szCs w:val="20"/>
                <w:lang w:eastAsia="zh-CN"/>
              </w:rPr>
              <w:t>Hillenbrand, T. et al. (2010): Demografischer Wandel als Herausforderung für die Siche</w:t>
              <w:softHyphen/>
              <w:t>rung und Entwicklung einer kosten- und ressourceneffizienten Abwasserinfrastruktur. Abschlussbericht zum Forschungsvorhaben im Auftrag des Umweltbundesamtes, UBA-Texte 36/2010.</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rStyle w:val="AbsatzStandardschriftart"/>
                <w:bCs/>
                <w:szCs w:val="20"/>
                <w:lang w:val="de-DE"/>
              </w:rPr>
              <w:t xml:space="preserve">He was born in 1983. </w:t>
            </w:r>
            <w:r>
              <w:rPr>
                <w:bCs/>
                <w:szCs w:val="20"/>
              </w:rPr>
              <w:t xml:space="preserve">After he completed military service and an Internship as primary teacher in India, he studied Archeology, History of Byzantine Art and Theology at the Martin-Luther University Halle-Wittenberg. In 2006 he switched to the new Bachelorprograms and earned a degree in Social Science with a focus on Political Science. A Master degree in Philosophy and a current PhD Research followed at the University Leipzig. Since 2011 he works in an interdisciplinary research and teaching program of the department of computer science at Leipzig University and conducted numerous cooperation-project as AGIL-Couch with a focus on SCRUM methodology and Design Thinking. Besides this he managed projects for a computer service company and a record label and is active in various academic and civil-society organisations.  </w:t>
            </w:r>
          </w:p>
        </w:tc>
      </w:tr>
    </w:tbl>
    <w:p>
      <w:pPr>
        <w:pStyle w:val="Berschrift3"/>
        <w:rPr/>
      </w:pPr>
      <w:r>
        <w:br w:type="page"/>
      </w:r>
      <w:bookmarkStart w:id="80" w:name="__RefHeading___Toc5877_1418198404"/>
      <w:bookmarkStart w:id="81" w:name="_Toc245466031"/>
      <w:bookmarkEnd w:id="80"/>
      <w:r>
        <w:rPr/>
        <w:t>III.3.2. Partner number – P2 – (INSA Strasbourg – INSA</w:t>
      </w:r>
      <w:r>
        <w:rPr>
          <w:i/>
        </w:rPr>
        <w:t>)</w:t>
      </w:r>
      <w:bookmarkEnd w:id="81"/>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INSA Strasbourg has nearly a quarter of a century of experience in the development of tools for engineers within the framework of inventive activities. After initiating research, obtaining scientific results and transforming these into innovative approaches tested in companies, INSA has embarked on the computer development of collaborative platforms for inventive activity practices, both in terms of learning and expert practices for industry. The result today is an ecosystem of several complementary tools adapted to various inventive situations and various levels of mastery. Four tools are now put forward in this ecosystem: PICC (now owned by ExelOp); FINDER, PhysiSolve and SimplySolve.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INSA’s role will be focused primarily 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1) Make INSA's ecosystem of SIM tools (PICC, FINDER, PhysiSolve, SimplySolve) operational throughout Europe.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2) Develop online course (tuto-like) for learning and using PICC, FINDER, PhysiSolve and SimplySolve.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Within the framework of this project, we will develop, for each tool, an associated e-learning material allowing anyone to learn in autonomy how to use our tools. These elements of self-training should help us to integrate the courses developed within the framework of this project and thus allow to share their use in our network in Europe. </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p>
    <w:p>
      <w:pPr>
        <w:pStyle w:val="Berschrift3"/>
        <w:rPr/>
      </w:pPr>
      <w:bookmarkStart w:id="82" w:name="__RefHeading___Toc4462_3374853057"/>
      <w:bookmarkStart w:id="83" w:name="_Toc24546602"/>
      <w:bookmarkEnd w:id="82"/>
      <w:r>
        <w:rPr/>
        <w:t>III.3.3. Partner number – P3 – (HS Offenburg – HSO</w:t>
      </w:r>
      <w:r>
        <w:rPr>
          <w:i/>
        </w:rPr>
        <w:t>)</w:t>
      </w:r>
      <w:bookmarkEnd w:id="83"/>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84" w:name="_Hlk31558122"/>
            <w:bookmarkEnd w:id="84"/>
          </w:p>
          <w:p>
            <w:pPr>
              <w:pStyle w:val="Normal"/>
              <w:tabs>
                <w:tab w:val="left" w:pos="3649" w:leader="none"/>
                <w:tab w:val="left" w:pos="5349" w:leader="none"/>
                <w:tab w:val="left" w:pos="7992" w:leader="none"/>
                <w:tab w:val="left" w:pos="9409" w:leader="none"/>
                <w:tab w:val="left" w:pos="10778" w:leader="none"/>
              </w:tabs>
              <w:jc w:val="both"/>
              <w:rPr/>
            </w:pPr>
            <w:r>
              <w:rPr>
                <w:color w:val="000000" w:themeColor="text1"/>
                <w:szCs w:val="20"/>
              </w:rPr>
              <w:t xml:space="preserve">Website: </w:t>
            </w:r>
            <w:hyperlink r:id="rId15">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bookmarkStart w:id="85" w:name="__DdeLink__5883_1418198404"/>
            <w:r>
              <w:rPr/>
              <w:t>HSO’s role will be focused primarily on</w:t>
            </w:r>
            <w:bookmarkEnd w:id="85"/>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Pavel Livotov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He is a 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p>
            <w:pPr>
              <w:pStyle w:val="Normal"/>
              <w:spacing w:lineRule="auto" w:line="240" w:before="113" w:after="113"/>
              <w:rPr>
                <w:b/>
                <w:b/>
                <w:bCs/>
              </w:rPr>
            </w:pPr>
            <w:bookmarkStart w:id="86" w:name="__RefHeading___Toc5738_3453647945"/>
            <w:bookmarkEnd w:id="86"/>
            <w:r>
              <w:rPr>
                <w:b/>
                <w:bCs/>
              </w:rPr>
              <w:t>Relevant Publications in the field of Systematic Innovation Methodologies and their Education</w:t>
            </w:r>
          </w:p>
          <w:p>
            <w:pPr>
              <w:pStyle w:val="Normal"/>
              <w:spacing w:lineRule="auto" w:line="240" w:before="0" w:after="57"/>
              <w:jc w:val="both"/>
              <w:rPr/>
            </w:pPr>
            <w:r>
              <w:rPr/>
              <w:t>Belski, I., Livotov, P., Vaneker, T. (2016), Structured Innovation with TRIZ in Science and Industry - Creating Value for Customers and Society, Procedia CIRP, Volume 39, 2016, Pages 1-2.</w:t>
            </w:r>
          </w:p>
          <w:p>
            <w:pPr>
              <w:pStyle w:val="Normal"/>
              <w:spacing w:lineRule="auto" w:line="240" w:before="0" w:after="57"/>
              <w:jc w:val="both"/>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lineRule="auto" w:line="240" w:before="0" w:after="57"/>
              <w:jc w:val="both"/>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lineRule="auto" w:line="240" w:before="0" w:after="57"/>
              <w:jc w:val="both"/>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lineRule="auto" w:line="240" w:before="0" w:after="57"/>
              <w:jc w:val="both"/>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lineRule="auto" w:line="240" w:before="0" w:after="57"/>
              <w:jc w:val="both"/>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lineRule="auto" w:line="240" w:before="0" w:after="57"/>
              <w:jc w:val="both"/>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lineRule="auto" w:line="240" w:before="0" w:after="57"/>
              <w:jc w:val="both"/>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lineRule="auto" w:line="240" w:before="0" w:after="57"/>
              <w:jc w:val="both"/>
              <w:rPr/>
            </w:pPr>
            <w:r>
              <w:rPr/>
              <w:t>Livotov, P., Petrov, V. (2013), TRIZ Innovation Technology. Product Development and Inventive Problem Solving. Handbook, 288 p., TriS Europe, Berlin.</w:t>
            </w:r>
          </w:p>
          <w:p>
            <w:pPr>
              <w:pStyle w:val="Normal"/>
              <w:spacing w:lineRule="auto" w:line="240" w:before="0" w:after="57"/>
              <w:jc w:val="both"/>
              <w:rPr/>
            </w:pPr>
            <w:r>
              <w:rPr/>
              <w:t>Livotov, P. (2015), Web-Based Asynchronous Distance Education in New Product Development and Inventive Problem Solving for Industrial Companies, Procedia Engineering, Volume 131, 2015, Pages 123-139</w:t>
            </w:r>
          </w:p>
          <w:p>
            <w:pPr>
              <w:pStyle w:val="Normal"/>
              <w:spacing w:lineRule="auto" w:line="240" w:before="0" w:after="57"/>
              <w:jc w:val="both"/>
              <w:rPr>
                <w:sz w:val="20"/>
                <w:szCs w:val="20"/>
              </w:rPr>
            </w:pPr>
            <w:r>
              <w:rPr>
                <w:sz w:val="20"/>
                <w:szCs w:val="20"/>
              </w:rPr>
              <w:t>Livotov, P. (2015), Measuring Motivation and Innovation Skills in Advanced Course in New Product Development and Inventive Problem Solving with TRIZ for Mechanical Engineering Students. Procedia Engineering, Volume 131, pp 767-775.</w:t>
            </w:r>
          </w:p>
          <w:p>
            <w:pPr>
              <w:pStyle w:val="Normal"/>
              <w:spacing w:lineRule="auto" w:line="240" w:before="0" w:after="57"/>
              <w:jc w:val="both"/>
              <w:rPr>
                <w:sz w:val="20"/>
                <w:szCs w:val="20"/>
              </w:rPr>
            </w:pPr>
            <w:r>
              <w:rPr>
                <w:sz w:val="20"/>
                <w:szCs w:val="20"/>
              </w:rPr>
              <w:t xml:space="preserve">Belski, I., Livotov, P. and Mayer, O. (2016), Eight Fields of MATCEMIB Help Students to Generate More Ideas. </w:t>
            </w:r>
            <w:r>
              <w:rPr>
                <w:sz w:val="20"/>
                <w:szCs w:val="20"/>
                <w:lang w:val="fr-FR"/>
              </w:rPr>
              <w:t>Procedia CIRP, 39, 85-90., DOI:10.1016/j.procir.2016.01.170.</w:t>
            </w:r>
          </w:p>
          <w:p>
            <w:pPr>
              <w:pStyle w:val="Normal"/>
              <w:spacing w:lineRule="auto" w:line="240" w:before="0" w:after="57"/>
              <w:jc w:val="both"/>
              <w:rPr>
                <w:sz w:val="20"/>
                <w:szCs w:val="20"/>
              </w:rPr>
            </w:pPr>
            <w:r>
              <w:rPr>
                <w:sz w:val="20"/>
                <w:szCs w:val="20"/>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lineRule="auto" w:line="240" w:before="0" w:after="57"/>
              <w:jc w:val="both"/>
              <w:rPr>
                <w:sz w:val="20"/>
                <w:szCs w:val="20"/>
              </w:rPr>
            </w:pPr>
            <w:r>
              <w:rPr>
                <w:sz w:val="20"/>
                <w:szCs w:val="20"/>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lineRule="auto" w:line="240" w:before="0" w:after="57"/>
              <w:jc w:val="both"/>
              <w:rPr>
                <w:sz w:val="20"/>
                <w:szCs w:val="20"/>
              </w:rPr>
            </w:pPr>
            <w:r>
              <w:rPr>
                <w:sz w:val="20"/>
                <w:szCs w:val="20"/>
                <w:lang w:val="fr-FR"/>
              </w:rPr>
              <w:t xml:space="preserve">Belski, I., Cavallucci, D., Livotov, P. et al. </w:t>
            </w:r>
            <w:r>
              <w:rPr>
                <w:sz w:val="20"/>
                <w:szCs w:val="20"/>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lineRule="auto" w:line="240" w:before="0" w:after="57"/>
              <w:jc w:val="both"/>
              <w:rPr>
                <w:sz w:val="20"/>
                <w:szCs w:val="20"/>
              </w:rPr>
            </w:pPr>
            <w:r>
              <w:rPr>
                <w:sz w:val="20"/>
                <w:szCs w:val="20"/>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lineRule="auto" w:line="240" w:before="0" w:after="57"/>
              <w:jc w:val="both"/>
              <w:rPr>
                <w:sz w:val="20"/>
                <w:szCs w:val="20"/>
              </w:rPr>
            </w:pPr>
            <w:r>
              <w:rPr>
                <w:b w:val="false"/>
                <w:bCs w:val="false"/>
                <w:color w:val="000000" w:themeColor="text1"/>
                <w:sz w:val="20"/>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She is an 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Arun Prasad Chandra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He is an 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87" w:name="__RefHeading___Toc4468_3374853057"/>
      <w:bookmarkStart w:id="88" w:name="_Toc24546605"/>
      <w:bookmarkEnd w:id="87"/>
      <w:r>
        <w:rPr/>
        <w:t>III.3.4. Partner number – P4 – (UTC Cluj-Napoca – UTC</w:t>
      </w:r>
      <w:r>
        <w:rPr>
          <w:i w:val="false"/>
          <w:iCs w:val="false"/>
        </w:rPr>
        <w:t>)</w:t>
      </w:r>
      <w:bookmarkEnd w:id="88"/>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Berschrift3"/>
        <w:rPr/>
      </w:pPr>
      <w:bookmarkStart w:id="89" w:name="__RefHeading___Toc4470_3374853057"/>
      <w:bookmarkStart w:id="90" w:name="_Toc24546606"/>
      <w:bookmarkEnd w:id="89"/>
      <w:r>
        <w:rPr/>
        <w:t>III.3.5. Partner number – P5– (</w:t>
      </w:r>
      <w:bookmarkEnd w:id="90"/>
      <w:r>
        <w:rPr>
          <w:i w:val="false"/>
          <w:iCs w:val="false"/>
        </w:rPr>
        <w:t>LUT Lappenranta – LUT)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91" w:name="__RefHeading___Toc4474_3374853057"/>
      <w:bookmarkStart w:id="92" w:name="_Toc245466062"/>
      <w:bookmarkEnd w:id="91"/>
      <w:r>
        <w:rPr/>
        <w:t>III.3.6. Partner number – P6 – (</w:t>
      </w:r>
      <w:bookmarkEnd w:id="92"/>
      <w:r>
        <w:rPr>
          <w:i w:val="false"/>
          <w:iCs w:val="false"/>
        </w:rPr>
        <w:t>Schaeffler AG – Schaeffler)</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3" w:name="__RefHeading___Toc9667_2808305147"/>
      <w:bookmarkStart w:id="94" w:name="_Toc2454660622"/>
      <w:bookmarkEnd w:id="93"/>
      <w:r>
        <w:rPr/>
        <w:t>III.3.7. Partner number – P7 – (</w:t>
      </w:r>
      <w:bookmarkEnd w:id="94"/>
      <w:r>
        <w:rPr/>
        <w:t>Arxia SRL – Arxia</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95" w:name="__RefHeading___Toc9669_2808305147"/>
            <w:bookmarkEnd w:id="95"/>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6" w:name="__RefHeading___Toc5740_3453647945"/>
      <w:bookmarkStart w:id="97" w:name="_Toc2454660623"/>
      <w:bookmarkEnd w:id="96"/>
      <w:r>
        <w:rPr/>
        <w:t>III.3.8. Partner number – P8 – (</w:t>
      </w:r>
      <w:bookmarkEnd w:id="97"/>
      <w:r>
        <w:rPr/>
        <w:t>Tehnoprod Plast SRL – TPlast</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jc w:val="both"/>
              <w:rPr/>
            </w:pPr>
            <w:r>
              <w:rPr>
                <w:rFonts w:cs="Arial"/>
                <w:b w:val="false"/>
                <w:bCs w:val="false"/>
                <w:sz w:val="24"/>
                <w:szCs w:val="24"/>
              </w:rPr>
              <w:t>S.C. Tehnoprod Plast SRL</w:t>
            </w:r>
            <w:r>
              <w:rPr>
                <w:rFonts w:cs="Arial"/>
                <w:b/>
                <w:bCs/>
                <w:sz w:val="24"/>
                <w:szCs w:val="24"/>
              </w:rPr>
              <w:t xml:space="preserve"> (</w:t>
            </w:r>
            <w:hyperlink r:id="rId16">
              <w:r>
                <w:rPr>
                  <w:rStyle w:val="Internetverknpfung"/>
                  <w:rFonts w:cs="Arial"/>
                  <w:b w:val="false"/>
                  <w:bCs w:val="false"/>
                  <w:sz w:val="24"/>
                  <w:szCs w:val="24"/>
                </w:rPr>
                <w:t>https://www.</w:t>
              </w:r>
              <w:r>
                <w:rPr>
                  <w:rStyle w:val="Internetverknpfung"/>
                  <w:rFonts w:cs="Arial"/>
                  <w:sz w:val="24"/>
                  <w:szCs w:val="24"/>
                </w:rPr>
                <w:t>tehnoprodplast.ro</w:t>
              </w:r>
            </w:hyperlink>
            <w:r>
              <w:rPr>
                <w:rFonts w:cs="Arial"/>
                <w:sz w:val="24"/>
                <w:szCs w:val="24"/>
              </w:rPr>
              <w:t>)</w:t>
            </w:r>
            <w:r>
              <w:rPr>
                <w:rFonts w:cs="Arial"/>
                <w:b/>
                <w:bCs/>
                <w:sz w:val="24"/>
                <w:szCs w:val="24"/>
              </w:rPr>
              <w:t xml:space="preserve"> </w:t>
            </w:r>
            <w:r>
              <w:rPr>
                <w:rFonts w:cs="Arial"/>
                <w:sz w:val="24"/>
                <w:szCs w:val="24"/>
              </w:rPr>
              <w:t xml:space="preserve">is a private company, set up in 1994 with romanian-german capital. Its main object of activity is the production and marketing of low tension equipment (sockets, lengtheners, adaptors, power cords, injected plug etc.). </w:t>
            </w:r>
            <w:r>
              <w:rPr>
                <w:rStyle w:val="Tlidtranslation"/>
                <w:rFonts w:cs="Arial"/>
                <w:sz w:val="24"/>
                <w:szCs w:val="24"/>
                <w:lang w:val="en"/>
              </w:rPr>
              <w:t>Also the German company GB Gebro Steckvorrichtungen GmbH (www.gb-gebro.de) is with Romanian-German capital.</w:t>
            </w:r>
          </w:p>
          <w:p>
            <w:pPr>
              <w:pStyle w:val="Normal"/>
              <w:spacing w:lineRule="auto" w:line="240" w:before="0" w:after="0"/>
              <w:jc w:val="both"/>
              <w:rPr>
                <w:rFonts w:ascii="Times New Roman" w:hAnsi="Times New Roman"/>
              </w:rPr>
            </w:pPr>
            <w:r>
              <w:rPr>
                <w:rFonts w:cs="Arial"/>
                <w:sz w:val="24"/>
                <w:szCs w:val="24"/>
              </w:rPr>
              <w:t xml:space="preserve">The company carries on its activity in two production halls having a number of 92 employees. The company’s policy is insuring each time and with no exception a high value for its clients which means a high quality performance, in time delivery of orders and competitive price. In this respect, since 2004, S.C. Tehnoprod Plast SRL has implemented by the certification organism DQS – Romania the quality management system in accordance with the </w:t>
            </w:r>
            <w:r>
              <w:rPr>
                <w:rFonts w:cs="Arial"/>
                <w:b w:val="false"/>
                <w:bCs w:val="false"/>
                <w:sz w:val="24"/>
                <w:szCs w:val="24"/>
              </w:rPr>
              <w:t>DIN EN ISO 9001:2015 Standard.</w:t>
            </w:r>
          </w:p>
          <w:p>
            <w:pPr>
              <w:pStyle w:val="Normal"/>
              <w:spacing w:lineRule="auto" w:line="240" w:before="0" w:after="0"/>
              <w:jc w:val="both"/>
              <w:rPr>
                <w:rFonts w:ascii="Times New Roman" w:hAnsi="Times New Roman"/>
              </w:rPr>
            </w:pPr>
            <w:r>
              <w:rPr>
                <w:rFonts w:cs="Arial"/>
                <w:sz w:val="24"/>
                <w:szCs w:val="24"/>
              </w:rPr>
              <w:t xml:space="preserve">The products made by our company are exported under the </w:t>
            </w:r>
            <w:r>
              <w:rPr>
                <w:rFonts w:cs="Arial"/>
                <w:b w:val="false"/>
                <w:bCs w:val="false"/>
                <w:sz w:val="24"/>
                <w:szCs w:val="24"/>
              </w:rPr>
              <w:t xml:space="preserve">GB GEBRO </w:t>
            </w:r>
            <w:r>
              <w:rPr>
                <w:rFonts w:cs="Arial"/>
                <w:sz w:val="24"/>
                <w:szCs w:val="24"/>
              </w:rPr>
              <w:t>sign, in countries like Germany, Netherlands, Sweden, Greece, Spain, Saudi Arabia, Indonesia and are certified by the specific low tension equipment quality norms, of these countries (VDE, ÖVE).</w:t>
            </w:r>
          </w:p>
          <w:p>
            <w:pPr>
              <w:pStyle w:val="Normal"/>
              <w:spacing w:lineRule="auto" w:line="240" w:before="0" w:after="0"/>
              <w:rPr>
                <w:rFonts w:ascii="Times New Roman" w:hAnsi="Times New Roman" w:cs="Arial"/>
                <w:sz w:val="24"/>
                <w:szCs w:val="24"/>
              </w:rPr>
            </w:pPr>
            <w:r>
              <w:rPr>
                <w:rFonts w:cs="Arial"/>
                <w:sz w:val="24"/>
                <w:szCs w:val="24"/>
              </w:rPr>
              <w:t>The main compartments within the company are:</w:t>
            </w:r>
          </w:p>
          <w:p>
            <w:pPr>
              <w:pStyle w:val="Normal"/>
              <w:spacing w:lineRule="auto" w:line="240" w:before="0" w:after="0"/>
              <w:jc w:val="both"/>
              <w:rPr>
                <w:rFonts w:ascii="Times New Roman" w:hAnsi="Times New Roman"/>
              </w:rPr>
            </w:pPr>
            <w:r>
              <w:rPr>
                <w:rFonts w:cs="Arial"/>
                <w:b w:val="false"/>
                <w:bCs w:val="false"/>
                <w:i/>
                <w:iCs/>
                <w:sz w:val="24"/>
                <w:szCs w:val="24"/>
              </w:rPr>
              <w:t>Injection compartment:</w:t>
            </w:r>
            <w:r>
              <w:rPr>
                <w:rFonts w:cs="Arial"/>
                <w:sz w:val="24"/>
                <w:szCs w:val="24"/>
              </w:rPr>
              <w:t xml:space="preserve"> the injecting is made on 40 – 150 ToF automatic injecting machines and the raw material used during the manufacturing process is:</w:t>
            </w:r>
          </w:p>
          <w:p>
            <w:pPr>
              <w:pStyle w:val="Normal"/>
              <w:numPr>
                <w:ilvl w:val="0"/>
                <w:numId w:val="18"/>
              </w:numPr>
              <w:spacing w:lineRule="auto" w:line="240" w:before="0" w:after="0"/>
              <w:rPr/>
            </w:pPr>
            <w:r>
              <w:rPr>
                <w:rFonts w:cs="Arial"/>
                <w:sz w:val="24"/>
                <w:szCs w:val="24"/>
              </w:rPr>
              <w:t>Injected plugs (PVC)</w:t>
            </w:r>
          </w:p>
          <w:p>
            <w:pPr>
              <w:pStyle w:val="Normal"/>
              <w:numPr>
                <w:ilvl w:val="0"/>
                <w:numId w:val="18"/>
              </w:numPr>
              <w:spacing w:lineRule="auto" w:line="240" w:before="0" w:after="0"/>
              <w:rPr/>
            </w:pPr>
            <w:r>
              <w:rPr>
                <w:rFonts w:cs="Arial"/>
                <w:sz w:val="24"/>
                <w:szCs w:val="24"/>
              </w:rPr>
              <w:t>Thermoplastic materials (PP, PA6, PA 6.6, PS, PE, with fibreglass)</w:t>
            </w:r>
          </w:p>
          <w:p>
            <w:pPr>
              <w:pStyle w:val="Normal"/>
              <w:numPr>
                <w:ilvl w:val="0"/>
                <w:numId w:val="18"/>
              </w:numPr>
              <w:spacing w:lineRule="auto" w:line="240" w:before="0" w:after="0"/>
              <w:rPr/>
            </w:pPr>
            <w:r>
              <w:rPr>
                <w:rFonts w:cs="Arial"/>
                <w:sz w:val="24"/>
                <w:szCs w:val="24"/>
              </w:rPr>
              <w:t>Hard plastic materials</w:t>
            </w:r>
          </w:p>
          <w:p>
            <w:pPr>
              <w:pStyle w:val="Normal"/>
              <w:spacing w:lineRule="auto" w:line="240" w:before="0" w:after="0"/>
              <w:jc w:val="both"/>
              <w:rPr>
                <w:rFonts w:ascii="Times New Roman" w:hAnsi="Times New Roman"/>
              </w:rPr>
            </w:pPr>
            <w:r>
              <w:rPr>
                <w:rFonts w:cs="Arial"/>
                <w:b w:val="false"/>
                <w:bCs w:val="false"/>
                <w:i/>
                <w:iCs/>
                <w:sz w:val="24"/>
                <w:szCs w:val="24"/>
              </w:rPr>
              <w:t>Pressing compartment:</w:t>
            </w:r>
            <w:r>
              <w:rPr>
                <w:rFonts w:cs="Arial"/>
                <w:sz w:val="24"/>
                <w:szCs w:val="24"/>
              </w:rPr>
              <w:t xml:space="preserve"> the pressing is made on automatic pressing machines of 60–150 tons force and the raw material used is urea formaldehyde resin.</w:t>
            </w:r>
          </w:p>
          <w:p>
            <w:pPr>
              <w:pStyle w:val="Normal"/>
              <w:spacing w:lineRule="auto" w:line="240" w:before="0" w:after="0"/>
              <w:jc w:val="both"/>
              <w:rPr>
                <w:rFonts w:ascii="Times New Roman" w:hAnsi="Times New Roman"/>
              </w:rPr>
            </w:pPr>
            <w:r>
              <w:rPr>
                <w:rFonts w:cs="Arial"/>
                <w:b w:val="false"/>
                <w:bCs w:val="false"/>
                <w:i/>
                <w:iCs/>
                <w:sz w:val="24"/>
                <w:szCs w:val="24"/>
              </w:rPr>
              <w:t>Punching compartment:</w:t>
            </w:r>
            <w:r>
              <w:rPr>
                <w:rFonts w:cs="Arial"/>
                <w:sz w:val="24"/>
                <w:szCs w:val="24"/>
              </w:rPr>
              <w:t xml:space="preserve"> over 50 details for all the brass and steel components used in the manufacturing process, on the Raster 30 ToF made in Germany pressing machines with a frequency of 500 punchings/minute</w:t>
            </w:r>
          </w:p>
          <w:p>
            <w:pPr>
              <w:pStyle w:val="Normal"/>
              <w:spacing w:lineRule="auto" w:line="240" w:before="0" w:after="0"/>
              <w:jc w:val="both"/>
              <w:rPr>
                <w:rFonts w:ascii="Times New Roman" w:hAnsi="Times New Roman"/>
              </w:rPr>
            </w:pPr>
            <w:r>
              <w:rPr>
                <w:rFonts w:cs="Arial"/>
                <w:b w:val="false"/>
                <w:bCs w:val="false"/>
                <w:i/>
                <w:iCs/>
                <w:sz w:val="24"/>
                <w:szCs w:val="24"/>
              </w:rPr>
              <w:t>Lathing compartment:</w:t>
            </w:r>
            <w:r>
              <w:rPr>
                <w:rFonts w:cs="Arial"/>
                <w:sz w:val="24"/>
                <w:szCs w:val="24"/>
              </w:rPr>
              <w:t xml:space="preserve"> different specific brass details on EUBAMA made in Germany autolathes.</w:t>
            </w:r>
          </w:p>
          <w:p>
            <w:pPr>
              <w:pStyle w:val="Normal"/>
              <w:spacing w:lineRule="auto" w:line="240" w:before="0" w:after="0"/>
              <w:jc w:val="both"/>
              <w:rPr>
                <w:rFonts w:ascii="Times New Roman" w:hAnsi="Times New Roman"/>
              </w:rPr>
            </w:pPr>
            <w:r>
              <w:rPr>
                <w:rFonts w:cs="Arial"/>
                <w:b w:val="false"/>
                <w:bCs w:val="false"/>
                <w:i/>
                <w:iCs/>
                <w:sz w:val="24"/>
                <w:szCs w:val="24"/>
              </w:rPr>
              <w:t>Assembly compartment:</w:t>
            </w:r>
            <w:r>
              <w:rPr>
                <w:rFonts w:cs="Arial"/>
                <w:sz w:val="24"/>
                <w:szCs w:val="24"/>
              </w:rPr>
              <w:t xml:space="preserve"> it is made automatically and semi-automatically for the whole range of products.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98" w:name="__RefHeading___Toc5879_1418198404"/>
      <w:bookmarkStart w:id="99" w:name="_Toc245466061"/>
      <w:bookmarkEnd w:id="98"/>
      <w:r>
        <w:rPr/>
        <w:t>III.3.9. Partner number – P9 – (</w:t>
      </w:r>
      <w:bookmarkEnd w:id="99"/>
      <w:r>
        <w:rPr/>
        <w:t>Jantschgi C&amp;R – Jantschgi)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bookmarkStart w:id="100" w:name="__RefHeading___Toc9665_2808305147"/>
            <w:bookmarkEnd w:id="100"/>
            <w:r>
              <w:rPr>
                <w:b/>
                <w:bCs/>
              </w:rPr>
              <w:t>Jantschgi C&amp;R</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sz w:val="20"/>
                <w:szCs w:val="20"/>
              </w:rPr>
            </w:pPr>
            <w:r>
              <w:rPr>
                <w:color w:val="000000" w:themeColor="text1"/>
                <w:sz w:val="20"/>
                <w:szCs w:val="20"/>
              </w:rPr>
              <w:t xml:space="preserve">The consulting company, DI Jürgen Jantschgi (Jantschgi C&amp;R, Play Innovation – TRIZ and more), works since 2008 in the field of systematic innovation methodologies. The main offers are trainings, workshops and project assistances in the field of systematic innovation methodologies, mainly in strong correlation with TRIZ. </w:t>
            </w:r>
          </w:p>
          <w:p>
            <w:pPr>
              <w:pStyle w:val="Normal"/>
              <w:spacing w:before="0" w:after="57"/>
              <w:jc w:val="both"/>
              <w:rPr>
                <w:sz w:val="20"/>
                <w:szCs w:val="20"/>
              </w:rPr>
            </w:pPr>
            <w:r>
              <w:rPr>
                <w:color w:val="000000" w:themeColor="text1"/>
                <w:sz w:val="20"/>
                <w:szCs w:val="20"/>
              </w:rPr>
              <w:t xml:space="preserve">Jantschgi C&amp;R offers TRIZ certification trainings in cooperation with the International TRIZ association (MATRIZ) since 2008 on a regular basis. The certification training courses include a 3-level training scheme that builds on one another. In total 18 training-days and three certification tests have to be absolved to get the Level 3 certificate of MATRIZ. More than 300 participants have attended part or all of these certification trainings in the last years. </w:t>
            </w:r>
          </w:p>
          <w:p>
            <w:pPr>
              <w:pStyle w:val="Normal"/>
              <w:spacing w:before="0" w:after="57"/>
              <w:jc w:val="both"/>
              <w:rPr>
                <w:sz w:val="20"/>
                <w:szCs w:val="20"/>
              </w:rPr>
            </w:pPr>
            <w:r>
              <w:rPr>
                <w:color w:val="000000" w:themeColor="text1"/>
                <w:sz w:val="20"/>
                <w:szCs w:val="20"/>
              </w:rPr>
              <w:t xml:space="preserve">Furthermore also basic TRIZ-trainings with a duration of 1 or 2 days are offered regularly.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color w:val="000000" w:themeColor="text1"/>
                <w:sz w:val="20"/>
                <w:szCs w:val="20"/>
              </w:rPr>
              <w:t xml:space="preserve">Beside TRIZ other innovation and creativity methodologies like Business Model Canvas for the development of business models or Blue Ocean for market development options are in the consultancy portfolio of Jantschgi C&amp;R.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 w:val="20"/>
                <w:szCs w:val="20"/>
              </w:rPr>
            </w:pPr>
            <w:r>
              <w:rPr>
                <w:sz w:val="20"/>
                <w:szCs w:val="20"/>
              </w:rPr>
              <w:t>DI Jürgen Jantschgi and his team will bring in the following experiences and know-how:</w:t>
            </w:r>
          </w:p>
          <w:p>
            <w:pPr>
              <w:pStyle w:val="ListParagraph"/>
              <w:numPr>
                <w:ilvl w:val="0"/>
                <w:numId w:val="1"/>
              </w:numPr>
              <w:rPr>
                <w:sz w:val="20"/>
                <w:szCs w:val="20"/>
              </w:rPr>
            </w:pPr>
            <w:r>
              <w:rPr>
                <w:sz w:val="20"/>
                <w:szCs w:val="20"/>
              </w:rPr>
              <w:t xml:space="preserve">teaching and applying TRIZ tools in workshops and/or in trainings  </w:t>
            </w:r>
          </w:p>
          <w:p>
            <w:pPr>
              <w:pStyle w:val="ListParagraph"/>
              <w:numPr>
                <w:ilvl w:val="0"/>
                <w:numId w:val="1"/>
              </w:numPr>
              <w:rPr>
                <w:sz w:val="20"/>
                <w:szCs w:val="20"/>
              </w:rPr>
            </w:pPr>
            <w:r>
              <w:rPr>
                <w:sz w:val="20"/>
                <w:szCs w:val="20"/>
              </w:rPr>
              <w:t>development of innovation- / TRIZ tools for applications at technical colleges and/or universities</w:t>
            </w:r>
          </w:p>
          <w:p>
            <w:pPr>
              <w:pStyle w:val="ListParagraph"/>
              <w:numPr>
                <w:ilvl w:val="0"/>
                <w:numId w:val="1"/>
              </w:numPr>
              <w:rPr>
                <w:sz w:val="20"/>
                <w:szCs w:val="20"/>
              </w:rPr>
            </w:pPr>
            <w:r>
              <w:rPr>
                <w:sz w:val="20"/>
                <w:szCs w:val="20"/>
              </w:rPr>
              <w:t>business and educational network</w:t>
            </w:r>
          </w:p>
          <w:p>
            <w:pPr>
              <w:pStyle w:val="ListParagraph"/>
              <w:numPr>
                <w:ilvl w:val="0"/>
                <w:numId w:val="1"/>
              </w:numPr>
              <w:rPr>
                <w:sz w:val="20"/>
                <w:szCs w:val="20"/>
              </w:rPr>
            </w:pPr>
            <w:r>
              <w:rPr>
                <w:sz w:val="20"/>
                <w:szCs w:val="20"/>
              </w:rPr>
              <w:t xml:space="preserve">international TRIZ contacts </w:t>
            </w:r>
          </w:p>
          <w:p>
            <w:pPr>
              <w:pStyle w:val="ListParagraph"/>
              <w:numPr>
                <w:ilvl w:val="0"/>
                <w:numId w:val="1"/>
              </w:numPr>
              <w:rPr>
                <w:sz w:val="20"/>
                <w:szCs w:val="20"/>
              </w:rPr>
            </w:pPr>
            <w:r>
              <w:rPr>
                <w:sz w:val="20"/>
                <w:szCs w:val="20"/>
              </w:rPr>
              <w:t>project management of international projects</w:t>
            </w:r>
          </w:p>
          <w:p>
            <w:pPr>
              <w:pStyle w:val="Normal"/>
              <w:rPr>
                <w:sz w:val="20"/>
                <w:szCs w:val="20"/>
              </w:rPr>
            </w:pPr>
            <w:r>
              <w:rPr>
                <w:sz w:val="20"/>
                <w:szCs w:val="20"/>
              </w:rPr>
              <w:t>Jantschgi C&amp;R and its team offer the following contributions to the project:</w:t>
            </w:r>
          </w:p>
          <w:p>
            <w:pPr>
              <w:pStyle w:val="ListParagraph"/>
              <w:numPr>
                <w:ilvl w:val="0"/>
                <w:numId w:val="2"/>
              </w:numPr>
              <w:jc w:val="both"/>
              <w:rPr>
                <w:sz w:val="20"/>
                <w:szCs w:val="20"/>
              </w:rPr>
            </w:pPr>
            <w:r>
              <w:rPr>
                <w:sz w:val="20"/>
                <w:szCs w:val="20"/>
              </w:rPr>
              <w:t>Personal contacts to the following Austrian universities and TRIZ associations: University of Technology Graz, University of Technology Leoben (Lecture for Technology &amp; Innovation management), University for Applied Science Campus02 Graz, University for Applied Science Villach, University of Klagenfurt, Austrian TRIZ Association (TRIZ Kompetenzzentrum Österreich), TRIZ Campus</w:t>
            </w:r>
          </w:p>
          <w:p>
            <w:pPr>
              <w:pStyle w:val="ListParagraph"/>
              <w:numPr>
                <w:ilvl w:val="0"/>
                <w:numId w:val="2"/>
              </w:numPr>
              <w:jc w:val="both"/>
              <w:rPr>
                <w:sz w:val="20"/>
                <w:szCs w:val="20"/>
              </w:rPr>
            </w:pPr>
            <w:r>
              <w:rPr>
                <w:sz w:val="20"/>
                <w:szCs w:val="20"/>
              </w:rPr>
              <w:t xml:space="preserve">Personal Contacts to other educational institutions: Federal Ministry of Education, International Society for Engineering Pedagogy, Network of Colleges for Engineering  </w:t>
            </w:r>
          </w:p>
          <w:p>
            <w:pPr>
              <w:pStyle w:val="ListParagraph"/>
              <w:numPr>
                <w:ilvl w:val="0"/>
                <w:numId w:val="2"/>
              </w:numPr>
              <w:jc w:val="both"/>
              <w:rPr>
                <w:sz w:val="20"/>
                <w:szCs w:val="20"/>
              </w:rPr>
            </w:pPr>
            <w:r>
              <w:rPr>
                <w:sz w:val="20"/>
                <w:szCs w:val="20"/>
              </w:rPr>
              <w:t>Teaching Curricula of MATRIZ and of Colleges for Engineering in Austria</w:t>
            </w:r>
          </w:p>
          <w:p>
            <w:pPr>
              <w:pStyle w:val="ListParagraph"/>
              <w:numPr>
                <w:ilvl w:val="0"/>
                <w:numId w:val="2"/>
              </w:numPr>
              <w:rPr>
                <w:sz w:val="20"/>
                <w:szCs w:val="20"/>
              </w:rPr>
            </w:pPr>
            <w:r>
              <w:rPr>
                <w:sz w:val="20"/>
                <w:szCs w:val="20"/>
              </w:rPr>
              <w:t xml:space="preserve">Teach the Teachers – TRIZ basic and MATRIZ certification training </w:t>
            </w:r>
          </w:p>
          <w:p>
            <w:pPr>
              <w:pStyle w:val="ListParagraph"/>
              <w:numPr>
                <w:ilvl w:val="0"/>
                <w:numId w:val="2"/>
              </w:numPr>
              <w:jc w:val="both"/>
              <w:rPr>
                <w:sz w:val="20"/>
                <w:szCs w:val="20"/>
              </w:rPr>
            </w:pPr>
            <w:r>
              <w:rPr>
                <w:sz w:val="20"/>
                <w:szCs w:val="20"/>
              </w:rPr>
              <w:t>Business network based on 7 years Industrial Liasion department and 10 years consultancy</w:t>
            </w:r>
          </w:p>
          <w:p>
            <w:pPr>
              <w:pStyle w:val="ListParagraph"/>
              <w:numPr>
                <w:ilvl w:val="0"/>
                <w:numId w:val="2"/>
              </w:numPr>
              <w:rPr>
                <w:sz w:val="20"/>
                <w:szCs w:val="20"/>
              </w:rPr>
            </w:pPr>
            <w:r>
              <w:rPr>
                <w:sz w:val="20"/>
                <w:szCs w:val="20"/>
              </w:rPr>
              <w:t xml:space="preserve">Organizing dissemination event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numPr>
                <w:ilvl w:val="0"/>
                <w:numId w:val="0"/>
              </w:numPr>
              <w:spacing w:before="0" w:after="57"/>
              <w:ind w:left="174" w:right="0" w:hanging="0"/>
              <w:rPr/>
            </w:pPr>
            <w:r>
              <w:rPr>
                <w:sz w:val="20"/>
                <w:szCs w:val="20"/>
              </w:rPr>
              <w:t>He was born in 1965, is the owner and founder of Jantschgi C&amp;R (started in January 2008).</w:t>
            </w:r>
          </w:p>
          <w:p>
            <w:pPr>
              <w:pStyle w:val="Normal"/>
              <w:numPr>
                <w:ilvl w:val="0"/>
                <w:numId w:val="0"/>
              </w:numPr>
              <w:spacing w:before="0" w:after="57"/>
              <w:ind w:left="174" w:right="0" w:hanging="0"/>
              <w:jc w:val="both"/>
              <w:rPr/>
            </w:pPr>
            <w:r>
              <w:rPr>
                <w:sz w:val="20"/>
                <w:szCs w:val="20"/>
              </w:rPr>
              <w:t>He holds a MATRIZ Level 3 certificate since 2005 and got the MA TRIZ "TRIZ Champion" Nr. 08 (13.09.2018) – for worldwide dissemination activities.</w:t>
            </w:r>
          </w:p>
          <w:p>
            <w:pPr>
              <w:pStyle w:val="Normal"/>
              <w:numPr>
                <w:ilvl w:val="0"/>
                <w:numId w:val="0"/>
              </w:numPr>
              <w:spacing w:before="0" w:after="57"/>
              <w:ind w:left="174" w:right="0" w:hanging="0"/>
              <w:jc w:val="both"/>
              <w:rPr/>
            </w:pPr>
            <w:r>
              <w:rPr>
                <w:sz w:val="20"/>
                <w:szCs w:val="20"/>
              </w:rPr>
              <w:t xml:space="preserve">He has 6 years experience in technology transfer activities as member of staff of the Industrial Liasion Department of the University of Technology Leoben (2001 – 2007) and was involved in the organization of several regional, national and international conferences in the field of TRIZ.  </w:t>
            </w:r>
          </w:p>
          <w:p>
            <w:pPr>
              <w:pStyle w:val="Normal"/>
              <w:numPr>
                <w:ilvl w:val="0"/>
                <w:numId w:val="0"/>
              </w:numPr>
              <w:spacing w:before="0" w:after="57"/>
              <w:ind w:left="174" w:right="0" w:hanging="0"/>
              <w:jc w:val="both"/>
              <w:rPr/>
            </w:pPr>
            <w:r>
              <w:rPr/>
              <w:t>Headmaster of the Higher College for Engineering in Wolfsberg (HTL Wolfsberg), Austria, since January 2017.</w:t>
            </w:r>
          </w:p>
          <w:p>
            <w:pPr>
              <w:pStyle w:val="Normal"/>
              <w:numPr>
                <w:ilvl w:val="0"/>
                <w:numId w:val="0"/>
              </w:numPr>
              <w:spacing w:before="0" w:after="57"/>
              <w:ind w:left="174" w:right="0" w:hanging="0"/>
              <w:jc w:val="both"/>
              <w:rPr/>
            </w:pPr>
            <w:r>
              <w:rPr/>
              <w:t xml:space="preserve">Head of the Federal Working Group "Entrepreneurship Education for Engineers" for Higher Colleges of Engineering of the Austrian Federal Ministry of Education. </w:t>
            </w:r>
          </w:p>
          <w:p>
            <w:pPr>
              <w:pStyle w:val="Normal"/>
              <w:numPr>
                <w:ilvl w:val="0"/>
                <w:numId w:val="0"/>
              </w:numPr>
              <w:spacing w:before="0" w:after="57"/>
              <w:ind w:left="174" w:right="0" w:hanging="0"/>
              <w:jc w:val="both"/>
              <w:rPr/>
            </w:pPr>
            <w:r>
              <w:rPr/>
              <w:t>Co-Chair of the of IGIP (International Society for Engineering Pedagogy) working group "Entrepreneurship in Engineering Education".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Peter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jc w:val="both"/>
              <w:rPr>
                <w:sz w:val="20"/>
                <w:szCs w:val="20"/>
              </w:rPr>
            </w:pPr>
            <w:r>
              <w:rPr>
                <w:sz w:val="20"/>
                <w:szCs w:val="20"/>
              </w:rPr>
              <w:t>He was born in 1996, works as Junior consultant in the company and gives TRIZ lectures and workshops.</w:t>
            </w:r>
          </w:p>
          <w:p>
            <w:pPr>
              <w:pStyle w:val="ListParagraph"/>
              <w:spacing w:lineRule="auto" w:line="240" w:before="0" w:after="57"/>
              <w:ind w:left="0" w:right="0" w:hanging="0"/>
              <w:jc w:val="both"/>
              <w:rPr/>
            </w:pPr>
            <w:r>
              <w:rPr>
                <w:bCs/>
                <w:sz w:val="20"/>
                <w:szCs w:val="20"/>
              </w:rPr>
              <w:t xml:space="preserve">He is enrolled in a Bachelor course on Innovation Management from the University of Applied Science "FH Campus02" in Graz, Austria, </w:t>
            </w:r>
            <w:r>
              <w:rPr>
                <w:sz w:val="20"/>
                <w:szCs w:val="20"/>
              </w:rPr>
              <w:t>holds a MATRIZ Level 3 certificate (2018) and is currently accredited by the MATRIZ Council on expertise and methodology to conduct MATRIZ Level 1 tests and grants.</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Philipp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contextualSpacing/>
              <w:jc w:val="both"/>
              <w:rPr>
                <w:sz w:val="20"/>
                <w:szCs w:val="20"/>
              </w:rPr>
            </w:pPr>
            <w:r>
              <w:rPr>
                <w:sz w:val="20"/>
                <w:szCs w:val="20"/>
              </w:rPr>
              <w:t>He was born in 1993, works as Junior consultant in the company and assists at TRIZ lectures and workshops.</w:t>
            </w:r>
          </w:p>
          <w:p>
            <w:pPr>
              <w:pStyle w:val="ListParagraph"/>
              <w:spacing w:lineRule="auto" w:line="240" w:before="0" w:after="57"/>
              <w:ind w:left="0" w:right="0" w:hanging="0"/>
              <w:contextualSpacing/>
              <w:jc w:val="both"/>
              <w:rPr>
                <w:sz w:val="20"/>
                <w:szCs w:val="20"/>
              </w:rPr>
            </w:pPr>
            <w:r>
              <w:rPr>
                <w:sz w:val="20"/>
                <w:szCs w:val="20"/>
              </w:rPr>
              <w:t>He finished a Bachelor of Mechanical Engineering, University of Technology Graz and holds a MATRIZ Level 3 certificate (2018).</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val="false"/>
                <w:b w:val="false"/>
                <w:bCs w:val="false"/>
                <w:sz w:val="20"/>
                <w:szCs w:val="20"/>
              </w:rPr>
            </w:pPr>
            <w:r>
              <w:rPr>
                <w:b w:val="false"/>
                <w:bCs w:val="false"/>
                <w:sz w:val="20"/>
                <w:szCs w:val="20"/>
              </w:rPr>
              <w:t>Lydia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spacing w:lineRule="auto" w:line="240" w:before="0" w:after="57"/>
              <w:ind w:left="0" w:right="0" w:hanging="0"/>
              <w:contextualSpacing/>
              <w:rPr>
                <w:sz w:val="20"/>
                <w:szCs w:val="20"/>
              </w:rPr>
            </w:pPr>
            <w:r>
              <w:rPr>
                <w:sz w:val="20"/>
                <w:szCs w:val="20"/>
              </w:rPr>
              <w:t>She was born in 1967 and will be involved in the project with s</w:t>
            </w:r>
            <w:r>
              <w:rPr>
                <w:bCs/>
                <w:sz w:val="20"/>
                <w:szCs w:val="20"/>
              </w:rPr>
              <w:t>ecretary office activities.</w:t>
            </w:r>
          </w:p>
        </w:tc>
      </w:tr>
    </w:tbl>
    <w:p>
      <w:pPr>
        <w:pStyle w:val="Normal"/>
        <w:rPr>
          <w:b/>
          <w:b/>
          <w:sz w:val="22"/>
        </w:rPr>
      </w:pPr>
      <w:r>
        <w:rPr>
          <w:b/>
          <w:sz w:val="22"/>
        </w:rPr>
      </w:r>
      <w:r>
        <w:br w:type="page"/>
      </w:r>
    </w:p>
    <w:p>
      <w:pPr>
        <w:pStyle w:val="Berschrift3"/>
        <w:rPr/>
      </w:pPr>
      <w:bookmarkStart w:id="101" w:name="__RefHeading___Toc5881_1418198404"/>
      <w:bookmarkStart w:id="102" w:name="_Toc245466063"/>
      <w:bookmarkEnd w:id="101"/>
      <w:r>
        <w:rPr/>
        <w:t>III.3.10. Partner number – P10 – (</w:t>
      </w:r>
      <w:bookmarkEnd w:id="102"/>
      <w:r>
        <w:rPr/>
        <w:t>Target Invention LLC Minsk – TI)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Target Invention LLC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left="0" w:right="0" w:hanging="0"/>
              <w:jc w:val="both"/>
              <w:rPr/>
            </w:pPr>
            <w:r>
              <w:rPr>
                <w:rFonts w:cs="Calibri" w:cstheme="minorHAnsi"/>
                <w:lang w:val="en-US"/>
              </w:rPr>
              <w:t xml:space="preserve">Target Invention renders </w:t>
            </w:r>
            <w:r>
              <w:rPr>
                <w:rFonts w:cs="Calibri" w:cstheme="minorHAnsi"/>
                <w:lang w:val="en-GB"/>
              </w:rPr>
              <w:t>innovation consulting services</w:t>
            </w:r>
            <w:r>
              <w:rPr>
                <w:rFonts w:cs="Calibri" w:cstheme="minorHAnsi"/>
                <w:lang w:val="en-US"/>
              </w:rPr>
              <w:t>. Goal</w:t>
            </w:r>
            <w:r>
              <w:rPr>
                <w:rFonts w:cs="Calibri" w:cstheme="minorHAnsi"/>
                <w:lang w:val="en-GB"/>
              </w:rPr>
              <w:t>-</w:t>
            </w:r>
            <w:r>
              <w:rPr>
                <w:rFonts w:cs="Calibri" w:cstheme="minorHAnsi"/>
                <w:lang w:val="en-US"/>
              </w:rPr>
              <w:t>oriented</w:t>
            </w:r>
            <w:r>
              <w:rPr>
                <w:rFonts w:cs="Calibri" w:cstheme="minorHAnsi"/>
                <w:lang w:val="en-GB"/>
              </w:rPr>
              <w:t xml:space="preserve"> invention technologies are designated to address production issues at the invention level. Efficient techniques developed on the basis of the theory of inventive problem-solving (TRIZ) and proven by practical work of many years at the leading companies (Samsung, POSCO, Skoda etc.) are used for work.</w:t>
            </w:r>
          </w:p>
          <w:p>
            <w:pPr>
              <w:pStyle w:val="Normal"/>
              <w:spacing w:lineRule="auto" w:line="240" w:before="0" w:after="0"/>
              <w:ind w:left="0" w:right="0" w:hanging="0"/>
              <w:rPr/>
            </w:pPr>
            <w:r>
              <w:rPr>
                <w:rFonts w:cs="Calibri" w:cstheme="minorHAnsi"/>
                <w:lang w:val="en-GB"/>
              </w:rPr>
              <w:t>The company was founded by Mikalai Shpakouski, a Candidate of Engineering Sciences and TRIZ Master.</w:t>
            </w:r>
          </w:p>
          <w:p>
            <w:pPr>
              <w:pStyle w:val="Normal"/>
              <w:spacing w:lineRule="auto" w:line="240" w:before="0" w:after="0"/>
              <w:rPr/>
            </w:pPr>
            <w:r>
              <w:rPr>
                <w:rFonts w:cs="Calibri" w:cstheme="minorHAnsi"/>
                <w:lang w:val="en-GB"/>
              </w:rPr>
              <w:t>The company’s key competences are:</w:t>
            </w:r>
          </w:p>
          <w:p>
            <w:pPr>
              <w:pStyle w:val="Normal"/>
              <w:numPr>
                <w:ilvl w:val="0"/>
                <w:numId w:val="14"/>
              </w:numPr>
              <w:spacing w:lineRule="auto" w:line="240" w:before="0" w:after="0"/>
              <w:rPr/>
            </w:pPr>
            <w:r>
              <w:rPr>
                <w:rFonts w:cs="Calibri" w:cstheme="minorHAnsi"/>
                <w:lang w:val="en-GB"/>
              </w:rPr>
              <w:t>inventive</w:t>
            </w:r>
            <w:r>
              <w:rPr>
                <w:rFonts w:cs="Calibri" w:cstheme="minorHAnsi"/>
              </w:rPr>
              <w:t xml:space="preserve"> </w:t>
            </w:r>
            <w:r>
              <w:rPr>
                <w:rFonts w:cs="Calibri" w:cstheme="minorHAnsi"/>
                <w:lang w:val="en-GB"/>
              </w:rPr>
              <w:t>problem</w:t>
            </w:r>
            <w:r>
              <w:rPr>
                <w:rFonts w:cs="Calibri" w:cstheme="minorHAnsi"/>
              </w:rPr>
              <w:t>-</w:t>
            </w:r>
            <w:r>
              <w:rPr>
                <w:rFonts w:cs="Calibri" w:cstheme="minorHAnsi"/>
                <w:lang w:val="en-GB"/>
              </w:rPr>
              <w:t>solving</w:t>
            </w:r>
            <w:r>
              <w:rPr>
                <w:rFonts w:cs="Calibri" w:cstheme="minorHAnsi"/>
              </w:rPr>
              <w:t>;</w:t>
            </w:r>
          </w:p>
          <w:p>
            <w:pPr>
              <w:pStyle w:val="Normal"/>
              <w:numPr>
                <w:ilvl w:val="0"/>
                <w:numId w:val="14"/>
              </w:numPr>
              <w:spacing w:lineRule="auto" w:line="240" w:before="0" w:after="0"/>
              <w:rPr/>
            </w:pPr>
            <w:r>
              <w:rPr>
                <w:rFonts w:cs="Calibri" w:cstheme="minorHAnsi"/>
                <w:lang w:val="en-GB"/>
              </w:rPr>
              <w:t>generation of alternative solutions to create patent-package and invention-idea protection;</w:t>
            </w:r>
          </w:p>
          <w:p>
            <w:pPr>
              <w:pStyle w:val="Normal"/>
              <w:numPr>
                <w:ilvl w:val="0"/>
                <w:numId w:val="14"/>
              </w:numPr>
              <w:spacing w:lineRule="auto" w:line="240" w:before="0" w:after="0"/>
              <w:rPr/>
            </w:pPr>
            <w:r>
              <w:rPr>
                <w:rFonts w:cs="Calibri" w:cstheme="minorHAnsi"/>
                <w:lang w:val="en-GB"/>
              </w:rPr>
              <w:t>prediction of engineering-system development;</w:t>
            </w:r>
          </w:p>
          <w:p>
            <w:pPr>
              <w:pStyle w:val="Normal"/>
              <w:numPr>
                <w:ilvl w:val="0"/>
                <w:numId w:val="14"/>
              </w:numPr>
              <w:spacing w:lineRule="auto" w:line="240" w:before="0" w:after="0"/>
              <w:rPr/>
            </w:pPr>
            <w:r>
              <w:rPr>
                <w:rFonts w:cs="Calibri" w:cstheme="minorHAnsi"/>
                <w:lang w:val="en-GB"/>
              </w:rPr>
              <w:t>training in inventive problem-solving and prediction;</w:t>
            </w:r>
          </w:p>
          <w:p>
            <w:pPr>
              <w:pStyle w:val="Normal"/>
              <w:numPr>
                <w:ilvl w:val="0"/>
                <w:numId w:val="14"/>
              </w:numPr>
              <w:spacing w:lineRule="auto" w:line="240" w:before="0" w:after="0"/>
              <w:rPr/>
            </w:pPr>
            <w:r>
              <w:rPr>
                <w:rFonts w:cs="Calibri" w:cstheme="minorHAnsi"/>
                <w:lang w:val="en-GB"/>
              </w:rPr>
              <w:t>preparation of training and practical problem-solving software.</w:t>
            </w:r>
          </w:p>
          <w:p>
            <w:pPr>
              <w:pStyle w:val="Normal"/>
              <w:spacing w:lineRule="auto" w:line="240" w:before="0" w:after="0"/>
              <w:ind w:left="0" w:right="0" w:hanging="0"/>
              <w:rPr/>
            </w:pPr>
            <w:r>
              <w:rPr>
                <w:rFonts w:cs="Calibri" w:cstheme="minorHAnsi"/>
                <w:lang w:val="en-GB"/>
              </w:rPr>
              <w:t>The company has eight employees: consultants, teaching staff, and software developers.</w:t>
            </w:r>
          </w:p>
          <w:p>
            <w:pPr>
              <w:pStyle w:val="Normal"/>
              <w:tabs>
                <w:tab w:val="left" w:pos="3649" w:leader="none"/>
                <w:tab w:val="left" w:pos="5349" w:leader="none"/>
                <w:tab w:val="left" w:pos="7992" w:leader="none"/>
                <w:tab w:val="left" w:pos="9409" w:leader="none"/>
                <w:tab w:val="left" w:pos="10778" w:leader="none"/>
              </w:tabs>
              <w:spacing w:lineRule="auto" w:line="240" w:before="0" w:after="0"/>
              <w:ind w:left="0" w:right="0" w:hanging="0"/>
              <w:jc w:val="both"/>
              <w:rPr/>
            </w:pPr>
            <w:r>
              <w:rPr>
                <w:rFonts w:cs="Calibri" w:cstheme="minorHAnsi"/>
                <w:szCs w:val="20"/>
                <w:lang w:val="en-US"/>
              </w:rPr>
              <w:t xml:space="preserve">Website: </w:t>
            </w:r>
            <w:hyperlink r:id="rId17">
              <w:r>
                <w:rPr>
                  <w:rStyle w:val="Internetverknpfung"/>
                  <w:rFonts w:cs="Calibri" w:cstheme="minorHAnsi"/>
                  <w:szCs w:val="20"/>
                  <w:lang w:val="en-US"/>
                </w:rPr>
                <w:t>http://</w:t>
              </w:r>
              <w:r>
                <w:rPr>
                  <w:rStyle w:val="Internetverknpfung"/>
                  <w:rFonts w:cs="Calibri" w:cstheme="minorHAnsi"/>
                  <w:szCs w:val="20"/>
                  <w:u w:val="none"/>
                  <w:lang w:val="en-US"/>
                </w:rPr>
                <w:t>target-invention.com</w:t>
              </w:r>
            </w:hyperlink>
            <w:r>
              <w:rPr>
                <w:rFonts w:cs="Calibri" w:cstheme="minorHAnsi"/>
                <w:szCs w:val="20"/>
                <w:u w:val="none"/>
                <w:lang w:val="en-US"/>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lineRule="auto" w:line="240" w:before="0" w:after="0"/>
              <w:ind w:left="0" w:right="0" w:hanging="0"/>
              <w:jc w:val="both"/>
              <w:rPr/>
            </w:pPr>
            <w:r>
              <w:rPr>
                <w:rFonts w:cs="Calibri" w:cstheme="minorHAnsi"/>
                <w:lang w:val="en-GB"/>
              </w:rPr>
              <w:t xml:space="preserve">The company offers training and practical application of the </w:t>
            </w:r>
            <w:r>
              <w:rPr>
                <w:rFonts w:cs="Calibri" w:cstheme="minorHAnsi"/>
                <w:lang w:val="en-US"/>
              </w:rPr>
              <w:t>OTSM</w:t>
            </w:r>
            <w:r>
              <w:rPr>
                <w:rFonts w:cs="Calibri" w:cstheme="minorHAnsi"/>
                <w:lang w:val="en-GB"/>
              </w:rPr>
              <w:t>-TRIZ* method for inventive problem-solving. The key feature of the training is the practice-oriented method. Emphasis is laid on inventive problem-solving from the start.</w:t>
            </w:r>
          </w:p>
          <w:p>
            <w:pPr>
              <w:pStyle w:val="Normal"/>
              <w:spacing w:lineRule="auto" w:line="240" w:before="0" w:after="0"/>
              <w:ind w:left="0" w:right="0" w:hanging="0"/>
              <w:jc w:val="both"/>
              <w:rPr/>
            </w:pPr>
            <w:r>
              <w:rPr>
                <w:rFonts w:cs="Calibri" w:cstheme="minorHAnsi"/>
                <w:lang w:val="en-GB"/>
              </w:rPr>
              <w:t>The company has created the TRIZ Trainer distance-learning course. The programmatic and theoretical parts of the course as well as support of the teaching staff enable to teach practical inventive problem-solving in large numbers and effectively.</w:t>
            </w:r>
          </w:p>
          <w:p>
            <w:pPr>
              <w:pStyle w:val="Normal"/>
              <w:spacing w:lineRule="auto" w:line="240" w:before="0" w:after="0"/>
              <w:ind w:left="0" w:right="0" w:hanging="0"/>
              <w:jc w:val="both"/>
              <w:rPr/>
            </w:pPr>
            <w:r>
              <w:rPr>
                <w:rFonts w:cs="Calibri" w:cstheme="minorHAnsi"/>
                <w:lang w:val="en-GB"/>
              </w:rPr>
              <w:t>The key features of the course are:</w:t>
            </w:r>
          </w:p>
          <w:p>
            <w:pPr>
              <w:pStyle w:val="Normal"/>
              <w:numPr>
                <w:ilvl w:val="0"/>
                <w:numId w:val="15"/>
              </w:numPr>
              <w:spacing w:lineRule="auto" w:line="240" w:before="0" w:after="0"/>
              <w:jc w:val="both"/>
              <w:rPr/>
            </w:pPr>
            <w:r>
              <w:rPr>
                <w:rFonts w:cs="Calibri" w:cstheme="minorHAnsi"/>
                <w:lang w:val="en-GB"/>
              </w:rPr>
              <w:t>the student’s problem-solving is guided with the situation addressing algorithm. Upon solving several dozens of problems, the student masters an efficient tool in practice and is prepared to solve inventing production problems;</w:t>
            </w:r>
          </w:p>
          <w:p>
            <w:pPr>
              <w:pStyle w:val="Normal"/>
              <w:numPr>
                <w:ilvl w:val="0"/>
                <w:numId w:val="15"/>
              </w:numPr>
              <w:spacing w:lineRule="auto" w:line="240" w:before="0" w:after="0"/>
              <w:jc w:val="both"/>
              <w:rPr/>
            </w:pPr>
            <w:r>
              <w:rPr>
                <w:rFonts w:cs="Calibri" w:cstheme="minorHAnsi"/>
                <w:lang w:val="en-GB"/>
              </w:rPr>
              <w:t>each step of solving is supported with information prompts and theory;</w:t>
            </w:r>
          </w:p>
          <w:p>
            <w:pPr>
              <w:pStyle w:val="Normal"/>
              <w:numPr>
                <w:ilvl w:val="0"/>
                <w:numId w:val="15"/>
              </w:numPr>
              <w:spacing w:lineRule="auto" w:line="240" w:before="0" w:after="0"/>
              <w:jc w:val="both"/>
              <w:rPr/>
            </w:pPr>
            <w:r>
              <w:rPr>
                <w:rFonts w:cs="Calibri" w:cstheme="minorHAnsi"/>
                <w:lang w:val="en-GB"/>
              </w:rPr>
              <w:t>the teacher controls accuracy of students’ chain of thought, corrects it, and answers their questions.</w:t>
            </w:r>
          </w:p>
          <w:p>
            <w:pPr>
              <w:pStyle w:val="Normal"/>
              <w:spacing w:lineRule="auto" w:line="240" w:before="0" w:after="0"/>
              <w:ind w:left="0" w:right="0" w:hanging="0"/>
              <w:jc w:val="both"/>
              <w:rPr/>
            </w:pPr>
            <w:r>
              <w:rPr>
                <w:rFonts w:cs="Calibri" w:cstheme="minorHAnsi"/>
                <w:lang w:val="en-GB"/>
              </w:rPr>
              <w:t xml:space="preserve">As part of the </w:t>
            </w:r>
            <w:r>
              <w:rPr>
                <w:rFonts w:cs="Calibri" w:cstheme="minorHAnsi"/>
                <w:lang w:val="en-US"/>
              </w:rPr>
              <w:t>SIM</w:t>
            </w:r>
            <w:r>
              <w:rPr>
                <w:rFonts w:cs="Calibri" w:cstheme="minorHAnsi"/>
                <w:lang w:val="en-GB"/>
              </w:rPr>
              <w:t xml:space="preserve"> project, the company will:</w:t>
            </w:r>
          </w:p>
          <w:p>
            <w:pPr>
              <w:pStyle w:val="Normal"/>
              <w:numPr>
                <w:ilvl w:val="0"/>
                <w:numId w:val="16"/>
              </w:numPr>
              <w:spacing w:lineRule="auto" w:line="240" w:before="0" w:after="0"/>
              <w:jc w:val="both"/>
              <w:rPr/>
            </w:pPr>
            <w:r>
              <w:rPr>
                <w:rFonts w:cs="Calibri" w:cstheme="minorHAnsi"/>
                <w:lang w:val="en-GB"/>
              </w:rPr>
              <w:t>teach teaching staff the OTSM-TRIZ method as applied in practical addressing of companies’ issues;</w:t>
            </w:r>
          </w:p>
          <w:p>
            <w:pPr>
              <w:pStyle w:val="Normal"/>
              <w:numPr>
                <w:ilvl w:val="0"/>
                <w:numId w:val="16"/>
              </w:numPr>
              <w:spacing w:lineRule="auto" w:line="240" w:before="0" w:after="0"/>
              <w:jc w:val="both"/>
              <w:rPr/>
            </w:pPr>
            <w:r>
              <w:rPr>
                <w:rFonts w:cs="Calibri" w:cstheme="minorHAnsi"/>
                <w:lang w:val="en-GB"/>
              </w:rPr>
              <w:t xml:space="preserve">provide the </w:t>
            </w:r>
            <w:r>
              <w:rPr>
                <w:rFonts w:cs="Calibri" w:cstheme="minorHAnsi"/>
                <w:lang w:val="en-US"/>
              </w:rPr>
              <w:t>TRIZ</w:t>
            </w:r>
            <w:r>
              <w:rPr>
                <w:rFonts w:cs="Calibri" w:cstheme="minorHAnsi"/>
                <w:lang w:val="en-GB"/>
              </w:rPr>
              <w:t xml:space="preserve"> T</w:t>
            </w:r>
            <w:r>
              <w:rPr>
                <w:rFonts w:cs="Calibri" w:cstheme="minorHAnsi"/>
                <w:lang w:val="en-US"/>
              </w:rPr>
              <w:t>rainer</w:t>
            </w:r>
            <w:r>
              <w:rPr>
                <w:rFonts w:cs="Calibri" w:cstheme="minorHAnsi"/>
                <w:lang w:val="en-GB"/>
              </w:rPr>
              <w:t xml:space="preserve"> course for training sessions in practical inventive problem-solving;</w:t>
            </w:r>
          </w:p>
          <w:p>
            <w:pPr>
              <w:pStyle w:val="Normal"/>
              <w:numPr>
                <w:ilvl w:val="0"/>
                <w:numId w:val="16"/>
              </w:numPr>
              <w:spacing w:lineRule="auto" w:line="240" w:before="0" w:after="57"/>
              <w:jc w:val="both"/>
              <w:rPr/>
            </w:pPr>
            <w:r>
              <w:rPr>
                <w:rFonts w:cs="Calibri" w:cstheme="minorHAnsi"/>
                <w:lang w:val="en-GB"/>
              </w:rPr>
              <w:t>provide industrial partners with the Solving Mill software to support the invention process.</w:t>
            </w:r>
          </w:p>
          <w:p>
            <w:pPr>
              <w:pStyle w:val="Normal"/>
              <w:spacing w:lineRule="auto" w:line="240" w:before="0" w:after="0"/>
              <w:ind w:left="0" w:right="0" w:hanging="0"/>
              <w:jc w:val="both"/>
              <w:rPr/>
            </w:pPr>
            <w:r>
              <w:rPr>
                <w:rFonts w:cs="Calibri" w:cstheme="minorHAnsi"/>
                <w:lang w:val="en-GB"/>
              </w:rPr>
              <w:t xml:space="preserve">* OTSM-TRIZ is a method combining the approaches of the general theory of powerful thinking (N. N. Khomenko) and of the theory of inventive problem-solving (G. S. Altshuller). </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textAlignment w:val="center"/>
              <w:rPr/>
            </w:pPr>
            <w:r>
              <w:rPr>
                <w:rFonts w:cs="Calibri" w:cstheme="minorHAnsi"/>
                <w:bCs/>
                <w:szCs w:val="20"/>
                <w:lang w:val="en-US"/>
              </w:rPr>
              <w:t>Mikalai Shpakouski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TRIZ consultant</w:t>
            </w:r>
            <w:r>
              <w:rPr>
                <w:rFonts w:cs="Calibri" w:cstheme="minorHAnsi"/>
              </w:rPr>
              <w:t xml:space="preserve">; </w:t>
            </w:r>
            <w:r>
              <w:rPr>
                <w:rFonts w:cs="Calibri" w:cstheme="minorHAnsi"/>
                <w:lang w:val="en-GB"/>
              </w:rPr>
              <w:t>Candidate of Engieering Sciences; TRIZ Master qualification</w:t>
            </w:r>
          </w:p>
          <w:p>
            <w:pPr>
              <w:pStyle w:val="Normal"/>
              <w:spacing w:lineRule="auto" w:line="240" w:before="0" w:after="0"/>
              <w:rPr/>
            </w:pPr>
            <w:r>
              <w:rPr>
                <w:rFonts w:cs="Calibri" w:cstheme="minorHAnsi"/>
                <w:lang w:val="en-GB"/>
              </w:rPr>
              <w:t>A consultant and teacher of inventive problem-solving, particularly</w:t>
            </w:r>
          </w:p>
          <w:p>
            <w:pPr>
              <w:pStyle w:val="Normal"/>
              <w:numPr>
                <w:ilvl w:val="0"/>
                <w:numId w:val="17"/>
              </w:numPr>
              <w:spacing w:lineRule="auto" w:line="240" w:before="0" w:after="0"/>
              <w:rPr/>
            </w:pPr>
            <w:r>
              <w:rPr>
                <w:rFonts w:cs="Calibri" w:cstheme="minorHAnsi"/>
                <w:lang w:val="en-GB"/>
              </w:rPr>
              <w:t>prevention</w:t>
            </w:r>
            <w:r>
              <w:rPr>
                <w:rFonts w:cs="Calibri" w:cstheme="minorHAnsi"/>
              </w:rPr>
              <w:t xml:space="preserve"> </w:t>
            </w:r>
            <w:r>
              <w:rPr>
                <w:rFonts w:cs="Calibri" w:cstheme="minorHAnsi"/>
                <w:lang w:val="en-GB"/>
              </w:rPr>
              <w:t>of</w:t>
            </w:r>
            <w:r>
              <w:rPr>
                <w:rFonts w:cs="Calibri" w:cstheme="minorHAnsi"/>
              </w:rPr>
              <w:t xml:space="preserve"> </w:t>
            </w:r>
            <w:r>
              <w:rPr>
                <w:rFonts w:cs="Calibri" w:cstheme="minorHAnsi"/>
                <w:lang w:val="en-GB"/>
              </w:rPr>
              <w:t>process</w:t>
            </w:r>
            <w:r>
              <w:rPr>
                <w:rFonts w:cs="Calibri" w:cstheme="minorHAnsi"/>
              </w:rPr>
              <w:t xml:space="preserve"> </w:t>
            </w:r>
            <w:r>
              <w:rPr>
                <w:rFonts w:cs="Calibri" w:cstheme="minorHAnsi"/>
                <w:lang w:val="en-GB"/>
              </w:rPr>
              <w:t>disruptions</w:t>
            </w:r>
            <w:r>
              <w:rPr>
                <w:rFonts w:cs="Calibri" w:cstheme="minorHAnsi"/>
              </w:rPr>
              <w:t xml:space="preserve">; </w:t>
            </w:r>
          </w:p>
          <w:p>
            <w:pPr>
              <w:pStyle w:val="Normal"/>
              <w:numPr>
                <w:ilvl w:val="0"/>
                <w:numId w:val="17"/>
              </w:numPr>
              <w:spacing w:lineRule="auto" w:line="240" w:before="0" w:after="0"/>
              <w:rPr/>
            </w:pPr>
            <w:r>
              <w:rPr>
                <w:rFonts w:cs="Calibri" w:cstheme="minorHAnsi"/>
                <w:lang w:val="en-GB"/>
              </w:rPr>
              <w:t>increase in equipment operation quality and reliability;</w:t>
            </w:r>
          </w:p>
          <w:p>
            <w:pPr>
              <w:pStyle w:val="Normal"/>
              <w:numPr>
                <w:ilvl w:val="0"/>
                <w:numId w:val="17"/>
              </w:numPr>
              <w:spacing w:lineRule="auto" w:line="240" w:before="0" w:after="0"/>
              <w:rPr/>
            </w:pPr>
            <w:r>
              <w:rPr>
                <w:rFonts w:cs="Calibri" w:cstheme="minorHAnsi"/>
                <w:lang w:val="en-GB"/>
              </w:rPr>
              <w:t xml:space="preserve">product production cost efficiency; </w:t>
            </w:r>
          </w:p>
          <w:p>
            <w:pPr>
              <w:pStyle w:val="Normal"/>
              <w:numPr>
                <w:ilvl w:val="0"/>
                <w:numId w:val="17"/>
              </w:numPr>
              <w:spacing w:lineRule="auto" w:line="240" w:before="0" w:after="0"/>
              <w:rPr/>
            </w:pPr>
            <w:r>
              <w:rPr>
                <w:rFonts w:cs="Calibri" w:cstheme="minorHAnsi"/>
                <w:lang w:val="en-GB"/>
              </w:rPr>
              <w:t>circumvention of competing companies’ patents;</w:t>
            </w:r>
          </w:p>
          <w:p>
            <w:pPr>
              <w:pStyle w:val="Normal"/>
              <w:numPr>
                <w:ilvl w:val="0"/>
                <w:numId w:val="17"/>
              </w:numPr>
              <w:spacing w:lineRule="auto" w:line="240" w:before="0" w:after="113"/>
              <w:rPr/>
            </w:pPr>
            <w:r>
              <w:rPr>
                <w:rFonts w:cs="Calibri" w:cstheme="minorHAnsi"/>
                <w:lang w:val="en-GB"/>
              </w:rPr>
              <w:t xml:space="preserve">predicting development of technical systems. </w:t>
            </w:r>
          </w:p>
          <w:p>
            <w:pPr>
              <w:pStyle w:val="Normal"/>
              <w:spacing w:lineRule="auto" w:line="240" w:before="0" w:after="0"/>
              <w:rPr/>
            </w:pPr>
            <w:r>
              <w:rPr>
                <w:rFonts w:cs="Calibri" w:cstheme="minorHAnsi"/>
                <w:lang w:val="en-GB"/>
              </w:rPr>
              <w:t xml:space="preserve">2011 – present: Target Invention, expert. </w:t>
            </w:r>
          </w:p>
          <w:p>
            <w:pPr>
              <w:pStyle w:val="Normal"/>
              <w:spacing w:lineRule="auto" w:line="240" w:before="0" w:after="0"/>
              <w:rPr/>
            </w:pPr>
            <w:r>
              <w:rPr>
                <w:rFonts w:cs="Calibri" w:cstheme="minorHAnsi"/>
                <w:lang w:val="en-GB"/>
              </w:rPr>
              <w:t xml:space="preserve">2014 – present: independent TRIZ consultant and trainer. </w:t>
            </w:r>
          </w:p>
          <w:p>
            <w:pPr>
              <w:pStyle w:val="Normal"/>
              <w:spacing w:lineRule="auto" w:line="240" w:before="0" w:after="0"/>
              <w:rPr/>
            </w:pPr>
            <w:r>
              <w:rPr>
                <w:rFonts w:cs="Calibri" w:cstheme="minorHAnsi"/>
                <w:lang w:val="en-GB"/>
              </w:rPr>
              <w:t>2008 – 2014: POSCO, Republic of Korea. TRIZ consultant.</w:t>
            </w:r>
          </w:p>
          <w:p>
            <w:pPr>
              <w:pStyle w:val="Normal"/>
              <w:spacing w:lineRule="auto" w:line="240" w:before="0" w:after="0"/>
              <w:rPr/>
            </w:pPr>
            <w:r>
              <w:rPr>
                <w:rFonts w:cs="Calibri" w:cstheme="minorHAnsi"/>
                <w:lang w:val="en-GB"/>
              </w:rPr>
              <w:t xml:space="preserve">2005 – 2008: TRIZ Profi Autonomous Non-Profit Organisation, Moscow, senior expert. </w:t>
            </w:r>
          </w:p>
          <w:p>
            <w:pPr>
              <w:pStyle w:val="Normal"/>
              <w:spacing w:lineRule="auto" w:line="240" w:before="0" w:after="0"/>
              <w:rPr/>
            </w:pPr>
            <w:r>
              <w:rPr>
                <w:rFonts w:cs="Calibri" w:cstheme="minorHAnsi"/>
                <w:lang w:val="en-GB"/>
              </w:rPr>
              <w:t>2003 – 2004: SAMSUNG SDI, Republic of Korea. TRIZ consultant</w:t>
            </w:r>
            <w:r>
              <w:rPr>
                <w:rFonts w:cs="Calibri" w:cstheme="minorHAnsi"/>
              </w:rPr>
              <w:t>.</w:t>
            </w:r>
          </w:p>
          <w:p>
            <w:pPr>
              <w:pStyle w:val="Normal"/>
              <w:spacing w:lineRule="auto" w:line="240" w:before="0" w:after="0"/>
              <w:jc w:val="left"/>
              <w:rPr/>
            </w:pPr>
            <w:r>
              <w:rPr>
                <w:rFonts w:cs="Calibri" w:cstheme="minorHAnsi"/>
                <w:lang w:val="en-US"/>
              </w:rPr>
              <w:t xml:space="preserve">2000 </w:t>
            </w:r>
            <w:r>
              <w:rPr>
                <w:rFonts w:cs="Calibri" w:cstheme="minorHAnsi"/>
                <w:lang w:val="en-GB"/>
              </w:rPr>
              <w:t>–</w:t>
            </w:r>
            <w:r>
              <w:rPr>
                <w:rFonts w:cs="Calibri" w:cstheme="minorHAnsi"/>
                <w:lang w:val="en-US"/>
              </w:rPr>
              <w:t xml:space="preserve"> 2003: Samsung Advanced Institute of Technology (SAIT), </w:t>
            </w:r>
            <w:r>
              <w:rPr>
                <w:rFonts w:cs="Calibri" w:cstheme="minorHAnsi"/>
                <w:lang w:val="en-GB"/>
              </w:rPr>
              <w:t>Republic of Korea</w:t>
            </w:r>
            <w:r>
              <w:rPr>
                <w:rFonts w:cs="Calibri" w:cstheme="minorHAnsi"/>
                <w:lang w:val="en-US"/>
              </w:rPr>
              <w:t xml:space="preserve">. </w:t>
            </w:r>
            <w:r>
              <w:rPr>
                <w:rFonts w:cs="Calibri" w:cstheme="minorHAnsi"/>
                <w:lang w:val="en-GB"/>
              </w:rPr>
              <w:t>TRIZ consultant</w:t>
            </w:r>
            <w:r>
              <w:rPr>
                <w:rFonts w:cs="Calibri" w:cstheme="minorHAnsi"/>
                <w:lang w:val="en-US"/>
              </w:rPr>
              <w:t>.</w:t>
            </w:r>
          </w:p>
          <w:p>
            <w:pPr>
              <w:pStyle w:val="Normal"/>
              <w:spacing w:lineRule="auto" w:line="240" w:before="0" w:after="113"/>
              <w:rPr/>
            </w:pPr>
            <w:r>
              <w:rPr>
                <w:rFonts w:cs="Calibri" w:cstheme="minorHAnsi"/>
                <w:lang w:val="en-US"/>
              </w:rPr>
              <w:t xml:space="preserve">1995 </w:t>
            </w:r>
            <w:r>
              <w:rPr>
                <w:rFonts w:cs="Calibri" w:cstheme="minorHAnsi"/>
                <w:lang w:val="en-GB"/>
              </w:rPr>
              <w:t>–</w:t>
            </w:r>
            <w:r>
              <w:rPr>
                <w:rFonts w:cs="Calibri" w:cstheme="minorHAnsi"/>
                <w:lang w:val="en-US"/>
              </w:rPr>
              <w:t xml:space="preserve"> 2000: Invention Machine project. Prediction group manager.</w:t>
            </w:r>
          </w:p>
          <w:p>
            <w:pPr>
              <w:pStyle w:val="Normal"/>
              <w:spacing w:lineRule="auto" w:line="240" w:before="0" w:after="0"/>
              <w:rPr/>
            </w:pPr>
            <w:r>
              <w:rPr>
                <w:rFonts w:cs="Calibri" w:cstheme="minorHAnsi"/>
                <w:lang w:val="en-US"/>
              </w:rPr>
              <w:t xml:space="preserve">Trainer's practice: </w:t>
            </w:r>
          </w:p>
          <w:p>
            <w:pPr>
              <w:pStyle w:val="Normal"/>
              <w:spacing w:lineRule="auto" w:line="240" w:before="0" w:after="0"/>
              <w:jc w:val="both"/>
              <w:rPr/>
            </w:pPr>
            <w:r>
              <w:rPr>
                <w:rFonts w:cs="Calibri" w:cstheme="minorHAnsi"/>
                <w:lang w:val="en-GB"/>
              </w:rPr>
              <w:t xml:space="preserve">25 years of teaching TRIZ based on a uniquely-designed approach resulting from generalisation of experience of work with actual projects. He has to his credit studies at Samsung, POSCO, and Skoda JS, at the following universities: </w:t>
            </w:r>
            <w:r>
              <w:rPr>
                <w:rFonts w:cs="Calibri" w:cstheme="minorHAnsi"/>
              </w:rPr>
              <w:t>КТА</w:t>
            </w:r>
            <w:r>
              <w:rPr>
                <w:rFonts w:cs="Calibri" w:cstheme="minorHAnsi"/>
                <w:lang w:val="en-GB"/>
              </w:rPr>
              <w:t>, Adjou University, KUTE, at a number of Chinese companies etc.</w:t>
            </w:r>
          </w:p>
          <w:p>
            <w:pPr>
              <w:pStyle w:val="Normal"/>
              <w:spacing w:lineRule="auto" w:line="240" w:before="0" w:after="113"/>
              <w:jc w:val="both"/>
              <w:rPr/>
            </w:pPr>
            <w:r>
              <w:rPr>
                <w:rFonts w:cs="Calibri" w:cstheme="minorHAnsi"/>
                <w:lang w:val="en-GB"/>
              </w:rPr>
              <w:t>He was awarded a SAMSUNG Group‘s prize for organising TRIZ at the company and the economic benefit of 92 million US dollars.</w:t>
            </w:r>
          </w:p>
          <w:p>
            <w:pPr>
              <w:pStyle w:val="Normal"/>
              <w:spacing w:lineRule="auto" w:line="240" w:before="0" w:after="0"/>
              <w:rPr/>
            </w:pPr>
            <w:r>
              <w:rPr>
                <w:rFonts w:cs="Calibri" w:cstheme="minorHAnsi"/>
                <w:b/>
                <w:bCs/>
                <w:lang w:val="en-GB"/>
              </w:rPr>
              <w:t>Publications (selection):</w:t>
            </w:r>
            <w:r>
              <w:rPr>
                <w:rFonts w:cs="Calibri" w:cstheme="minorHAnsi"/>
                <w:lang w:val="en-GB"/>
              </w:rPr>
              <w:t xml:space="preserve"> </w:t>
            </w:r>
          </w:p>
          <w:p>
            <w:pPr>
              <w:pStyle w:val="Normal"/>
              <w:spacing w:lineRule="auto" w:line="240" w:before="0" w:after="0"/>
              <w:jc w:val="both"/>
              <w:rPr/>
            </w:pPr>
            <w:r>
              <w:rPr>
                <w:rFonts w:cs="Calibri" w:cstheme="minorHAnsi"/>
                <w:lang w:val="en-US"/>
              </w:rPr>
              <w:t xml:space="preserve">1. Processing of the technical and patent information with use of Evolution Trees, e-book, published together with Mitsubishi Research Institute in Japanese, </w:t>
            </w:r>
          </w:p>
          <w:p>
            <w:pPr>
              <w:pStyle w:val="Normal"/>
              <w:spacing w:lineRule="auto" w:line="240" w:before="0" w:after="0"/>
              <w:jc w:val="both"/>
              <w:rPr/>
            </w:pPr>
            <w:r>
              <w:rPr>
                <w:rFonts w:cs="Calibri" w:cstheme="minorHAnsi"/>
              </w:rPr>
              <w:t>2. Шпаковский Н. А. Деревья эволюции. Анализ технической информации и генерация новых идей. М.: Пульс, 2006. 240 с. (</w:t>
            </w:r>
            <w:r>
              <w:rPr>
                <w:rFonts w:cs="Calibri" w:cstheme="minorHAnsi"/>
                <w:lang w:val="en-GB"/>
              </w:rPr>
              <w:t>M. A. Shpakouski. Evolution</w:t>
            </w:r>
            <w:r>
              <w:rPr>
                <w:rFonts w:cs="Calibri" w:cstheme="minorHAnsi"/>
              </w:rPr>
              <w:t xml:space="preserve"> </w:t>
            </w:r>
            <w:r>
              <w:rPr>
                <w:rFonts w:cs="Calibri" w:cstheme="minorHAnsi"/>
                <w:lang w:val="en-GB"/>
              </w:rPr>
              <w:t>Trees</w:t>
            </w:r>
            <w:r>
              <w:rPr>
                <w:rFonts w:cs="Calibri" w:cstheme="minorHAnsi"/>
              </w:rPr>
              <w:t xml:space="preserve">. </w:t>
            </w:r>
            <w:r>
              <w:rPr>
                <w:rFonts w:cs="Calibri" w:cstheme="minorHAnsi"/>
                <w:lang w:val="en-GB"/>
              </w:rPr>
              <w:t xml:space="preserve">Analysis of Technical Information and General of New Ideas. Moscow: Puls, 2006. 240 p.).  </w:t>
            </w:r>
          </w:p>
          <w:p>
            <w:pPr>
              <w:pStyle w:val="Normal"/>
              <w:spacing w:lineRule="auto" w:line="240" w:before="0" w:after="0"/>
              <w:jc w:val="both"/>
              <w:rPr/>
            </w:pPr>
            <w:r>
              <w:rPr>
                <w:rFonts w:cs="Calibri" w:cstheme="minorHAnsi"/>
                <w:lang w:val="en-US"/>
              </w:rPr>
              <w:t xml:space="preserve">3. Evolution Trees. Analysis of the technical information and generation of new ideas, IWINT, (in Chinese).  </w:t>
            </w:r>
          </w:p>
          <w:p>
            <w:pPr>
              <w:pStyle w:val="Normal"/>
              <w:spacing w:lineRule="auto" w:line="240" w:before="0" w:after="0"/>
              <w:jc w:val="both"/>
              <w:rPr/>
            </w:pPr>
            <w:r>
              <w:rPr>
                <w:rFonts w:cs="Calibri" w:cstheme="minorHAnsi"/>
              </w:rPr>
              <w:t xml:space="preserve">4. Шпаковский Н. А. ТРИЗ. Анализ технической информации и генерация новых идей. </w:t>
            </w:r>
            <w:r>
              <w:rPr>
                <w:rFonts w:cs="Calibri" w:cstheme="minorHAnsi"/>
                <w:lang w:val="en-GB"/>
              </w:rPr>
              <w:t>M</w:t>
            </w:r>
            <w:r>
              <w:rPr>
                <w:rFonts w:cs="Calibri" w:cstheme="minorHAnsi"/>
              </w:rPr>
              <w:t>.: Форум, 2010. 264 с. (</w:t>
            </w:r>
            <w:r>
              <w:rPr>
                <w:rFonts w:cs="Calibri" w:cstheme="minorHAnsi"/>
                <w:lang w:val="en-GB"/>
              </w:rPr>
              <w:t>M. A. Shpakouski. TRIZ</w:t>
            </w:r>
            <w:r>
              <w:rPr>
                <w:rFonts w:cs="Calibri" w:cstheme="minorHAnsi"/>
              </w:rPr>
              <w:t xml:space="preserve">. </w:t>
            </w:r>
            <w:r>
              <w:rPr>
                <w:rFonts w:cs="Calibri" w:cstheme="minorHAnsi"/>
                <w:lang w:val="en-GB"/>
              </w:rPr>
              <w:t>Analysis of Technical Information and Generation of New Ideas. Moscow</w:t>
            </w:r>
            <w:r>
              <w:rPr>
                <w:rFonts w:cs="Calibri" w:cstheme="minorHAnsi"/>
              </w:rPr>
              <w:t xml:space="preserve">: </w:t>
            </w:r>
            <w:r>
              <w:rPr>
                <w:rFonts w:cs="Calibri" w:cstheme="minorHAnsi"/>
                <w:lang w:val="en-GB"/>
              </w:rPr>
              <w:t>Forum</w:t>
            </w:r>
            <w:r>
              <w:rPr>
                <w:rFonts w:cs="Calibri" w:cstheme="minorHAnsi"/>
              </w:rPr>
              <w:t xml:space="preserve">, 2010. 264 </w:t>
            </w:r>
            <w:r>
              <w:rPr>
                <w:rFonts w:cs="Calibri" w:cstheme="minorHAnsi"/>
                <w:lang w:val="en-GB"/>
              </w:rPr>
              <w:t>p</w:t>
            </w:r>
            <w:r>
              <w:rPr>
                <w:rFonts w:cs="Calibri" w:cstheme="minorHAnsi"/>
              </w:rPr>
              <w:t xml:space="preserve">.). </w:t>
            </w:r>
          </w:p>
          <w:p>
            <w:pPr>
              <w:pStyle w:val="Normal"/>
              <w:spacing w:lineRule="auto" w:line="240" w:before="0" w:after="0"/>
              <w:jc w:val="both"/>
              <w:rPr/>
            </w:pPr>
            <w:r>
              <w:rPr>
                <w:rFonts w:cs="Calibri" w:cstheme="minorHAnsi"/>
              </w:rPr>
              <w:t>5. Шпаковский Н. А., Новицкая Е. Л. ТРИЗ. Практика целевого изобретательства. M.: Форум, 2011. 336 с (</w:t>
            </w:r>
            <w:r>
              <w:rPr>
                <w:rFonts w:cs="Calibri" w:cstheme="minorHAnsi"/>
                <w:lang w:val="en-GB"/>
              </w:rPr>
              <w:t>M</w:t>
            </w:r>
            <w:r>
              <w:rPr>
                <w:rFonts w:cs="Calibri" w:cstheme="minorHAnsi"/>
              </w:rPr>
              <w:t xml:space="preserve">. </w:t>
            </w:r>
            <w:r>
              <w:rPr>
                <w:rFonts w:cs="Calibri" w:cstheme="minorHAnsi"/>
                <w:lang w:val="en-GB"/>
              </w:rPr>
              <w:t>A</w:t>
            </w:r>
            <w:r>
              <w:rPr>
                <w:rFonts w:cs="Calibri" w:cstheme="minorHAnsi"/>
              </w:rPr>
              <w:t xml:space="preserve">. </w:t>
            </w:r>
            <w:r>
              <w:rPr>
                <w:rFonts w:cs="Calibri" w:cstheme="minorHAnsi"/>
                <w:lang w:val="en-GB"/>
              </w:rPr>
              <w:t>Shpakouski</w:t>
            </w:r>
            <w:r>
              <w:rPr>
                <w:rFonts w:cs="Calibri" w:cstheme="minorHAnsi"/>
              </w:rPr>
              <w:t xml:space="preserve">, </w:t>
            </w:r>
            <w:r>
              <w:rPr>
                <w:rFonts w:cs="Calibri" w:cstheme="minorHAnsi"/>
                <w:lang w:val="en-GB"/>
              </w:rPr>
              <w:t>Y</w:t>
            </w:r>
            <w:r>
              <w:rPr>
                <w:rFonts w:cs="Calibri" w:cstheme="minorHAnsi"/>
              </w:rPr>
              <w:t xml:space="preserve">. </w:t>
            </w:r>
            <w:r>
              <w:rPr>
                <w:rFonts w:cs="Calibri" w:cstheme="minorHAnsi"/>
                <w:lang w:val="en-GB"/>
              </w:rPr>
              <w:t>L</w:t>
            </w:r>
            <w:r>
              <w:rPr>
                <w:rFonts w:cs="Calibri" w:cstheme="minorHAnsi"/>
              </w:rPr>
              <w:t xml:space="preserve">. </w:t>
            </w:r>
            <w:r>
              <w:rPr>
                <w:rFonts w:cs="Calibri" w:cstheme="minorHAnsi"/>
                <w:lang w:val="en-GB"/>
              </w:rPr>
              <w:t>Novitskaya</w:t>
            </w:r>
            <w:r>
              <w:rPr>
                <w:rFonts w:cs="Calibri" w:cstheme="minorHAnsi"/>
              </w:rPr>
              <w:t xml:space="preserve">. </w:t>
            </w:r>
            <w:r>
              <w:rPr>
                <w:rFonts w:cs="Calibri" w:cstheme="minorHAnsi"/>
                <w:lang w:val="en-GB"/>
              </w:rPr>
              <w:t>TRIZ</w:t>
            </w:r>
            <w:r>
              <w:rPr>
                <w:rFonts w:cs="Calibri" w:cstheme="minorHAnsi"/>
              </w:rPr>
              <w:t xml:space="preserve">. </w:t>
            </w:r>
            <w:r>
              <w:rPr>
                <w:rFonts w:cs="Calibri" w:cstheme="minorHAnsi"/>
                <w:lang w:val="en-GB"/>
              </w:rPr>
              <w:t xml:space="preserve">Practice of Goal-Oriented Invention. Moscow: Forum, 2011. 336 p.).  </w:t>
            </w:r>
          </w:p>
          <w:p>
            <w:pPr>
              <w:pStyle w:val="Normal"/>
              <w:spacing w:lineRule="auto" w:line="240" w:before="0" w:after="0"/>
              <w:jc w:val="both"/>
              <w:rPr/>
            </w:pPr>
            <w:r>
              <w:rPr>
                <w:rFonts w:cs="Calibri" w:cstheme="minorHAnsi"/>
                <w:lang w:val="de-DE"/>
              </w:rPr>
              <w:t xml:space="preserve">6. M. A. Shpakouski, Y. L. Novitskaya. </w:t>
            </w:r>
            <w:r>
              <w:rPr>
                <w:rFonts w:cs="Calibri" w:cstheme="minorHAnsi"/>
                <w:lang w:val="en-GB"/>
              </w:rPr>
              <w:t>TRIZ. Practice of Goal-Oriented Invention. Republic of Korea,</w:t>
            </w:r>
            <w:r>
              <w:rPr>
                <w:rFonts w:cs="Calibri" w:cstheme="minorHAnsi"/>
              </w:rPr>
              <w:t xml:space="preserve"> 2011</w:t>
            </w:r>
            <w:r>
              <w:rPr>
                <w:rFonts w:cs="Calibri" w:cstheme="minorHAnsi"/>
                <w:lang w:val="en-GB"/>
              </w:rPr>
              <w:t xml:space="preserve"> </w:t>
            </w:r>
            <w:r>
              <w:rPr>
                <w:rFonts w:cs="Calibri" w:cstheme="minorHAnsi"/>
              </w:rPr>
              <w:t>(</w:t>
            </w:r>
            <w:r>
              <w:rPr>
                <w:rFonts w:cs="Calibri" w:cstheme="minorHAnsi"/>
                <w:lang w:val="en-GB"/>
              </w:rPr>
              <w:t>in Korean).</w:t>
            </w:r>
          </w:p>
          <w:p>
            <w:pPr>
              <w:pStyle w:val="Normal"/>
              <w:spacing w:lineRule="auto" w:line="240" w:before="0" w:after="0"/>
              <w:rPr/>
            </w:pPr>
            <w:r>
              <w:rPr>
                <w:rFonts w:cs="Calibri" w:cstheme="minorHAnsi"/>
                <w:lang w:val="en-US"/>
              </w:rPr>
              <w:t xml:space="preserve">7. Tree of technological evolution. Ways to new business opportunities. </w:t>
            </w:r>
            <w:r>
              <w:rPr>
                <w:rFonts w:cs="Calibri" w:cstheme="minorHAnsi"/>
              </w:rPr>
              <w:t>Amazon, 2015.</w:t>
            </w:r>
          </w:p>
          <w:p>
            <w:pPr>
              <w:pStyle w:val="Normal"/>
              <w:spacing w:lineRule="auto" w:line="240" w:before="0" w:after="0"/>
              <w:jc w:val="both"/>
              <w:rPr/>
            </w:pPr>
            <w:r>
              <w:rPr>
                <w:rFonts w:cs="Calibri" w:cstheme="minorHAnsi"/>
              </w:rPr>
              <w:t xml:space="preserve">8. Шпаковский Н. А. ОТСМ-ТРИЗ. Подходы и практика применения. М.  ИНФРА. </w:t>
            </w:r>
            <w:r>
              <w:rPr>
                <w:rFonts w:cs="Calibri" w:cstheme="minorHAnsi"/>
                <w:lang w:val="en-GB"/>
              </w:rPr>
              <w:t xml:space="preserve">2018 (M. A. Shpakouski. OTSM-TRIZ. Approaches and Practical Use. Moscow: Infra, 2018). </w:t>
            </w:r>
          </w:p>
          <w:p>
            <w:pPr>
              <w:pStyle w:val="Normal"/>
              <w:spacing w:lineRule="auto" w:line="240" w:before="0" w:after="113"/>
              <w:jc w:val="both"/>
              <w:rPr/>
            </w:pPr>
            <w:r>
              <w:rPr>
                <w:rFonts w:cs="Calibri" w:cstheme="minorHAnsi"/>
              </w:rPr>
              <w:t>9. Карлов А. Г., Шпаковский Н. А. Идеи, изобретения, инновации в сфере  автоматизации  технологий  и  технических  систем. Серия «Вузовский учебник». М.: Центркаталог.2019 (</w:t>
            </w:r>
            <w:r>
              <w:rPr>
                <w:rFonts w:cs="Calibri" w:cstheme="minorHAnsi"/>
                <w:lang w:val="en-GB"/>
              </w:rPr>
              <w:t>A</w:t>
            </w:r>
            <w:r>
              <w:rPr>
                <w:rFonts w:cs="Calibri" w:cstheme="minorHAnsi"/>
              </w:rPr>
              <w:t xml:space="preserve">. </w:t>
            </w:r>
            <w:r>
              <w:rPr>
                <w:rFonts w:cs="Calibri" w:cstheme="minorHAnsi"/>
                <w:lang w:val="en-GB"/>
              </w:rPr>
              <w:t>G</w:t>
            </w:r>
            <w:r>
              <w:rPr>
                <w:rFonts w:cs="Calibri" w:cstheme="minorHAnsi"/>
              </w:rPr>
              <w:t xml:space="preserve">. </w:t>
            </w:r>
            <w:r>
              <w:rPr>
                <w:rFonts w:cs="Calibri" w:cstheme="minorHAnsi"/>
                <w:lang w:val="en-GB"/>
              </w:rPr>
              <w:t>Karlov</w:t>
            </w:r>
            <w:r>
              <w:rPr>
                <w:rFonts w:cs="Calibri" w:cstheme="minorHAnsi"/>
              </w:rPr>
              <w:t xml:space="preserve">, </w:t>
            </w:r>
            <w:r>
              <w:rPr>
                <w:rFonts w:cs="Calibri" w:cstheme="minorHAnsi"/>
                <w:lang w:val="en-GB"/>
              </w:rPr>
              <w:t>M</w:t>
            </w:r>
            <w:r>
              <w:rPr>
                <w:rFonts w:cs="Calibri" w:cstheme="minorHAnsi"/>
              </w:rPr>
              <w:t xml:space="preserve">. </w:t>
            </w:r>
            <w:r>
              <w:rPr>
                <w:rFonts w:cs="Calibri" w:cstheme="minorHAnsi"/>
                <w:lang w:val="en-GB"/>
              </w:rPr>
              <w:t>A</w:t>
            </w:r>
            <w:r>
              <w:rPr>
                <w:rFonts w:cs="Calibri" w:cstheme="minorHAnsi"/>
              </w:rPr>
              <w:t xml:space="preserve">. </w:t>
            </w:r>
            <w:r>
              <w:rPr>
                <w:rFonts w:cs="Calibri" w:cstheme="minorHAnsi"/>
                <w:lang w:val="en-GB"/>
              </w:rPr>
              <w:t>Shpakouski</w:t>
            </w:r>
            <w:r>
              <w:rPr>
                <w:rFonts w:cs="Calibri" w:cstheme="minorHAnsi"/>
              </w:rPr>
              <w:t xml:space="preserve">. </w:t>
            </w:r>
            <w:r>
              <w:rPr>
                <w:rFonts w:cs="Calibri" w:cstheme="minorHAnsi"/>
                <w:lang w:val="en-GB"/>
              </w:rPr>
              <w:t>Ideas, Inventions. Innovation in Automation of Technologies and Technical Systems. University Textbook series. Moscow</w:t>
            </w:r>
            <w:r>
              <w:rPr>
                <w:rFonts w:cs="Calibri" w:cstheme="minorHAnsi"/>
              </w:rPr>
              <w:t xml:space="preserve">: </w:t>
            </w:r>
            <w:r>
              <w:rPr>
                <w:rFonts w:cs="Calibri" w:cstheme="minorHAnsi"/>
                <w:lang w:val="en-GB"/>
              </w:rPr>
              <w:t>Tsentrkatalog</w:t>
            </w:r>
            <w:r>
              <w:rPr>
                <w:rFonts w:cs="Calibri" w:cstheme="minorHAnsi"/>
              </w:rPr>
              <w:t xml:space="preserve">, 2019). </w:t>
            </w:r>
          </w:p>
          <w:p>
            <w:pPr>
              <w:pStyle w:val="Normal"/>
              <w:tabs>
                <w:tab w:val="left" w:pos="3649" w:leader="none"/>
                <w:tab w:val="left" w:pos="5349" w:leader="none"/>
                <w:tab w:val="left" w:pos="7992" w:leader="none"/>
                <w:tab w:val="left" w:pos="9409" w:leader="none"/>
                <w:tab w:val="left" w:pos="10778" w:leader="none"/>
              </w:tabs>
              <w:spacing w:lineRule="auto" w:line="240" w:before="0" w:after="0"/>
              <w:jc w:val="both"/>
              <w:rPr/>
            </w:pPr>
            <w:r>
              <w:rPr>
                <w:rFonts w:cs="Calibri" w:cstheme="minorHAnsi"/>
                <w:bCs/>
                <w:szCs w:val="20"/>
                <w:lang w:val="en-GB"/>
              </w:rPr>
              <w:t xml:space="preserve">He is the owner and author of the Generator inventors’ website at </w:t>
            </w:r>
            <w:hyperlink r:id="rId18">
              <w:r>
                <w:rPr>
                  <w:rStyle w:val="Internetverknpfung"/>
                  <w:rFonts w:cs="Calibri" w:cstheme="minorHAnsi"/>
                  <w:bCs/>
                  <w:szCs w:val="20"/>
                  <w:lang w:val="en-GB"/>
                </w:rPr>
                <w:t>http://www.gnrtr.com</w:t>
              </w:r>
            </w:hyperlink>
            <w:r>
              <w:rPr>
                <w:rFonts w:cs="Calibri" w:cstheme="minorHAnsi"/>
                <w:bCs/>
                <w:szCs w:val="20"/>
                <w:lang w:val="en-GB"/>
              </w:rPr>
              <w:t xml:space="preserve">, http://www.gnrtr.ru  </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Cs/>
                <w:szCs w:val="20"/>
              </w:rPr>
            </w:pPr>
            <w:r>
              <w:rPr>
                <w:rFonts w:cs="Calibri" w:cstheme="minorHAnsi"/>
                <w:bCs/>
                <w:szCs w:val="20"/>
                <w:lang w:val="en-US"/>
              </w:rPr>
              <w:t>Peter Chuksin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Candidate</w:t>
            </w:r>
            <w:r>
              <w:rPr>
                <w:rFonts w:cs="Calibri" w:cstheme="minorHAnsi"/>
                <w:lang w:val="en-US"/>
              </w:rPr>
              <w:t xml:space="preserve"> </w:t>
            </w:r>
            <w:r>
              <w:rPr>
                <w:rFonts w:cs="Calibri" w:cstheme="minorHAnsi"/>
                <w:lang w:val="en-GB"/>
              </w:rPr>
              <w:t>of</w:t>
            </w:r>
            <w:r>
              <w:rPr>
                <w:rFonts w:cs="Calibri" w:cstheme="minorHAnsi"/>
                <w:lang w:val="en-US"/>
              </w:rPr>
              <w:t xml:space="preserve"> </w:t>
            </w:r>
            <w:r>
              <w:rPr>
                <w:rFonts w:cs="Calibri" w:cstheme="minorHAnsi"/>
                <w:lang w:val="en-GB"/>
              </w:rPr>
              <w:t>Technical</w:t>
            </w:r>
            <w:r>
              <w:rPr>
                <w:rFonts w:cs="Calibri" w:cstheme="minorHAnsi"/>
                <w:lang w:val="en-US"/>
              </w:rPr>
              <w:t xml:space="preserve"> </w:t>
            </w:r>
            <w:r>
              <w:rPr>
                <w:rFonts w:cs="Calibri" w:cstheme="minorHAnsi"/>
                <w:lang w:val="en-GB"/>
              </w:rPr>
              <w:t>Sciences, 4</w:t>
            </w:r>
            <w:r>
              <w:rPr>
                <w:rFonts w:cs="Calibri" w:cstheme="minorHAnsi"/>
                <w:vertAlign w:val="superscript"/>
                <w:lang w:val="en-GB"/>
              </w:rPr>
              <w:t>th</w:t>
            </w:r>
            <w:r>
              <w:rPr>
                <w:rFonts w:cs="Calibri" w:cstheme="minorHAnsi"/>
                <w:lang w:val="en-GB"/>
              </w:rPr>
              <w:t>-level TRIZ consultant.</w:t>
            </w:r>
          </w:p>
          <w:p>
            <w:pPr>
              <w:pStyle w:val="Normal"/>
              <w:spacing w:lineRule="auto" w:line="240" w:before="0" w:after="57"/>
              <w:jc w:val="both"/>
              <w:rPr/>
            </w:pPr>
            <w:r>
              <w:rPr>
                <w:rFonts w:cs="Calibri" w:cstheme="minorHAnsi"/>
                <w:lang w:val="en-GB"/>
              </w:rPr>
              <w:t>Expert</w:t>
            </w:r>
            <w:r>
              <w:rPr>
                <w:rFonts w:cs="Calibri" w:cstheme="minorHAnsi"/>
                <w:lang w:val="en-US"/>
              </w:rPr>
              <w:t xml:space="preserve"> </w:t>
            </w:r>
            <w:r>
              <w:rPr>
                <w:rFonts w:cs="Calibri" w:cstheme="minorHAnsi"/>
                <w:lang w:val="en-GB"/>
              </w:rPr>
              <w:t>in</w:t>
            </w:r>
            <w:r>
              <w:rPr>
                <w:rFonts w:cs="Calibri" w:cstheme="minorHAnsi"/>
                <w:lang w:val="en-US"/>
              </w:rPr>
              <w:t xml:space="preserve"> </w:t>
            </w:r>
            <w:r>
              <w:rPr>
                <w:rFonts w:cs="Calibri" w:cstheme="minorHAnsi"/>
                <w:lang w:val="en-GB"/>
              </w:rPr>
              <w:t>inventive</w:t>
            </w:r>
            <w:r>
              <w:rPr>
                <w:rFonts w:cs="Calibri" w:cstheme="minorHAnsi"/>
                <w:lang w:val="en-US"/>
              </w:rPr>
              <w:t xml:space="preserve"> </w:t>
            </w:r>
            <w:r>
              <w:rPr>
                <w:rFonts w:cs="Calibri" w:cstheme="minorHAnsi"/>
                <w:lang w:val="en-GB"/>
              </w:rPr>
              <w:t>problem</w:t>
            </w:r>
            <w:r>
              <w:rPr>
                <w:rFonts w:cs="Calibri" w:cstheme="minorHAnsi"/>
                <w:lang w:val="en-US"/>
              </w:rPr>
              <w:t>-</w:t>
            </w:r>
            <w:r>
              <w:rPr>
                <w:rFonts w:cs="Calibri" w:cstheme="minorHAnsi"/>
                <w:lang w:val="en-GB"/>
              </w:rPr>
              <w:t>solving</w:t>
            </w:r>
            <w:r>
              <w:rPr>
                <w:rFonts w:cs="Calibri" w:cstheme="minorHAnsi"/>
                <w:lang w:val="en-US"/>
              </w:rPr>
              <w:t xml:space="preserve">, </w:t>
            </w:r>
            <w:r>
              <w:rPr>
                <w:rFonts w:cs="Calibri" w:cstheme="minorHAnsi"/>
                <w:lang w:val="en-GB"/>
              </w:rPr>
              <w:t>implementing</w:t>
            </w:r>
            <w:r>
              <w:rPr>
                <w:rFonts w:cs="Calibri" w:cstheme="minorHAnsi"/>
                <w:lang w:val="en-US"/>
              </w:rPr>
              <w:t xml:space="preserve"> </w:t>
            </w:r>
            <w:r>
              <w:rPr>
                <w:rFonts w:cs="Calibri" w:cstheme="minorHAnsi"/>
                <w:lang w:val="en-GB"/>
              </w:rPr>
              <w:t>sophisticated</w:t>
            </w:r>
            <w:r>
              <w:rPr>
                <w:rFonts w:cs="Calibri" w:cstheme="minorHAnsi"/>
                <w:lang w:val="en-US"/>
              </w:rPr>
              <w:t xml:space="preserve"> </w:t>
            </w:r>
            <w:r>
              <w:rPr>
                <w:rFonts w:cs="Calibri" w:cstheme="minorHAnsi"/>
                <w:lang w:val="en-GB"/>
              </w:rPr>
              <w:t>projects</w:t>
            </w:r>
            <w:r>
              <w:rPr>
                <w:rFonts w:cs="Calibri" w:cstheme="minorHAnsi"/>
                <w:lang w:val="en-US"/>
              </w:rPr>
              <w:t xml:space="preserve">, </w:t>
            </w:r>
            <w:r>
              <w:rPr>
                <w:rFonts w:cs="Calibri" w:cstheme="minorHAnsi"/>
                <w:lang w:val="en-GB"/>
              </w:rPr>
              <w:t>and</w:t>
            </w:r>
            <w:r>
              <w:rPr>
                <w:rFonts w:cs="Calibri" w:cstheme="minorHAnsi"/>
                <w:lang w:val="en-US"/>
              </w:rPr>
              <w:t xml:space="preserve"> </w:t>
            </w:r>
            <w:r>
              <w:rPr>
                <w:rFonts w:cs="Calibri" w:cstheme="minorHAnsi"/>
                <w:lang w:val="en-GB"/>
              </w:rPr>
              <w:t>training</w:t>
            </w:r>
            <w:r>
              <w:rPr>
                <w:rFonts w:cs="Calibri" w:cstheme="minorHAnsi"/>
                <w:lang w:val="en-US"/>
              </w:rPr>
              <w:t xml:space="preserve"> </w:t>
            </w:r>
            <w:r>
              <w:rPr>
                <w:rFonts w:cs="Calibri" w:cstheme="minorHAnsi"/>
                <w:lang w:val="en-GB"/>
              </w:rPr>
              <w:t>in</w:t>
            </w:r>
            <w:r>
              <w:rPr>
                <w:rFonts w:cs="Calibri" w:cstheme="minorHAnsi"/>
                <w:lang w:val="en-US"/>
              </w:rPr>
              <w:t xml:space="preserve"> </w:t>
            </w:r>
            <w:r>
              <w:rPr>
                <w:rFonts w:cs="Calibri" w:cstheme="minorHAnsi"/>
                <w:lang w:val="en-GB"/>
              </w:rPr>
              <w:t>systemic</w:t>
            </w:r>
            <w:r>
              <w:rPr>
                <w:rFonts w:cs="Calibri" w:cstheme="minorHAnsi"/>
                <w:lang w:val="en-US"/>
              </w:rPr>
              <w:t xml:space="preserve"> </w:t>
            </w:r>
            <w:r>
              <w:rPr>
                <w:rFonts w:cs="Calibri" w:cstheme="minorHAnsi"/>
                <w:lang w:val="en-GB"/>
              </w:rPr>
              <w:t>invention</w:t>
            </w:r>
            <w:r>
              <w:rPr>
                <w:rFonts w:cs="Calibri" w:cstheme="minorHAnsi"/>
                <w:lang w:val="en-US"/>
              </w:rPr>
              <w:t xml:space="preserve"> </w:t>
            </w:r>
            <w:r>
              <w:rPr>
                <w:rFonts w:cs="Calibri" w:cstheme="minorHAnsi"/>
                <w:lang w:val="en-GB"/>
              </w:rPr>
              <w:t>with</w:t>
            </w:r>
            <w:r>
              <w:rPr>
                <w:rFonts w:cs="Calibri" w:cstheme="minorHAnsi"/>
                <w:lang w:val="en-US"/>
              </w:rPr>
              <w:t xml:space="preserve"> </w:t>
            </w:r>
            <w:r>
              <w:rPr>
                <w:rFonts w:cs="Calibri" w:cstheme="minorHAnsi"/>
                <w:lang w:val="en-GB"/>
              </w:rPr>
              <w:t>the</w:t>
            </w:r>
            <w:r>
              <w:rPr>
                <w:rFonts w:cs="Calibri" w:cstheme="minorHAnsi"/>
                <w:lang w:val="en-US"/>
              </w:rPr>
              <w:t xml:space="preserve"> </w:t>
            </w:r>
            <w:r>
              <w:rPr>
                <w:rFonts w:cs="Calibri" w:cstheme="minorHAnsi"/>
                <w:lang w:val="en-GB"/>
              </w:rPr>
              <w:t>following</w:t>
            </w:r>
            <w:r>
              <w:rPr>
                <w:rFonts w:cs="Calibri" w:cstheme="minorHAnsi"/>
                <w:lang w:val="en-US"/>
              </w:rPr>
              <w:t xml:space="preserve"> </w:t>
            </w:r>
            <w:r>
              <w:rPr>
                <w:rFonts w:cs="Calibri" w:cstheme="minorHAnsi"/>
                <w:lang w:val="en-GB"/>
              </w:rPr>
              <w:t>methods applied: OTSM-TRIZ, prediction of technical-systems development, cost-benefit analysis</w:t>
            </w:r>
            <w:r>
              <w:rPr>
                <w:rFonts w:cs="Calibri" w:cstheme="minorHAnsi"/>
                <w:lang w:val="en-US"/>
              </w:rPr>
              <w:t xml:space="preserve"> (</w:t>
            </w:r>
            <w:r>
              <w:rPr>
                <w:rFonts w:cs="Calibri" w:cstheme="minorHAnsi"/>
                <w:lang w:val="en-GB"/>
              </w:rPr>
              <w:t>CBA</w:t>
            </w:r>
            <w:r>
              <w:rPr>
                <w:rFonts w:cs="Calibri" w:cstheme="minorHAnsi"/>
                <w:lang w:val="en-US"/>
              </w:rPr>
              <w:t>), development of patent-package protection and circumvention of competing patents.</w:t>
            </w:r>
          </w:p>
          <w:p>
            <w:pPr>
              <w:pStyle w:val="Normal"/>
              <w:spacing w:lineRule="auto" w:line="240" w:before="0" w:after="57"/>
              <w:jc w:val="both"/>
              <w:rPr/>
            </w:pPr>
            <w:r>
              <w:rPr>
                <w:rFonts w:cs="Calibri" w:cstheme="minorHAnsi"/>
                <w:lang w:val="en-GB"/>
              </w:rPr>
              <w:t>He has many years of experience in consulting and training. He cooperated with LG Group’s companies (LG Electronics, LG Electronics Institute of Technology, LG Cable, LG Industrial Systems, LG Innotek, LG-Philips), POSCO, Hyundai, Rotem (Republic of Korea) for a long time. He completed a number of consulting projects in cooperation with Belarusian, EU, and Russian companies.</w:t>
            </w:r>
          </w:p>
          <w:p>
            <w:pPr>
              <w:pStyle w:val="Normal"/>
              <w:spacing w:lineRule="auto" w:line="240" w:before="0" w:after="57"/>
              <w:jc w:val="both"/>
              <w:rPr/>
            </w:pPr>
            <w:r>
              <w:rPr>
                <w:rFonts w:cs="Calibri" w:cstheme="minorHAnsi"/>
                <w:lang w:val="en-GB"/>
              </w:rPr>
              <w:t>He is an active participant of the Invention Machine project (IMLab, IMCorp), a senior researcher of Minsk branch of IMCorp (USA).</w:t>
            </w:r>
          </w:p>
          <w:p>
            <w:pPr>
              <w:pStyle w:val="Normal"/>
              <w:spacing w:lineRule="auto" w:line="240" w:before="0" w:after="0"/>
              <w:rPr/>
            </w:pPr>
            <w:r>
              <w:rPr>
                <w:rFonts w:cs="Calibri" w:cstheme="minorHAnsi"/>
                <w:lang w:val="en-GB"/>
              </w:rPr>
              <w:t xml:space="preserve">For his publication list please refer to </w:t>
            </w:r>
            <w:hyperlink r:id="rId19">
              <w:r>
                <w:rPr>
                  <w:rStyle w:val="Internetverknpfung"/>
                  <w:lang w:val="en-GB"/>
                </w:rPr>
                <w:t>https://www.trizland.ru/authors/159</w:t>
              </w:r>
            </w:hyperlink>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Cs/>
                <w:szCs w:val="20"/>
              </w:rPr>
            </w:pPr>
            <w:r>
              <w:rPr>
                <w:rFonts w:cs="Calibri" w:cstheme="minorHAnsi"/>
                <w:bCs/>
                <w:szCs w:val="20"/>
                <w:lang w:val="en-US"/>
              </w:rPr>
              <w:t>Anton Ivanou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57"/>
              <w:rPr/>
            </w:pPr>
            <w:r>
              <w:rPr>
                <w:rFonts w:cs="Calibri" w:cstheme="minorHAnsi"/>
                <w:lang w:val="en-GB"/>
              </w:rPr>
              <w:t>Design</w:t>
            </w:r>
            <w:r>
              <w:rPr>
                <w:rFonts w:cs="Calibri" w:cstheme="minorHAnsi"/>
                <w:lang w:val="en-US"/>
              </w:rPr>
              <w:t xml:space="preserve"> </w:t>
            </w:r>
            <w:r>
              <w:rPr>
                <w:rFonts w:cs="Calibri" w:cstheme="minorHAnsi"/>
                <w:lang w:val="en-GB"/>
              </w:rPr>
              <w:t>engineering</w:t>
            </w:r>
            <w:r>
              <w:rPr>
                <w:rFonts w:cs="Calibri" w:cstheme="minorHAnsi"/>
                <w:lang w:val="en-US"/>
              </w:rPr>
              <w:t xml:space="preserve">, </w:t>
            </w:r>
            <w:r>
              <w:rPr>
                <w:rFonts w:cs="Calibri" w:cstheme="minorHAnsi"/>
                <w:lang w:val="en-GB"/>
              </w:rPr>
              <w:t>head</w:t>
            </w:r>
            <w:r>
              <w:rPr>
                <w:rFonts w:cs="Calibri" w:cstheme="minorHAnsi"/>
                <w:lang w:val="en-US"/>
              </w:rPr>
              <w:t xml:space="preserve"> </w:t>
            </w:r>
            <w:r>
              <w:rPr>
                <w:rFonts w:cs="Calibri" w:cstheme="minorHAnsi"/>
                <w:lang w:val="en-GB"/>
              </w:rPr>
              <w:t>of</w:t>
            </w:r>
            <w:r>
              <w:rPr>
                <w:rFonts w:cs="Calibri" w:cstheme="minorHAnsi"/>
                <w:lang w:val="en-US"/>
              </w:rPr>
              <w:t xml:space="preserve"> </w:t>
            </w:r>
            <w:r>
              <w:rPr>
                <w:rFonts w:cs="Calibri" w:cstheme="minorHAnsi"/>
                <w:lang w:val="en-GB"/>
              </w:rPr>
              <w:t>the</w:t>
            </w:r>
            <w:r>
              <w:rPr>
                <w:rFonts w:cs="Calibri" w:cstheme="minorHAnsi"/>
                <w:lang w:val="en-US"/>
              </w:rPr>
              <w:t xml:space="preserve"> </w:t>
            </w:r>
            <w:r>
              <w:rPr>
                <w:rFonts w:cs="Calibri" w:cstheme="minorHAnsi"/>
                <w:lang w:val="en-GB"/>
              </w:rPr>
              <w:t>cost</w:t>
            </w:r>
            <w:r>
              <w:rPr>
                <w:rFonts w:cs="Calibri" w:cstheme="minorHAnsi"/>
                <w:lang w:val="en-US"/>
              </w:rPr>
              <w:t>-</w:t>
            </w:r>
            <w:r>
              <w:rPr>
                <w:rFonts w:cs="Calibri" w:cstheme="minorHAnsi"/>
                <w:lang w:val="en-GB"/>
              </w:rPr>
              <w:t>benefit analysis bureau</w:t>
            </w:r>
          </w:p>
          <w:p>
            <w:pPr>
              <w:pStyle w:val="Normal"/>
              <w:spacing w:lineRule="auto" w:line="240" w:before="0" w:after="57"/>
              <w:rPr/>
            </w:pPr>
            <w:r>
              <w:rPr>
                <w:rFonts w:cs="Calibri" w:cstheme="minorHAnsi"/>
                <w:lang w:val="en-GB"/>
              </w:rPr>
              <w:t>TRIZ consultant, TRIZ trainer, seven years of experience</w:t>
            </w:r>
          </w:p>
          <w:p>
            <w:pPr>
              <w:pStyle w:val="Normal"/>
              <w:spacing w:lineRule="auto" w:line="240" w:before="0" w:after="57"/>
              <w:jc w:val="both"/>
              <w:rPr>
                <w:bCs/>
                <w:szCs w:val="20"/>
              </w:rPr>
            </w:pPr>
            <w:r>
              <w:rPr>
                <w:rFonts w:cs="Calibri" w:cstheme="minorHAnsi"/>
                <w:bCs/>
                <w:szCs w:val="20"/>
                <w:lang w:val="en-GB"/>
              </w:rPr>
              <w:t xml:space="preserve">Participant of the developing team of the TRIZ Trainer and </w:t>
            </w:r>
            <w:r>
              <w:rPr>
                <w:rFonts w:cs="Calibri" w:cstheme="minorHAnsi"/>
                <w:bCs/>
                <w:szCs w:val="20"/>
                <w:lang w:val="en-US"/>
              </w:rPr>
              <w:t>Solving</w:t>
            </w:r>
            <w:r>
              <w:rPr>
                <w:rFonts w:cs="Calibri" w:cstheme="minorHAnsi"/>
                <w:bCs/>
                <w:szCs w:val="20"/>
                <w:lang w:val="en-GB"/>
              </w:rPr>
              <w:t xml:space="preserve"> </w:t>
            </w:r>
            <w:r>
              <w:rPr>
                <w:rFonts w:cs="Calibri" w:cstheme="minorHAnsi"/>
                <w:bCs/>
                <w:szCs w:val="20"/>
                <w:lang w:val="en-US"/>
              </w:rPr>
              <w:t xml:space="preserve">Mill </w:t>
            </w:r>
            <w:r>
              <w:rPr>
                <w:rFonts w:cs="Calibri" w:cstheme="minorHAnsi"/>
                <w:bCs/>
                <w:szCs w:val="20"/>
                <w:lang w:val="en-GB"/>
              </w:rPr>
              <w:t>projects</w:t>
            </w:r>
          </w:p>
        </w:tc>
      </w:tr>
    </w:tbl>
    <w:p>
      <w:pPr>
        <w:pStyle w:val="Normal"/>
        <w:rPr>
          <w:b/>
          <w:b/>
          <w:sz w:val="22"/>
        </w:rPr>
      </w:pPr>
      <w:r>
        <w:rPr>
          <w:b/>
          <w:sz w:val="22"/>
        </w:rPr>
      </w:r>
      <w:r>
        <w:br w:type="page"/>
      </w:r>
    </w:p>
    <w:p>
      <w:pPr>
        <w:pStyle w:val="Text1"/>
        <w:ind w:left="0" w:hanging="0"/>
        <w:rPr/>
      </w:pPr>
      <w:bookmarkStart w:id="103" w:name="_Toc24546607"/>
      <w:r>
        <w:rPr>
          <w:rStyle w:val="Heading2Char"/>
          <w:color w:val="auto"/>
          <w:sz w:val="22"/>
        </w:rPr>
        <w:t>III.4. Cooperation arrangements across the partnership</w:t>
      </w:r>
      <w:bookmarkEnd w:id="103"/>
      <w:r>
        <w:rPr>
          <w:rStyle w:val="Heading2Char"/>
          <w:color w:val="auto"/>
          <w:sz w:val="22"/>
        </w:rPr>
        <w:t xml:space="preserve"> </w:t>
      </w:r>
    </w:p>
    <w:p>
      <w:pPr>
        <w:pStyle w:val="Normal"/>
        <w:jc w:val="both"/>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04" w:name="_Toc24546608"/>
      <w:r>
        <w:rPr>
          <w:rStyle w:val="Heading2Char"/>
          <w:color w:val="auto"/>
          <w:sz w:val="22"/>
        </w:rPr>
        <w:t>III.5. Partner Country participation</w:t>
      </w:r>
      <w:bookmarkEnd w:id="104"/>
      <w:r>
        <w:rPr>
          <w:rStyle w:val="Funotenanker"/>
          <w:rStyle w:val="Funotenanker"/>
          <w:szCs w:val="22"/>
          <w:lang w:eastAsia="en-GB"/>
        </w:rPr>
        <w:footnoteReference w:id="3"/>
      </w:r>
      <w:r>
        <w:rPr>
          <w:rStyle w:val="Heading2Char"/>
          <w:color w:val="auto"/>
          <w:sz w:val="22"/>
        </w:rPr>
        <w:t xml:space="preserve"> (where applicable) </w:t>
      </w:r>
    </w:p>
    <w:p>
      <w:pPr>
        <w:pStyle w:val="Normal"/>
        <w:jc w:val="both"/>
        <w:rPr/>
      </w:pPr>
      <w:r>
        <w:rPr>
          <w:b/>
          <w:szCs w:val="20"/>
        </w:rPr>
        <w:t>This section should be completed, if the application involves organisations from Erasmus+ Partner Countries.</w:t>
      </w:r>
    </w:p>
    <w:p>
      <w:pPr>
        <w:pStyle w:val="Normal"/>
        <w:jc w:val="both"/>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pPr>
      <w:bookmarkStart w:id="105" w:name="__RefHeading___Toc4482_3374853057"/>
      <w:bookmarkStart w:id="106" w:name="_Toc24546609"/>
      <w:bookmarkEnd w:id="105"/>
      <w:r>
        <w:rPr>
          <w:rFonts w:ascii="Times New Roman" w:hAnsi="Times New Roman"/>
        </w:rPr>
        <w:t>PART IV. Impact, dissemination, exploitation, and sustainability</w:t>
      </w:r>
      <w:bookmarkEnd w:id="10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107" w:name="_Toc24546610"/>
      <w:r>
        <w:rPr>
          <w:rStyle w:val="Heading2Char"/>
          <w:color w:val="auto"/>
          <w:sz w:val="22"/>
        </w:rPr>
        <w:t>IV.1. Target groups</w:t>
      </w:r>
      <w:bookmarkEnd w:id="107"/>
    </w:p>
    <w:p>
      <w:pPr>
        <w:pStyle w:val="Normal"/>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108" w:name="_Toc24546611"/>
      <w:r>
        <w:rPr>
          <w:rStyle w:val="Heading2Char"/>
          <w:color w:val="auto"/>
          <w:sz w:val="22"/>
        </w:rPr>
        <w:t>IV.2. Sustainability and impact</w:t>
      </w:r>
      <w:bookmarkEnd w:id="108"/>
      <w:r>
        <w:rPr>
          <w:rStyle w:val="Heading2Char"/>
          <w:color w:val="auto"/>
          <w:sz w:val="22"/>
        </w:rPr>
        <w:t xml:space="preserve"> </w:t>
      </w:r>
    </w:p>
    <w:p>
      <w:pPr>
        <w:pStyle w:val="Normal"/>
        <w:jc w:val="both"/>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pPr>
      <w:r>
        <w:rPr>
          <w:i/>
        </w:rPr>
        <w:t>IV.2.5 Overview of short term results and long term outcome indicators</w:t>
      </w:r>
    </w:p>
    <w:p>
      <w:pPr>
        <w:pStyle w:val="Normal"/>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Short term results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2"/>
        <w:gridCol w:w="2494"/>
        <w:gridCol w:w="2663"/>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Long term outcomes</w:t>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Target groups/potential beneficiaries</w:t>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Quantitative indicators</w:t>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2"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4"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109" w:name="_Toc24546612"/>
      <w:r>
        <w:rPr>
          <w:rStyle w:val="Heading2Char"/>
          <w:color w:val="auto"/>
          <w:sz w:val="22"/>
        </w:rPr>
        <w:t>IV.3. Dissemination and exploitation strategy</w:t>
      </w:r>
      <w:bookmarkEnd w:id="109"/>
    </w:p>
    <w:p>
      <w:pPr>
        <w:pStyle w:val="Normal"/>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110" w:name="_Toc24546613"/>
      <w:r>
        <w:rPr>
          <w:rStyle w:val="Heading2Char"/>
          <w:color w:val="auto"/>
          <w:sz w:val="22"/>
        </w:rPr>
        <w:t>IV.4. Open access to the educational resources</w:t>
      </w:r>
      <w:bookmarkEnd w:id="110"/>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In this direction the project follows the principles of Open Culture and in particular presents the experience gathered on a public platform for subsequent use. We build on the experience and structures of the Leipzig WUMM Project, in which a corresponding open infrastructure has been built around a github organizational account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111" w:name="__RefHeading___Toc4484_3374853057"/>
      <w:bookmarkStart w:id="112" w:name="_Toc24546614"/>
      <w:bookmarkEnd w:id="111"/>
      <w:r>
        <w:rPr>
          <w:rFonts w:ascii="Times New Roman" w:hAnsi="Times New Roman"/>
        </w:rPr>
        <w:t>PART V. Specific arrangements regarding learning mobility (if applicable)</w:t>
      </w:r>
      <w:bookmarkEnd w:id="112"/>
    </w:p>
    <w:p>
      <w:pPr>
        <w:pStyle w:val="Normal"/>
        <w:jc w:val="both"/>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113" w:name="_Toc24546615"/>
      <w:r>
        <w:rPr>
          <w:rStyle w:val="Heading2Char"/>
          <w:color w:val="auto"/>
          <w:sz w:val="22"/>
        </w:rPr>
        <w:t>V.1. Added value</w:t>
      </w:r>
      <w:bookmarkEnd w:id="11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114" w:name="_Toc24546616"/>
      <w:r>
        <w:rPr>
          <w:rStyle w:val="Heading2Char"/>
          <w:color w:val="auto"/>
          <w:sz w:val="22"/>
        </w:rPr>
        <w:t>V.2. Implementation of the learning mobility</w:t>
      </w:r>
      <w:bookmarkEnd w:id="114"/>
    </w:p>
    <w:p>
      <w:pPr>
        <w:pStyle w:val="Normal"/>
        <w:jc w:val="both"/>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pPr>
      <w:bookmarkStart w:id="115" w:name="__RefHeading___Toc4486_3374853057"/>
      <w:bookmarkStart w:id="116" w:name="_Toc24546617"/>
      <w:bookmarkEnd w:id="115"/>
      <w:r>
        <w:rPr>
          <w:rFonts w:ascii="Times New Roman" w:hAnsi="Times New Roman"/>
        </w:rPr>
        <w:t>PART VI. Additional project information (if applicable)</w:t>
      </w:r>
      <w:bookmarkEnd w:id="116"/>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20">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pPr>
      <w:bookmarkStart w:id="117" w:name="__RefHeading___Toc4488_3374853057"/>
      <w:bookmarkStart w:id="118" w:name="_Toc24546618"/>
      <w:bookmarkStart w:id="119" w:name="_Toc214095647"/>
      <w:bookmarkEnd w:id="117"/>
      <w:r>
        <w:rPr>
          <w:rFonts w:ascii="Times New Roman" w:hAnsi="Times New Roman"/>
        </w:rPr>
        <w:t>PART VII. Work Plan and Work Packages</w:t>
      </w:r>
      <w:bookmarkEnd w:id="118"/>
      <w:bookmarkEnd w:id="119"/>
    </w:p>
    <w:p>
      <w:pPr>
        <w:pStyle w:val="Text1"/>
        <w:ind w:left="0" w:hanging="0"/>
        <w:rPr/>
      </w:pPr>
      <w:bookmarkStart w:id="120" w:name="_Toc24546619"/>
      <w:r>
        <w:rPr>
          <w:rStyle w:val="Heading2Char"/>
          <w:color w:val="auto"/>
          <w:sz w:val="22"/>
        </w:rPr>
        <w:t>VII.0. Work Plan and Work Packages (WPs) list</w:t>
      </w:r>
      <w:bookmarkEnd w:id="120"/>
    </w:p>
    <w:p>
      <w:pPr>
        <w:pStyle w:val="Normal"/>
        <w:spacing w:before="120" w:after="120"/>
        <w:jc w:val="both"/>
        <w:rPr/>
      </w:pPr>
      <w:bookmarkStart w:id="121" w:name="_Toc179804429"/>
      <w:bookmarkStart w:id="122" w:name="_Toc188076994"/>
      <w:bookmarkEnd w:id="121"/>
      <w:bookmarkEnd w:id="122"/>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pPr>
            <w:r>
              <w:rPr>
                <w:b/>
                <w:sz w:val="22"/>
                <w:szCs w:val="22"/>
              </w:rPr>
              <w:t>WP number</w:t>
            </w:r>
          </w:p>
        </w:tc>
        <w:tc>
          <w:tcPr>
            <w:tcW w:w="6770" w:type="dxa"/>
            <w:tcBorders/>
            <w:shd w:fill="auto" w:val="clear"/>
            <w:vAlign w:val="center"/>
          </w:tcPr>
          <w:p>
            <w:pPr>
              <w:pStyle w:val="Normal"/>
              <w:spacing w:before="120" w:after="120"/>
              <w:jc w:val="center"/>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WP1</w:t>
            </w:r>
          </w:p>
        </w:tc>
        <w:tc>
          <w:tcPr>
            <w:tcW w:w="6770" w:type="dxa"/>
            <w:tcBorders/>
            <w:shd w:fill="auto" w:val="clear"/>
            <w:vAlign w:val="center"/>
          </w:tcPr>
          <w:p>
            <w:pPr>
              <w:pStyle w:val="Normal"/>
              <w:spacing w:before="120" w:after="120"/>
              <w:rPr>
                <w:b/>
                <w:b/>
                <w:bCs/>
                <w:szCs w:val="20"/>
              </w:rPr>
            </w:pPr>
            <w:r>
              <w:rPr>
                <w:b/>
                <w:bCs/>
                <w:szCs w:val="20"/>
              </w:rPr>
              <w:t xml:space="preserve">Project Initialisation </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WP2</w:t>
            </w:r>
          </w:p>
        </w:tc>
        <w:tc>
          <w:tcPr>
            <w:tcW w:w="6770" w:type="dxa"/>
            <w:tcBorders/>
            <w:shd w:fill="auto" w:val="clear"/>
            <w:vAlign w:val="center"/>
          </w:tcPr>
          <w:p>
            <w:pPr>
              <w:pStyle w:val="Normal"/>
              <w:spacing w:before="120" w:after="120"/>
              <w:rPr>
                <w:b/>
                <w:b/>
                <w:bCs/>
                <w:szCs w:val="20"/>
              </w:rPr>
            </w:pPr>
            <w:r>
              <w:rPr>
                <w:b/>
                <w:bCs/>
                <w:szCs w:val="20"/>
              </w:rPr>
              <w:t>Networking the Knowledge Alliance</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WP3</w:t>
            </w:r>
          </w:p>
        </w:tc>
        <w:tc>
          <w:tcPr>
            <w:tcW w:w="6770" w:type="dxa"/>
            <w:tcBorders/>
            <w:shd w:fill="auto" w:val="clear"/>
            <w:vAlign w:val="center"/>
          </w:tcPr>
          <w:p>
            <w:pPr>
              <w:pStyle w:val="Normal"/>
              <w:spacing w:before="120" w:after="120"/>
              <w:rPr/>
            </w:pPr>
            <w:r>
              <w:rPr>
                <w:b/>
                <w:bCs/>
                <w:szCs w:val="20"/>
              </w:rPr>
              <w:t>Development of Curricula and Teaching Material</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WP4</w:t>
            </w:r>
          </w:p>
        </w:tc>
        <w:tc>
          <w:tcPr>
            <w:tcW w:w="6770" w:type="dxa"/>
            <w:tcBorders/>
            <w:shd w:fill="auto" w:val="clear"/>
            <w:vAlign w:val="center"/>
          </w:tcPr>
          <w:p>
            <w:pPr>
              <w:pStyle w:val="Normal"/>
              <w:spacing w:before="120" w:after="120"/>
              <w:rPr>
                <w:b/>
                <w:b/>
                <w:bCs/>
                <w:szCs w:val="20"/>
              </w:rPr>
            </w:pPr>
            <w:r>
              <w:rPr>
                <w:b/>
                <w:bCs/>
                <w:szCs w:val="20"/>
              </w:rPr>
              <w:t>Teach the Teachers</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WP5</w:t>
            </w:r>
          </w:p>
        </w:tc>
        <w:tc>
          <w:tcPr>
            <w:tcW w:w="6770" w:type="dxa"/>
            <w:tcBorders/>
            <w:shd w:fill="auto" w:val="clear"/>
            <w:vAlign w:val="center"/>
          </w:tcPr>
          <w:p>
            <w:pPr>
              <w:pStyle w:val="Normal"/>
              <w:spacing w:before="120" w:after="120"/>
              <w:rPr>
                <w:b/>
                <w:b/>
                <w:bCs/>
                <w:szCs w:val="20"/>
              </w:rPr>
            </w:pPr>
            <w:r>
              <w:rPr>
                <w:b/>
                <w:bCs/>
                <w:szCs w:val="20"/>
              </w:rPr>
              <w:t>Involving Industry</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WP6</w:t>
            </w:r>
          </w:p>
        </w:tc>
        <w:tc>
          <w:tcPr>
            <w:tcW w:w="6770" w:type="dxa"/>
            <w:tcBorders/>
            <w:shd w:fill="auto" w:val="clear"/>
            <w:vAlign w:val="center"/>
          </w:tcPr>
          <w:p>
            <w:pPr>
              <w:pStyle w:val="Normal"/>
              <w:spacing w:before="120" w:after="120"/>
              <w:rPr>
                <w:b/>
                <w:b/>
                <w:bCs/>
                <w:szCs w:val="20"/>
              </w:rPr>
            </w:pPr>
            <w:r>
              <w:rPr>
                <w:b/>
                <w:bCs/>
                <w:szCs w:val="20"/>
              </w:rPr>
              <w:t>Project Management</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7</w:t>
            </w:r>
          </w:p>
        </w:tc>
        <w:tc>
          <w:tcPr>
            <w:tcW w:w="6770" w:type="dxa"/>
            <w:tcBorders>
              <w:top w:val="nil"/>
            </w:tcBorders>
            <w:shd w:fill="auto" w:val="clear"/>
            <w:vAlign w:val="center"/>
          </w:tcPr>
          <w:p>
            <w:pPr>
              <w:pStyle w:val="Normal"/>
              <w:spacing w:before="120" w:after="120"/>
              <w:rPr>
                <w:b/>
                <w:b/>
                <w:bCs/>
                <w:szCs w:val="20"/>
              </w:rPr>
            </w:pPr>
            <w:r>
              <w:rPr>
                <w:b/>
                <w:bCs/>
                <w:szCs w:val="20"/>
              </w:rPr>
              <w:t>Dissemination and Transfer</w:t>
            </w:r>
          </w:p>
        </w:tc>
      </w:tr>
      <w:tr>
        <w:trPr>
          <w:trHeight w:val="495" w:hRule="atLeast"/>
        </w:trPr>
        <w:tc>
          <w:tcPr>
            <w:tcW w:w="2517" w:type="dxa"/>
            <w:tcBorders/>
            <w:shd w:fill="auto" w:val="clear"/>
            <w:vAlign w:val="center"/>
          </w:tcPr>
          <w:p>
            <w:pPr>
              <w:pStyle w:val="Normal"/>
              <w:spacing w:before="120" w:after="120"/>
              <w:jc w:val="center"/>
              <w:rPr>
                <w:b/>
                <w:b/>
                <w:bCs/>
              </w:rPr>
            </w:pPr>
            <w:r>
              <w:rPr>
                <w:b/>
                <w:bCs/>
                <w:sz w:val="22"/>
                <w:szCs w:val="22"/>
              </w:rPr>
              <w:t>WP 8</w:t>
            </w:r>
          </w:p>
        </w:tc>
        <w:tc>
          <w:tcPr>
            <w:tcW w:w="6770" w:type="dxa"/>
            <w:tcBorders/>
            <w:shd w:fill="auto" w:val="clear"/>
            <w:vAlign w:val="center"/>
          </w:tcPr>
          <w:p>
            <w:pPr>
              <w:pStyle w:val="Normal"/>
              <w:spacing w:before="120" w:after="120"/>
              <w:rPr/>
            </w:pPr>
            <w:r>
              <w:rPr>
                <w:b/>
                <w:bCs/>
                <w:szCs w:val="20"/>
              </w:rPr>
              <w:t>Quality Control</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9</w:t>
            </w:r>
          </w:p>
        </w:tc>
        <w:tc>
          <w:tcPr>
            <w:tcW w:w="6770" w:type="dxa"/>
            <w:tcBorders>
              <w:top w:val="nil"/>
            </w:tcBorders>
            <w:shd w:fill="auto" w:val="clear"/>
            <w:vAlign w:val="center"/>
          </w:tcPr>
          <w:p>
            <w:pPr>
              <w:pStyle w:val="Normal"/>
              <w:spacing w:before="120" w:after="120"/>
              <w:rPr>
                <w:b/>
                <w:b/>
                <w:bCs/>
              </w:rPr>
            </w:pPr>
            <w:r>
              <w:rPr>
                <w:b/>
                <w:bCs/>
                <w:szCs w:val="20"/>
              </w:rPr>
              <w:t>Evaluation</w:t>
            </w:r>
          </w:p>
        </w:tc>
      </w:tr>
      <w:tr>
        <w:trPr>
          <w:trHeight w:val="495" w:hRule="atLeast"/>
        </w:trPr>
        <w:tc>
          <w:tcPr>
            <w:tcW w:w="2517" w:type="dxa"/>
            <w:tcBorders>
              <w:top w:val="nil"/>
            </w:tcBorders>
            <w:shd w:fill="auto" w:val="clear"/>
            <w:vAlign w:val="center"/>
          </w:tcPr>
          <w:p>
            <w:pPr>
              <w:pStyle w:val="Normal"/>
              <w:spacing w:before="120" w:after="120"/>
              <w:jc w:val="center"/>
              <w:rPr>
                <w:b/>
                <w:b/>
                <w:bCs/>
              </w:rPr>
            </w:pPr>
            <w:r>
              <w:rPr>
                <w:b/>
                <w:bCs/>
                <w:szCs w:val="20"/>
              </w:rPr>
              <w:t>WP 10</w:t>
            </w:r>
          </w:p>
        </w:tc>
        <w:tc>
          <w:tcPr>
            <w:tcW w:w="6770" w:type="dxa"/>
            <w:tcBorders>
              <w:top w:val="nil"/>
            </w:tcBorders>
            <w:shd w:fill="auto" w:val="clear"/>
            <w:vAlign w:val="center"/>
          </w:tcPr>
          <w:p>
            <w:pPr>
              <w:pStyle w:val="Normal"/>
              <w:spacing w:before="120" w:after="120"/>
              <w:rPr>
                <w:b/>
                <w:b/>
                <w:bCs/>
              </w:rPr>
            </w:pPr>
            <w:r>
              <w:rPr>
                <w:b/>
                <w:bCs/>
                <w:szCs w:val="20"/>
              </w:rPr>
              <w:t>Digital Tools</w:t>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pPr>
      <w:r>
        <w:rPr/>
        <w:t>(add more WPs if necessary)</w:t>
      </w:r>
    </w:p>
    <w:p>
      <w:pPr>
        <w:pStyle w:val="Normal"/>
        <w:rPr>
          <w:b/>
          <w:b/>
          <w:sz w:val="22"/>
        </w:rPr>
      </w:pPr>
      <w:r>
        <w:rPr>
          <w:b/>
          <w:sz w:val="22"/>
        </w:rPr>
      </w:r>
    </w:p>
    <w:p>
      <w:pPr>
        <w:pStyle w:val="Text1"/>
        <w:ind w:left="0" w:hanging="0"/>
        <w:rPr/>
      </w:pPr>
      <w:bookmarkStart w:id="123" w:name="_Toc24546620"/>
      <w:r>
        <w:rPr>
          <w:rStyle w:val="Heading2Char"/>
          <w:color w:val="auto"/>
          <w:sz w:val="22"/>
        </w:rPr>
        <w:t xml:space="preserve">VII.1. Work Package 1 – </w:t>
      </w:r>
      <w:r>
        <w:rPr>
          <w:rStyle w:val="Heading2Char"/>
          <w:i/>
          <w:color w:val="auto"/>
          <w:sz w:val="22"/>
        </w:rPr>
        <w:t>(Project Initialisation)</w:t>
      </w:r>
      <w:bookmarkEnd w:id="123"/>
    </w:p>
    <w:p>
      <w:pPr>
        <w:pStyle w:val="Normal"/>
        <w:rPr>
          <w:b/>
          <w:b/>
          <w:sz w:val="22"/>
        </w:rPr>
      </w:pPr>
      <w:r>
        <w:rPr>
          <w:b/>
          <w:sz w:val="22"/>
        </w:rPr>
      </w:r>
    </w:p>
    <w:p>
      <w:pPr>
        <w:pStyle w:val="Normal"/>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 xml:space="preserve">X </w:t>
                </w:r>
              </w:sdtContent>
            </w:sdt>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Initialisation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jc w:val="both"/>
              <w:rPr/>
            </w:pPr>
            <w:r>
              <w:rPr>
                <w:szCs w:val="20"/>
              </w:rPr>
              <w:t xml:space="preserve">This WP aims to collect more precise information about courses at various HEI locations – both at the full partners as well as potential </w:t>
            </w:r>
            <w:r>
              <w:rPr>
                <w:i/>
                <w:iCs/>
                <w:szCs w:val="20"/>
              </w:rPr>
              <w:t>additional partners</w:t>
            </w:r>
            <w:r>
              <w:rPr>
                <w:szCs w:val="20"/>
              </w:rPr>
              <w:t xml:space="preserve"> – in the EU area. The collection is planned to be updated during the whole project and to be transformed into a structured meta data description based on semantic technologies within WP 2. The tasks will be mainly done in the preproject phase, discussed at P1 and consolidated afterwards.  The outcome is due for P2. </w:t>
            </w:r>
          </w:p>
          <w:p>
            <w:pPr>
              <w:pStyle w:val="Normal"/>
              <w:spacing w:before="120" w:after="120"/>
              <w:jc w:val="both"/>
              <w:rPr/>
            </w:pPr>
            <w:r>
              <w:rPr>
                <w:szCs w:val="20"/>
              </w:rPr>
              <w:t>A second goal of this WP is the initial bootstrap of the project’s digital infrastructure.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06/2021</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tc>
        <w:tc>
          <w:tcPr>
            <w:tcW w:w="6770" w:type="dxa"/>
            <w:tcBorders/>
            <w:shd w:fill="auto" w:val="clear"/>
          </w:tcPr>
          <w:p>
            <w:pPr>
              <w:pStyle w:val="Normal"/>
              <w:spacing w:before="120" w:after="120"/>
              <w:rPr>
                <w:szCs w:val="20"/>
              </w:rPr>
            </w:pPr>
            <w:r>
              <w:rPr>
                <w:szCs w:val="20"/>
              </w:rPr>
              <w:t>All HEI partners (analysis of teaching offers)</w:t>
            </w:r>
          </w:p>
          <w:p>
            <w:pPr>
              <w:pStyle w:val="Normal"/>
              <w:spacing w:before="120" w:after="120"/>
              <w:rPr>
                <w:szCs w:val="20"/>
              </w:rPr>
            </w:pPr>
            <w:r>
              <w:rPr>
                <w:szCs w:val="20"/>
              </w:rPr>
              <w:t>All partners (bootstrapping the infrastructure)</w:t>
            </w:r>
          </w:p>
        </w:tc>
      </w:tr>
    </w:tbl>
    <w:p>
      <w:pPr>
        <w:pStyle w:val="Normal"/>
        <w:rPr>
          <w:b/>
          <w:b/>
        </w:rPr>
      </w:pPr>
      <w:r>
        <w:rPr>
          <w:b/>
        </w:rPr>
      </w:r>
      <w:bookmarkStart w:id="124" w:name="_Toc1880769941"/>
      <w:bookmarkStart w:id="125" w:name="_Toc1798044291"/>
      <w:bookmarkStart w:id="126" w:name="_Toc1880769941"/>
      <w:bookmarkStart w:id="127" w:name="_Toc1798044291"/>
      <w:bookmarkEnd w:id="126"/>
      <w:bookmarkEnd w:id="127"/>
    </w:p>
    <w:p>
      <w:pPr>
        <w:pStyle w:val="Normal"/>
        <w:rPr>
          <w:b/>
          <w:b/>
        </w:rPr>
      </w:pPr>
      <w:r>
        <w:rPr>
          <w:b/>
        </w:rPr>
      </w:r>
    </w:p>
    <w:p>
      <w:pPr>
        <w:pStyle w:val="Normal"/>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pPr>
      <w:bookmarkStart w:id="128" w:name="_Toc24546621"/>
      <w:r>
        <w:rPr>
          <w:rStyle w:val="Heading2Char"/>
          <w:color w:val="auto"/>
          <w:sz w:val="22"/>
        </w:rPr>
        <w:t xml:space="preserve">VII.2. Work Package 2 – </w:t>
      </w:r>
      <w:r>
        <w:rPr>
          <w:rStyle w:val="Heading2Char"/>
          <w:i/>
          <w:color w:val="auto"/>
          <w:sz w:val="22"/>
        </w:rPr>
        <w:t>(Networking the Knowledge Alliance)</w:t>
      </w:r>
      <w:bookmarkEnd w:id="128"/>
    </w:p>
    <w:p>
      <w:pPr>
        <w:pStyle w:val="Normal"/>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Text1"/>
              <w:spacing w:before="120" w:after="120"/>
              <w:ind w:left="0" w:hanging="0"/>
              <w:rPr>
                <w:szCs w:val="20"/>
              </w:rPr>
            </w:pPr>
            <w:r>
              <w:rPr>
                <w:rStyle w:val="Heading2Char"/>
                <w:i w:val="false"/>
                <w:iCs w:val="false"/>
                <w:color w:val="auto"/>
                <w:sz w:val="22"/>
                <w:szCs w:val="20"/>
                <w:shd w:fill="auto" w:val="clear"/>
              </w:rPr>
              <w:t>Networking the Knowledge Alliance</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12/2020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06/2022</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LUT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29" w:name="_Toc24546622"/>
      <w:r>
        <w:rPr>
          <w:rStyle w:val="Heading2Char"/>
          <w:color w:val="auto"/>
          <w:sz w:val="22"/>
        </w:rPr>
        <w:t xml:space="preserve">VII.3. Work Package 3 – </w:t>
      </w:r>
      <w:r>
        <w:rPr>
          <w:rStyle w:val="Heading2Char"/>
          <w:i/>
          <w:color w:val="auto"/>
          <w:sz w:val="22"/>
        </w:rPr>
        <w:t xml:space="preserve">(Development of </w:t>
      </w:r>
      <w:r>
        <w:rPr>
          <w:rStyle w:val="Heading2Char"/>
          <w:i/>
          <w:color w:val="auto"/>
          <w:sz w:val="22"/>
          <w:szCs w:val="20"/>
        </w:rPr>
        <w:t>Curricula and Teaching Material</w:t>
      </w:r>
      <w:r>
        <w:rPr>
          <w:rStyle w:val="Heading2Char"/>
          <w:i/>
          <w:color w:val="auto"/>
          <w:sz w:val="22"/>
        </w:rPr>
        <w:t>)</w:t>
      </w:r>
      <w:bookmarkEnd w:id="129"/>
    </w:p>
    <w:p>
      <w:pPr>
        <w:pStyle w:val="Normal"/>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Curricula Analysis and Development of Teaching Materials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HSO</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HEI partners</w:t>
            </w:r>
          </w:p>
        </w:tc>
      </w:tr>
    </w:tbl>
    <w:p>
      <w:pPr>
        <w:pStyle w:val="Normal"/>
        <w:rPr>
          <w:b/>
          <w:b/>
        </w:rPr>
      </w:pPr>
      <w:r>
        <w:rPr>
          <w:b/>
        </w:rPr>
      </w:r>
    </w:p>
    <w:p>
      <w:pPr>
        <w:pStyle w:val="Normal"/>
        <w:rPr>
          <w:b/>
          <w:b/>
        </w:rPr>
      </w:pPr>
      <w:r>
        <w:rPr>
          <w:b/>
        </w:rPr>
      </w:r>
    </w:p>
    <w:p>
      <w:pPr>
        <w:pStyle w:val="Normal"/>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pPr>
      <w:bookmarkStart w:id="130" w:name="_Toc24546623"/>
      <w:r>
        <w:rPr>
          <w:rStyle w:val="Heading2Char"/>
          <w:color w:val="auto"/>
          <w:sz w:val="22"/>
        </w:rPr>
        <w:t xml:space="preserve">VII.4. Work Package 4 – </w:t>
      </w:r>
      <w:r>
        <w:rPr>
          <w:rStyle w:val="Heading2Char"/>
          <w:i/>
          <w:color w:val="auto"/>
          <w:sz w:val="22"/>
        </w:rPr>
        <w:t>(</w:t>
      </w:r>
      <w:r>
        <w:rPr>
          <w:rStyle w:val="Heading2Char"/>
          <w:i/>
          <w:color w:val="auto"/>
          <w:sz w:val="22"/>
          <w:szCs w:val="20"/>
        </w:rPr>
        <w:t>Teach the Teachers</w:t>
      </w:r>
      <w:r>
        <w:rPr>
          <w:rStyle w:val="Heading2Char"/>
          <w:i/>
          <w:color w:val="auto"/>
          <w:sz w:val="22"/>
        </w:rPr>
        <w:t>)</w:t>
      </w:r>
      <w:bookmarkEnd w:id="130"/>
    </w:p>
    <w:p>
      <w:pPr>
        <w:pStyle w:val="Normal"/>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Teach the Teachers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 xml:space="preserve">In this WP a </w:t>
            </w:r>
            <w:r>
              <w:rPr>
                <w:i/>
                <w:iCs/>
                <w:szCs w:val="20"/>
              </w:rPr>
              <w:t>mobility part “teach the teachers”</w:t>
            </w:r>
            <w:r>
              <w:rPr>
                <w:szCs w:val="20"/>
              </w:rPr>
              <w:t xml:space="preserve"> is provided. Since the methods for teaching SIM used at the different locations are different, the partners should be trained in 6 training units at 6 different HEI locations by one of the partners as trainer according to the teaching methods used on that site.  The trainer partner is coached by one of the Eastern European partners so that their extensive experience is incorporated here. With a view to costs, these training courses are only carried out in the EU. The participation of \emph{additional partners} is explicitly provided, however, they have to finance the additional expenses themselves.</w:t>
            </w:r>
          </w:p>
          <w:p>
            <w:pPr>
              <w:pStyle w:val="Normal"/>
              <w:spacing w:before="0" w:after="57"/>
              <w:jc w:val="both"/>
              <w:rPr>
                <w:szCs w:val="20"/>
              </w:rPr>
            </w:pPr>
            <w:r>
              <w:rPr>
                <w:szCs w:val="20"/>
              </w:rPr>
              <w:t>In the last part of the project measures are to be taken to promote the establishment of appropriate structures for student mobility according to Key Action 1 at the individual HEI locations for our Knowledge Alliance.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INSA</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pPr>
      <w:bookmarkStart w:id="131" w:name="_Toc24546624"/>
      <w:r>
        <w:rPr>
          <w:rStyle w:val="Heading2Char"/>
          <w:color w:val="auto"/>
          <w:sz w:val="22"/>
        </w:rPr>
        <w:t xml:space="preserve">VII.5. Work Package 5 – </w:t>
      </w:r>
      <w:r>
        <w:rPr>
          <w:rStyle w:val="Heading2Char"/>
          <w:i/>
          <w:color w:val="auto"/>
          <w:sz w:val="22"/>
        </w:rPr>
        <w:t>(</w:t>
      </w:r>
      <w:r>
        <w:rPr>
          <w:rStyle w:val="Heading2Char"/>
          <w:i/>
          <w:color w:val="auto"/>
          <w:sz w:val="22"/>
          <w:szCs w:val="20"/>
        </w:rPr>
        <w:t>Involving Industry</w:t>
      </w:r>
      <w:r>
        <w:rPr>
          <w:rStyle w:val="Heading2Char"/>
          <w:i/>
          <w:color w:val="auto"/>
          <w:sz w:val="22"/>
        </w:rPr>
        <w:t>)</w:t>
      </w:r>
      <w:bookmarkEnd w:id="131"/>
    </w:p>
    <w:p>
      <w:pPr>
        <w:pStyle w:val="Normal"/>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Involving Industry</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t>The focus of this WP is on raising the awareness of other EU companies, particularly those in the manufacturing sector, and on winning them to join the network as additional partners. The WP is divided into three parts, in which project funds are initially used to achieve a boost effect, the self-organizing potential of which should have an effect in the intermediate phase.</w:t>
            </w:r>
          </w:p>
          <w:p>
            <w:pPr>
              <w:pStyle w:val="Normal"/>
              <w:spacing w:before="0" w:after="57"/>
              <w:jc w:val="both"/>
              <w:rPr>
                <w:szCs w:val="20"/>
              </w:rPr>
            </w:pPr>
            <w:r>
              <w:rPr>
                <w:szCs w:val="20"/>
              </w:rPr>
              <w:t>In the first phase, potential candidates should be addressed intensively with the aim of establishing a (sub)network of interested industrial companies that is able to enter into a fruitful exchange with the network of the HEI and thus to synchronize the curricular developments with the needs of the industry.</w:t>
            </w:r>
          </w:p>
          <w:p>
            <w:pPr>
              <w:pStyle w:val="Normal"/>
              <w:spacing w:before="0" w:after="57"/>
              <w:jc w:val="both"/>
              <w:rPr>
                <w:szCs w:val="20"/>
              </w:rPr>
            </w:pPr>
            <w:r>
              <w:rPr>
                <w:szCs w:val="20"/>
              </w:rPr>
              <w:t>In a second phase these efforts should be consolidated, in a third phase the focus is primarily on quality assurance and forward orientation in order to ensure the further consolidation of self-supporting structures, which also have a lasting effect beyond the end of the project.</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Jantschgi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industrial partners</w:t>
            </w:r>
          </w:p>
        </w:tc>
      </w:tr>
    </w:tbl>
    <w:p>
      <w:pPr>
        <w:pStyle w:val="Normal"/>
        <w:rPr>
          <w:b/>
          <w:b/>
        </w:rPr>
      </w:pPr>
      <w:r>
        <w:rPr>
          <w:b/>
        </w:rPr>
      </w:r>
    </w:p>
    <w:p>
      <w:pPr>
        <w:pStyle w:val="Normal"/>
        <w:rPr>
          <w:b/>
          <w:b/>
        </w:rPr>
      </w:pPr>
      <w:r>
        <w:rPr>
          <w:b/>
        </w:rPr>
      </w:r>
    </w:p>
    <w:p>
      <w:pPr>
        <w:pStyle w:val="Normal"/>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1"/>
          <w:headerReference w:type="first" r:id="rId22"/>
          <w:footerReference w:type="default" r:id="rId23"/>
          <w:footerReference w:type="first" r:id="rId24"/>
          <w:footnotePr>
            <w:numFmt w:val="decimal"/>
          </w:footnotePr>
          <w:type w:val="nextPage"/>
          <w:pgSz w:w="11906" w:h="16838"/>
          <w:pgMar w:left="1134" w:right="1134" w:header="0" w:top="1259" w:footer="567" w:bottom="902" w:gutter="0"/>
          <w:pgNumType w:fmt="decimal"/>
          <w:formProt w:val="false"/>
          <w:titlePg/>
          <w:textDirection w:val="lrTb"/>
          <w:docGrid w:type="default" w:linePitch="100" w:charSpace="8192"/>
        </w:sectPr>
      </w:pPr>
    </w:p>
    <w:p>
      <w:pPr>
        <w:pStyle w:val="Text1"/>
        <w:ind w:left="0" w:hanging="0"/>
        <w:rPr/>
      </w:pPr>
      <w:bookmarkStart w:id="132" w:name="_Toc24546625"/>
      <w:r>
        <w:rPr>
          <w:rStyle w:val="Heading2Char"/>
          <w:color w:val="auto"/>
          <w:sz w:val="22"/>
        </w:rPr>
        <w:t xml:space="preserve">VII.6. Work Package 6 – </w:t>
      </w:r>
      <w:r>
        <w:rPr>
          <w:rStyle w:val="Heading2Char"/>
          <w:i/>
          <w:color w:val="auto"/>
          <w:sz w:val="22"/>
        </w:rPr>
        <w:t>(</w:t>
      </w:r>
      <w:r>
        <w:rPr>
          <w:rStyle w:val="Heading2Char"/>
          <w:i/>
          <w:color w:val="auto"/>
          <w:sz w:val="22"/>
          <w:szCs w:val="20"/>
        </w:rPr>
        <w:t>Project Management</w:t>
      </w:r>
      <w:r>
        <w:rPr>
          <w:rStyle w:val="Heading2Char"/>
          <w:i/>
          <w:color w:val="auto"/>
          <w:sz w:val="22"/>
        </w:rPr>
        <w:t>)</w:t>
      </w:r>
      <w:bookmarkEnd w:id="132"/>
    </w:p>
    <w:p>
      <w:pPr>
        <w:pStyle w:val="Normal"/>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Project Management</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ULEI</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suppressLineNumbers/>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5"/>
          <w:footerReference w:type="default" r:id="rId26"/>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3" w:name="_Toc245466252"/>
      <w:r>
        <w:rPr>
          <w:rStyle w:val="Heading2Char"/>
          <w:color w:val="auto"/>
          <w:sz w:val="22"/>
        </w:rPr>
        <w:t xml:space="preserve">VII.7. Work Package 7 – </w:t>
      </w:r>
      <w:r>
        <w:rPr>
          <w:rStyle w:val="Heading2Char"/>
          <w:i/>
          <w:color w:val="auto"/>
          <w:sz w:val="22"/>
        </w:rPr>
        <w:t>(</w:t>
      </w:r>
      <w:r>
        <w:rPr>
          <w:rStyle w:val="Heading2Char"/>
          <w:i/>
          <w:color w:val="auto"/>
          <w:sz w:val="22"/>
          <w:szCs w:val="20"/>
        </w:rPr>
        <w:t>Dissemination and Transfer</w:t>
      </w:r>
      <w:r>
        <w:rPr>
          <w:rStyle w:val="Heading2Char"/>
          <w:i/>
          <w:color w:val="auto"/>
          <w:sz w:val="22"/>
        </w:rPr>
        <w:t>)</w:t>
      </w:r>
      <w:bookmarkEnd w:id="133"/>
    </w:p>
    <w:p>
      <w:pPr>
        <w:pStyle w:val="Normal"/>
        <w:rPr/>
      </w:pPr>
      <w:r>
        <w:rPr>
          <w:b/>
          <w:sz w:val="22"/>
        </w:rPr>
        <w:t>WP7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No.7</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szCs w:val="20"/>
              </w:rPr>
            </w:pPr>
            <w:r>
              <w:rPr>
                <w:szCs w:val="20"/>
              </w:rPr>
              <w:t>Dissemination and Transfer</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UTC</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sz w:val="22"/>
        </w:rPr>
      </w:pPr>
      <w:r>
        <w:rPr>
          <w:b/>
          <w:sz w:val="22"/>
        </w:rPr>
      </w:r>
    </w:p>
    <w:p>
      <w:pPr>
        <w:pStyle w:val="Normal"/>
        <w:rPr>
          <w:b/>
          <w:b/>
          <w:sz w:val="22"/>
        </w:rPr>
      </w:pPr>
      <w:r>
        <w:rPr>
          <w:b/>
          <w:sz w:val="22"/>
        </w:rPr>
      </w:r>
    </w:p>
    <w:p>
      <w:pPr>
        <w:pStyle w:val="Normal"/>
        <w:rPr/>
      </w:pPr>
      <w:r>
        <w:rPr>
          <w:b/>
          <w:sz w:val="22"/>
        </w:rPr>
        <w:t>WP7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WP7</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WP7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7"/>
          <w:footerReference w:type="default" r:id="rId28"/>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4" w:name="_Toc245466251"/>
      <w:r>
        <w:rPr>
          <w:rStyle w:val="Heading2Char"/>
          <w:color w:val="auto"/>
          <w:sz w:val="22"/>
        </w:rPr>
        <w:t xml:space="preserve">VII.8. Work Package 8 – </w:t>
      </w:r>
      <w:r>
        <w:rPr>
          <w:rStyle w:val="Heading2Char"/>
          <w:i/>
          <w:color w:val="auto"/>
          <w:sz w:val="22"/>
        </w:rPr>
        <w:t>(</w:t>
      </w:r>
      <w:r>
        <w:rPr>
          <w:rStyle w:val="Heading2Char"/>
          <w:i/>
          <w:color w:val="auto"/>
          <w:sz w:val="22"/>
          <w:szCs w:val="20"/>
        </w:rPr>
        <w:t>Quality Control</w:t>
      </w:r>
      <w:r>
        <w:rPr>
          <w:rStyle w:val="Heading2Char"/>
          <w:i/>
          <w:color w:val="auto"/>
          <w:sz w:val="22"/>
        </w:rPr>
        <w:t>)</w:t>
      </w:r>
      <w:bookmarkEnd w:id="134"/>
    </w:p>
    <w:p>
      <w:pPr>
        <w:pStyle w:val="Normal"/>
        <w:rPr/>
      </w:pPr>
      <w:r>
        <w:rPr>
          <w:b/>
          <w:sz w:val="22"/>
        </w:rPr>
        <w:t>WP8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No.8</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Quality Control</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Quality Control is part of the Sprint Review process within the PM P2...P7. The corresponding phases are prepared together with external partners (CCI) in the last third of each sprint, the results of this QA are discussed on the final PM and adopted as deliverable.</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szCs w:val="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WP8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WP8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29"/>
          <w:footerReference w:type="default" r:id="rId30"/>
          <w:footnotePr>
            <w:numFmt w:val="decimal"/>
          </w:footnotePr>
          <w:type w:val="nextPage"/>
          <w:pgSz w:w="11906" w:h="16838"/>
          <w:pgMar w:left="902" w:right="1259" w:header="0" w:top="1134" w:footer="567" w:bottom="1134" w:gutter="0"/>
          <w:pgNumType w:fmt="decimal"/>
          <w:formProt w:val="false"/>
          <w:textDirection w:val="lrTb"/>
          <w:docGrid w:type="default" w:linePitch="326" w:charSpace="8192"/>
        </w:sectPr>
      </w:pPr>
    </w:p>
    <w:p>
      <w:pPr>
        <w:pStyle w:val="Text1"/>
        <w:ind w:left="0" w:hanging="0"/>
        <w:rPr/>
      </w:pPr>
      <w:bookmarkStart w:id="135" w:name="_Toc2454662513"/>
      <w:r>
        <w:rPr>
          <w:rStyle w:val="Heading2Char"/>
          <w:color w:val="auto"/>
          <w:sz w:val="22"/>
        </w:rPr>
        <w:t xml:space="preserve">VII.9. Work Package 9 – </w:t>
      </w:r>
      <w:r>
        <w:rPr>
          <w:rStyle w:val="Heading2Char"/>
          <w:i/>
          <w:color w:val="auto"/>
          <w:sz w:val="22"/>
        </w:rPr>
        <w:t>(</w:t>
      </w:r>
      <w:r>
        <w:rPr>
          <w:rStyle w:val="Heading2Char"/>
          <w:i/>
          <w:color w:val="auto"/>
          <w:sz w:val="22"/>
          <w:szCs w:val="20"/>
        </w:rPr>
        <w:t>Evaluation</w:t>
      </w:r>
      <w:r>
        <w:rPr>
          <w:rStyle w:val="Heading2Char"/>
          <w:i/>
          <w:color w:val="auto"/>
          <w:sz w:val="22"/>
        </w:rPr>
        <w:t>)</w:t>
      </w:r>
      <w:bookmarkEnd w:id="135"/>
    </w:p>
    <w:p>
      <w:pPr>
        <w:pStyle w:val="Normal"/>
        <w:rPr/>
      </w:pPr>
      <w:r>
        <w:rPr>
          <w:b/>
          <w:sz w:val="22"/>
        </w:rPr>
        <w:t>WP9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No.9</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rFonts w:eastAsia="MS Gothic" w:ascii="MS Gothic" w:hAnsi="MS Gothic"/>
                <w:b/>
                <w:color w:val="000000" w:themeColor="text1"/>
                <w:sz w:val="24"/>
                <w:szCs w:val="24"/>
              </w:rPr>
              <w:t xml:space="preserve"> </w:t>
            </w:r>
            <w:r>
              <w:rPr>
                <w:color w:val="000000" w:themeColor="text1"/>
              </w:rPr>
              <w:t xml:space="preserve"> 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Evaluation</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pPr>
            <w:r>
              <w:rPr>
                <w:szCs w:val="20"/>
              </w:rPr>
              <w:t>In the last phase of the project, a more intensive evaluation of the successful implementation of the two project priorities</w:t>
            </w:r>
          </w:p>
          <w:p>
            <w:pPr>
              <w:pStyle w:val="Normal"/>
              <w:numPr>
                <w:ilvl w:val="0"/>
                <w:numId w:val="13"/>
              </w:numPr>
              <w:spacing w:before="0" w:after="57"/>
              <w:jc w:val="both"/>
              <w:rPr/>
            </w:pPr>
            <w:r>
              <w:rPr>
                <w:szCs w:val="20"/>
              </w:rPr>
              <w:t>HEI network</w:t>
            </w:r>
          </w:p>
          <w:p>
            <w:pPr>
              <w:pStyle w:val="Normal"/>
              <w:numPr>
                <w:ilvl w:val="0"/>
                <w:numId w:val="13"/>
              </w:numPr>
              <w:spacing w:before="0" w:after="57"/>
              <w:jc w:val="both"/>
              <w:rPr/>
            </w:pPr>
            <w:r>
              <w:rPr>
                <w:szCs w:val="20"/>
              </w:rPr>
              <w:t>Network of industrial partners</w:t>
            </w:r>
          </w:p>
          <w:p>
            <w:pPr>
              <w:pStyle w:val="Normal"/>
              <w:spacing w:before="0" w:after="57"/>
              <w:jc w:val="both"/>
              <w:rPr/>
            </w:pPr>
            <w:r>
              <w:rPr>
                <w:szCs w:val="20"/>
              </w:rPr>
              <w:t xml:space="preserve">has to be done based on the structures built up with the other WP and using the expertise of various CCI. </w:t>
            </w:r>
          </w:p>
          <w:p>
            <w:pPr>
              <w:pStyle w:val="Normal"/>
              <w:spacing w:before="0" w:after="57"/>
              <w:jc w:val="both"/>
              <w:rPr/>
            </w:pPr>
            <w:r>
              <w:rPr>
                <w:szCs w:val="20"/>
              </w:rPr>
              <w:t>The exact methodology is to be determined in the course of the project implementation.</w:t>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WP9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WP9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1"/>
          <w:footerReference w:type="default" r:id="rId32"/>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Text1"/>
        <w:ind w:left="0" w:hanging="0"/>
        <w:rPr/>
      </w:pPr>
      <w:bookmarkStart w:id="136" w:name="_Toc2454662514"/>
      <w:r>
        <w:rPr>
          <w:rStyle w:val="Heading2Char"/>
          <w:color w:val="auto"/>
          <w:sz w:val="22"/>
        </w:rPr>
        <w:t xml:space="preserve">VII.10. Work Package 10 – </w:t>
      </w:r>
      <w:r>
        <w:rPr>
          <w:rStyle w:val="Heading2Char"/>
          <w:i/>
          <w:color w:val="auto"/>
          <w:sz w:val="22"/>
        </w:rPr>
        <w:t>(</w:t>
      </w:r>
      <w:r>
        <w:rPr>
          <w:rStyle w:val="Heading2Char"/>
          <w:i/>
          <w:color w:val="auto"/>
          <w:sz w:val="22"/>
          <w:szCs w:val="20"/>
        </w:rPr>
        <w:t>Digital Tools</w:t>
      </w:r>
      <w:r>
        <w:rPr>
          <w:rStyle w:val="Heading2Char"/>
          <w:i/>
          <w:color w:val="auto"/>
          <w:sz w:val="22"/>
        </w:rPr>
        <w:t>)</w:t>
      </w:r>
      <w:bookmarkEnd w:id="136"/>
    </w:p>
    <w:p>
      <w:pPr>
        <w:pStyle w:val="Normal"/>
        <w:rPr/>
      </w:pPr>
      <w:r>
        <w:rPr>
          <w:b/>
          <w:sz w:val="22"/>
        </w:rPr>
        <w:t>WP10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pPr>
            <w:r>
              <w:rPr>
                <w:b/>
                <w:sz w:val="22"/>
                <w:szCs w:val="22"/>
              </w:rPr>
              <w:t>WP No.10</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pPr>
            <w:r>
              <w:rPr>
                <w:b/>
                <w:bCs/>
                <w:sz w:val="22"/>
                <w:szCs w:val="22"/>
              </w:rPr>
              <w:t>Work Package/Activity type</w:t>
            </w:r>
          </w:p>
        </w:tc>
        <w:tc>
          <w:tcPr>
            <w:tcW w:w="6770" w:type="dxa"/>
            <w:tcBorders/>
            <w:shd w:fill="auto" w:val="clear"/>
            <w:vAlign w:val="center"/>
          </w:tcPr>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X</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pPr>
            <w:r>
              <w:rPr>
                <w:b/>
                <w:sz w:val="22"/>
                <w:szCs w:val="22"/>
              </w:rPr>
              <w:t>Title</w:t>
            </w:r>
          </w:p>
        </w:tc>
        <w:tc>
          <w:tcPr>
            <w:tcW w:w="6770" w:type="dxa"/>
            <w:tcBorders/>
            <w:shd w:fill="auto" w:val="clear"/>
            <w:vAlign w:val="center"/>
          </w:tcPr>
          <w:p>
            <w:pPr>
              <w:pStyle w:val="Normal"/>
              <w:spacing w:before="120" w:after="120"/>
              <w:rPr/>
            </w:pPr>
            <w:r>
              <w:rPr>
                <w:szCs w:val="20"/>
              </w:rPr>
              <w:t>Digital Tools</w:t>
            </w:r>
          </w:p>
        </w:tc>
      </w:tr>
      <w:tr>
        <w:trPr>
          <w:trHeight w:val="495" w:hRule="atLeast"/>
        </w:trPr>
        <w:tc>
          <w:tcPr>
            <w:tcW w:w="2517" w:type="dxa"/>
            <w:tcBorders/>
            <w:shd w:fill="auto" w:val="clear"/>
            <w:vAlign w:val="center"/>
          </w:tcPr>
          <w:p>
            <w:pPr>
              <w:pStyle w:val="Normal"/>
              <w:spacing w:before="120" w:after="120"/>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0" w:after="57"/>
              <w:jc w:val="both"/>
              <w:rPr>
                <w:szCs w:val="20"/>
              </w:rPr>
            </w:pPr>
            <w:r>
              <w:rPr>
                <w:szCs w:val="20"/>
              </w:rPr>
            </w:r>
          </w:p>
        </w:tc>
      </w:tr>
      <w:tr>
        <w:trPr/>
        <w:tc>
          <w:tcPr>
            <w:tcW w:w="2517" w:type="dxa"/>
            <w:tcBorders/>
            <w:shd w:fill="auto" w:val="clear"/>
            <w:vAlign w:val="center"/>
          </w:tcPr>
          <w:p>
            <w:pPr>
              <w:pStyle w:val="Normal"/>
              <w:spacing w:before="120" w:after="120"/>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pPr>
            <w:r>
              <w:rPr>
                <w:b/>
                <w:sz w:val="22"/>
                <w:szCs w:val="22"/>
              </w:rPr>
              <w:t xml:space="preserve">Estimated start date </w:t>
            </w:r>
          </w:p>
        </w:tc>
        <w:tc>
          <w:tcPr>
            <w:tcW w:w="6770" w:type="dxa"/>
            <w:tcBorders/>
            <w:shd w:fill="auto" w:val="clear"/>
            <w:vAlign w:val="center"/>
          </w:tcPr>
          <w:p>
            <w:pPr>
              <w:pStyle w:val="Normal"/>
              <w:spacing w:before="120" w:after="120"/>
              <w:rPr/>
            </w:pPr>
            <w:r>
              <w:rPr>
                <w:szCs w:val="20"/>
              </w:rPr>
              <w:t>11/2020</w:t>
            </w:r>
          </w:p>
        </w:tc>
      </w:tr>
      <w:tr>
        <w:trPr/>
        <w:tc>
          <w:tcPr>
            <w:tcW w:w="2517" w:type="dxa"/>
            <w:tcBorders/>
            <w:shd w:fill="auto" w:val="clear"/>
            <w:vAlign w:val="center"/>
          </w:tcPr>
          <w:p>
            <w:pPr>
              <w:pStyle w:val="Normal"/>
              <w:spacing w:before="120" w:after="120"/>
              <w:rPr/>
            </w:pPr>
            <w:r>
              <w:rPr>
                <w:b/>
                <w:sz w:val="22"/>
                <w:szCs w:val="22"/>
              </w:rPr>
              <w:t xml:space="preserve">Estimated end date </w:t>
            </w:r>
          </w:p>
        </w:tc>
        <w:tc>
          <w:tcPr>
            <w:tcW w:w="6770" w:type="dxa"/>
            <w:tcBorders/>
            <w:shd w:fill="auto" w:val="clear"/>
            <w:vAlign w:val="center"/>
          </w:tcPr>
          <w:p>
            <w:pPr>
              <w:pStyle w:val="Normal"/>
              <w:spacing w:before="120" w:after="120"/>
              <w:rPr/>
            </w:pPr>
            <w:r>
              <w:rPr>
                <w:szCs w:val="20"/>
              </w:rPr>
              <w:t>10/2023</w:t>
            </w:r>
          </w:p>
        </w:tc>
      </w:tr>
      <w:tr>
        <w:trPr/>
        <w:tc>
          <w:tcPr>
            <w:tcW w:w="2517" w:type="dxa"/>
            <w:tcBorders/>
            <w:shd w:fill="auto" w:val="clear"/>
          </w:tcPr>
          <w:p>
            <w:pPr>
              <w:pStyle w:val="Normal"/>
              <w:spacing w:before="120" w:after="120"/>
              <w:rPr/>
            </w:pPr>
            <w:r>
              <w:rPr>
                <w:b/>
                <w:sz w:val="22"/>
                <w:szCs w:val="22"/>
              </w:rPr>
              <w:t>Lead organisation</w:t>
            </w:r>
          </w:p>
        </w:tc>
        <w:tc>
          <w:tcPr>
            <w:tcW w:w="6770" w:type="dxa"/>
            <w:tcBorders/>
            <w:shd w:fill="auto" w:val="clear"/>
          </w:tcPr>
          <w:p>
            <w:pPr>
              <w:pStyle w:val="Normal"/>
              <w:spacing w:before="120" w:after="120"/>
              <w:rPr/>
            </w:pPr>
            <w:r>
              <w:rPr>
                <w:szCs w:val="20"/>
              </w:rPr>
              <w:t>BUT</w:t>
            </w:r>
          </w:p>
        </w:tc>
      </w:tr>
      <w:tr>
        <w:trPr/>
        <w:tc>
          <w:tcPr>
            <w:tcW w:w="2517" w:type="dxa"/>
            <w:tcBorders/>
            <w:shd w:fill="auto" w:val="clear"/>
          </w:tcPr>
          <w:p>
            <w:pPr>
              <w:pStyle w:val="Normal"/>
              <w:spacing w:before="120" w:after="120"/>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pPr>
            <w:r>
              <w:rPr>
                <w:szCs w:val="20"/>
              </w:rPr>
              <w:t>All partners</w:t>
            </w:r>
          </w:p>
        </w:tc>
      </w:tr>
    </w:tbl>
    <w:p>
      <w:pPr>
        <w:pStyle w:val="Normal"/>
        <w:rPr>
          <w:b/>
          <w:b/>
        </w:rPr>
      </w:pPr>
      <w:r>
        <w:rPr>
          <w:b/>
        </w:rPr>
      </w:r>
    </w:p>
    <w:p>
      <w:pPr>
        <w:pStyle w:val="Normal"/>
        <w:rPr>
          <w:b/>
          <w:b/>
        </w:rPr>
      </w:pPr>
      <w:r>
        <w:rPr>
          <w:b/>
        </w:rPr>
      </w:r>
    </w:p>
    <w:p>
      <w:pPr>
        <w:pStyle w:val="Normal"/>
        <w:rPr/>
      </w:pPr>
      <w:r>
        <w:rPr>
          <w:b/>
          <w:sz w:val="22"/>
        </w:rPr>
        <w:t>WP10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pPr>
            <w:r>
              <w:rPr>
                <w:b/>
                <w:szCs w:val="20"/>
              </w:rPr>
              <w:t>Expected result (output or outcome)</w:t>
            </w:r>
          </w:p>
        </w:tc>
        <w:tc>
          <w:tcPr>
            <w:tcW w:w="1450" w:type="dxa"/>
            <w:tcBorders/>
            <w:shd w:fill="auto" w:val="clear"/>
            <w:vAlign w:val="center"/>
          </w:tcPr>
          <w:p>
            <w:pPr>
              <w:pStyle w:val="Normal"/>
              <w:spacing w:before="120" w:after="120"/>
              <w:rPr/>
            </w:pPr>
            <w:r>
              <w:rPr>
                <w:szCs w:val="20"/>
              </w:rPr>
              <w:t>WP8</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pPr>
      <w:r>
        <w:rPr>
          <w:b/>
          <w:sz w:val="22"/>
        </w:rPr>
        <w:t xml:space="preserve">WP10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Text1"/>
        <w:ind w:left="0" w:hanging="0"/>
        <w:rPr>
          <w:rStyle w:val="Heading2Char"/>
          <w:color w:val="auto"/>
          <w:sz w:val="22"/>
        </w:rPr>
      </w:pPr>
      <w:r>
        <w:rPr>
          <w:color w:val="auto"/>
          <w:sz w:val="22"/>
        </w:rPr>
      </w:r>
      <w:r>
        <w:br w:type="page"/>
      </w:r>
    </w:p>
    <w:p>
      <w:pPr>
        <w:pStyle w:val="Text1"/>
        <w:ind w:left="0" w:hanging="0"/>
        <w:rPr/>
      </w:pPr>
      <w:bookmarkStart w:id="137" w:name="_Toc24546626"/>
      <w:r>
        <w:rPr>
          <w:rStyle w:val="Heading2Char"/>
          <w:color w:val="auto"/>
          <w:sz w:val="22"/>
        </w:rPr>
        <w:t>VII.7. Overview of consortium partners involved and resources required</w:t>
      </w:r>
      <w:bookmarkEnd w:id="137"/>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0" w:type="dxa"/>
        <w:tblBorders>
          <w:top w:val="single" w:sz="8" w:space="0" w:color="000000"/>
          <w:left w:val="single" w:sz="8" w:space="0" w:color="000000"/>
          <w:right w:val="single" w:sz="4" w:space="0" w:color="000000"/>
          <w:insideV w:val="single" w:sz="4" w:space="0" w:color="000000"/>
        </w:tblBorders>
        <w:tblCellMar>
          <w:top w:w="0" w:type="dxa"/>
          <w:left w:w="-10"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pPr>
            <w:r>
              <w:rPr>
                <w:b/>
                <w:bCs/>
                <w:color w:val="000000"/>
                <w:szCs w:val="20"/>
              </w:rPr>
              <w:t> </w:t>
            </w:r>
          </w:p>
          <w:p>
            <w:pPr>
              <w:pStyle w:val="Normal"/>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7</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rPr>
              <w:t>8</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pPr>
      <w:bookmarkStart w:id="138" w:name="_Toc24546627"/>
      <w:r>
        <w:rPr>
          <w:rStyle w:val="Heading2Char"/>
          <w:color w:val="auto"/>
          <w:sz w:val="22"/>
        </w:rPr>
        <w:t>VII.8. Overview of expected results (outputs and outcomes)</w:t>
      </w:r>
      <w:bookmarkEnd w:id="138"/>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33"/>
          <w:footerReference w:type="default" r:id="rId34"/>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rPr>
          <w:b/>
          <w:b/>
        </w:rPr>
      </w:pPr>
      <w:r>
        <w:rPr>
          <w:b/>
        </w:rPr>
      </w:r>
    </w:p>
    <w:p>
      <w:pPr>
        <w:pStyle w:val="Berschrift1"/>
        <w:shd w:val="clear" w:color="auto" w:fill="404040"/>
        <w:tabs>
          <w:tab w:val="clear" w:pos="426"/>
          <w:tab w:val="clear" w:pos="1440"/>
        </w:tabs>
        <w:ind w:left="1843" w:hanging="1843"/>
        <w:rPr/>
      </w:pPr>
      <w:bookmarkStart w:id="139" w:name="__RefHeading___Toc4490_3374853057"/>
      <w:bookmarkStart w:id="140" w:name="_Toc24546628"/>
      <w:bookmarkEnd w:id="139"/>
      <w:r>
        <w:rPr>
          <w:rFonts w:ascii="Times New Roman" w:hAnsi="Times New Roman"/>
        </w:rPr>
        <w:t>PART VIII. Specific arrangements regarding Associated Partners (if applicable)</w:t>
      </w:r>
      <w:bookmarkEnd w:id="140"/>
    </w:p>
    <w:p>
      <w:pPr>
        <w:pStyle w:val="Normal"/>
        <w:jc w:val="both"/>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35"/>
          <w:footerReference w:type="default" r:id="rId36"/>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Berschrift1"/>
        <w:shd w:val="clear" w:color="auto" w:fill="404040"/>
        <w:tabs>
          <w:tab w:val="clear" w:pos="426"/>
          <w:tab w:val="clear" w:pos="1440"/>
        </w:tabs>
        <w:ind w:left="1843" w:hanging="1843"/>
        <w:rPr/>
      </w:pPr>
      <w:bookmarkStart w:id="141" w:name="__RefHeading___Toc4492_3374853057"/>
      <w:bookmarkStart w:id="142" w:name="_Toc469413594"/>
      <w:bookmarkStart w:id="143" w:name="_Toc24546629"/>
      <w:bookmarkEnd w:id="141"/>
      <w:r>
        <w:rPr>
          <w:rFonts w:ascii="Times New Roman" w:hAnsi="Times New Roman"/>
        </w:rPr>
        <w:t>Annex – Affiliated Entities (if applicable)</w:t>
      </w:r>
      <w:bookmarkEnd w:id="142"/>
      <w:bookmarkEnd w:id="143"/>
    </w:p>
    <w:p>
      <w:pPr>
        <w:pStyle w:val="Normal"/>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190"/>
        <w:gridCol w:w="1782"/>
        <w:gridCol w:w="1070"/>
        <w:gridCol w:w="946"/>
        <w:gridCol w:w="1902"/>
        <w:gridCol w:w="1415"/>
      </w:tblGrid>
      <w:tr>
        <w:trPr>
          <w:trHeight w:val="561"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pPr>
            <w:r>
              <w:rPr>
                <w:rFonts w:eastAsia="Calibri"/>
                <w:i/>
                <w:szCs w:val="20"/>
                <w:lang w:eastAsia="en-US"/>
              </w:rPr>
              <w:t>(please use the same numbering both in the eForm and in the Excel budget table)</w:t>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pPr>
            <w:r>
              <w:rPr>
                <w:rFonts w:eastAsia="Calibri"/>
                <w:b/>
                <w:color w:val="000000"/>
                <w:szCs w:val="20"/>
                <w:lang w:eastAsia="en-US"/>
              </w:rPr>
              <w:t>Country</w:t>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pPr>
            <w:r>
              <w:rPr>
                <w:rFonts w:eastAsia="Calibri"/>
                <w:b/>
                <w:color w:val="000000"/>
                <w:szCs w:val="20"/>
                <w:lang w:val="it-IT" w:eastAsia="en-US"/>
              </w:rPr>
              <w:t>AE (AE1 – AEn)</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pPr>
            <w:r>
              <w:rPr>
                <w:rFonts w:eastAsia="Calibri"/>
                <w:b/>
                <w:color w:val="000000"/>
                <w:szCs w:val="20"/>
                <w:lang w:eastAsia="en-US"/>
              </w:rPr>
              <w:t>Name of the Affiliated Entity of the beneficiary organisation</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pPr>
            <w:r>
              <w:rPr>
                <w:rFonts w:eastAsia="Calibri"/>
                <w:b/>
                <w:color w:val="000000"/>
                <w:szCs w:val="20"/>
                <w:lang w:eastAsia="en-US"/>
              </w:rPr>
              <w:t>Country of the Affiliated Entity</w:t>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P 1</w:t>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xml:space="preserve">AE </w:t>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1</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2</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 </w:t>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pPr>
            <w:r>
              <w:rPr>
                <w:rFonts w:eastAsia="Calibri"/>
                <w:color w:val="000000"/>
                <w:szCs w:val="20"/>
                <w:lang w:eastAsia="en-US"/>
              </w:rPr>
              <w:t>Affiliated Entity 3</w:t>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1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7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94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0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4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pPr>
      <w:r>
        <w:rPr>
          <w:b/>
          <w:szCs w:val="20"/>
          <w:lang w:eastAsia="en-GB"/>
        </w:rPr>
        <w:t xml:space="preserve">Partner number - P x </w:t>
      </w:r>
      <w:r>
        <w:rPr>
          <w:b/>
          <w:i/>
          <w:szCs w:val="20"/>
          <w:lang w:eastAsia="en-GB"/>
        </w:rPr>
        <w:t>[P1 – Pn] (beneficiary organisation)</w:t>
      </w:r>
    </w:p>
    <w:p>
      <w:pPr>
        <w:pStyle w:val="Normal"/>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37"/>
          <w:footerReference w:type="default" r:id="rId38"/>
          <w:footnotePr>
            <w:numFmt w:val="decimal"/>
          </w:footnotePr>
          <w:type w:val="nextPage"/>
          <w:pgSz w:w="11906" w:h="16838"/>
          <w:pgMar w:left="1800" w:right="1800" w:header="720" w:top="1440" w:footer="720" w:bottom="1440" w:gutter="0"/>
          <w:pgNumType w:fmt="decimal"/>
          <w:formProt w:val="false"/>
          <w:textDirection w:val="lrTb"/>
          <w:docGrid w:type="default" w:linePitch="100" w:charSpace="0"/>
        </w:sectPr>
      </w:pPr>
    </w:p>
    <w:p>
      <w:pPr>
        <w:pStyle w:val="Normal"/>
        <w:jc w:val="both"/>
        <w:rPr>
          <w:sz w:val="24"/>
          <w:szCs w:val="24"/>
          <w:lang w:eastAsia="en-GB"/>
        </w:rPr>
      </w:pPr>
      <w:r>
        <w:rPr>
          <w:sz w:val="24"/>
          <w:szCs w:val="24"/>
          <w:lang w:eastAsia="en-GB"/>
        </w:rPr>
      </w:r>
    </w:p>
    <w:p>
      <w:pPr>
        <w:pStyle w:val="Normal"/>
        <w:jc w:val="both"/>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 </w:t>
            </w:r>
          </w:p>
          <w:p>
            <w:pPr>
              <w:pStyle w:val="Normal"/>
              <w:rPr/>
            </w:pPr>
            <w:r>
              <w:rPr>
                <w:b/>
                <w:bCs/>
                <w:color w:val="000000"/>
                <w:szCs w:val="20"/>
                <w:lang w:eastAsia="en-GB"/>
              </w:rPr>
              <w:t> </w:t>
            </w:r>
          </w:p>
          <w:p>
            <w:pPr>
              <w:pStyle w:val="Normal"/>
              <w:rPr/>
            </w:pPr>
            <w:r>
              <w:rPr>
                <w:b/>
                <w:bCs/>
                <w:color w:val="000000"/>
                <w:szCs w:val="20"/>
                <w:lang w:eastAsia="en-GB"/>
              </w:rPr>
              <w:t>Country</w:t>
            </w:r>
          </w:p>
          <w:p>
            <w:pPr>
              <w:pStyle w:val="Normal"/>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
                <w:bCs/>
                <w:color w:val="000000"/>
                <w:szCs w:val="20"/>
                <w:lang w:eastAsia="en-GB"/>
              </w:rPr>
              <w:t>Role and tasks in the Work Package</w:t>
            </w:r>
          </w:p>
          <w:p>
            <w:pPr>
              <w:pStyle w:val="Normal"/>
              <w:rPr/>
            </w:pPr>
            <w:r>
              <w:rPr>
                <w:b/>
                <w:bCs/>
                <w:color w:val="000000"/>
                <w:szCs w:val="20"/>
                <w:lang w:eastAsia="en-GB"/>
              </w:rPr>
              <w:t> </w:t>
            </w:r>
          </w:p>
          <w:p>
            <w:pPr>
              <w:pStyle w:val="Normal"/>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P(x)</w:t>
            </w:r>
          </w:p>
          <w:p>
            <w:pPr>
              <w:pStyle w:val="Normal"/>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pPr>
            <w:r>
              <w:rPr>
                <w:color w:val="000000"/>
                <w:szCs w:val="20"/>
                <w:lang w:eastAsia="en-GB"/>
              </w:rPr>
              <w:t>P(x)</w:t>
            </w:r>
          </w:p>
          <w:p>
            <w:pPr>
              <w:pStyle w:val="Normal"/>
              <w:jc w:val="both"/>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39"/>
      <w:footerReference w:type="default" r:id="rId40"/>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3</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56</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61</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64</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9</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11</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16</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65</w:t>
    </w:r>
    <w:r>
      <w:rP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52</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65</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tab/>
        <w:tab/>
      </w:r>
      <w:r>
        <w:rPr>
          <w:sz w:val="16"/>
          <w:szCs w:val="16"/>
        </w:rPr>
        <w:t>E.g. chambers of commerce, trade union, intermediary, sectorial representation, etc.</w:t>
      </w:r>
    </w:p>
  </w:footnote>
  <w:footnote w:id="3">
    <w:p>
      <w:pPr>
        <w:pStyle w:val="Funote"/>
        <w:rPr/>
      </w:pPr>
      <w:r>
        <w:rPr>
          <w:rStyle w:val="Funotenzeichen"/>
        </w:rPr>
        <w:footnoteRef/>
      </w:r>
      <w:r>
        <w:rPr>
          <w:rStyle w:val="Funotenzeichen"/>
        </w:rPr>
        <w:tab/>
      </w:r>
      <w:r>
        <w:rPr>
          <w:rStyle w:val="Funotenzeichen"/>
        </w:rPr>
        <w:tab/>
        <w:tab/>
        <w:tab/>
      </w:r>
      <w:r>
        <w:rPr>
          <w:sz w:val="18"/>
          <w:szCs w:val="18"/>
        </w:rPr>
        <w:t>See list in the Erasmus+ Programme Guide, part A</w:t>
      </w:r>
      <w:r>
        <w:rPr/>
        <w:t xml:space="preserve"> '</w:t>
      </w:r>
      <w:r>
        <w:rPr>
          <w:sz w:val="18"/>
          <w:szCs w:val="18"/>
        </w:rPr>
        <w:t>Who can participate in the Erasmus+ Programme?'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sz w:val="20"/>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360"/>
        </w:tabs>
        <w:ind w:left="360" w:hanging="360"/>
      </w:pPr>
      <w:rPr>
        <w:rFonts w:ascii="Symbol" w:hAnsi="Symbol" w:cs="Symbol" w:hint="default"/>
        <w:sz w:val="20"/>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8">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9">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0">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2">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3">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4">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5">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6">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7">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8">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7"/>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color w:val="000000" w:themeColor="text1"/>
      <w:szCs w:val="20"/>
    </w:rPr>
  </w:style>
  <w:style w:type="character" w:styleId="ListLabel78">
    <w:name w:val="ListLabel 78"/>
    <w:qFormat/>
    <w:rPr>
      <w:i/>
      <w:szCs w:val="20"/>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color w:val="000000" w:themeColor="text1"/>
      <w:szCs w:val="20"/>
    </w:rPr>
  </w:style>
  <w:style w:type="character" w:styleId="ListLabel98">
    <w:name w:val="ListLabel 98"/>
    <w:qFormat/>
    <w:rPr>
      <w:i/>
      <w:szCs w:val="20"/>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color w:val="000000" w:themeColor="text1"/>
      <w:szCs w:val="20"/>
    </w:rPr>
  </w:style>
  <w:style w:type="character" w:styleId="ListLabel118">
    <w:name w:val="ListLabel 118"/>
    <w:qFormat/>
    <w:rPr>
      <w:i/>
      <w:szCs w:val="20"/>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color w:val="000000" w:themeColor="text1"/>
      <w:szCs w:val="20"/>
    </w:rPr>
  </w:style>
  <w:style w:type="character" w:styleId="ListLabel138">
    <w:name w:val="ListLabel 138"/>
    <w:qFormat/>
    <w:rPr>
      <w:i/>
      <w:szCs w:val="20"/>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color w:val="000000" w:themeColor="text1"/>
      <w:szCs w:val="20"/>
    </w:rPr>
  </w:style>
  <w:style w:type="character" w:styleId="ListLabel158">
    <w:name w:val="ListLabel 158"/>
    <w:qFormat/>
    <w:rPr>
      <w:i/>
      <w:szCs w:val="20"/>
    </w:rPr>
  </w:style>
  <w:style w:type="character" w:styleId="Nummerierungszeichen">
    <w:name w:val="Nummerierungszeichen"/>
    <w:qFormat/>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szCs w:val="20"/>
    </w:rPr>
  </w:style>
  <w:style w:type="character" w:styleId="ListLabel189">
    <w:name w:val="ListLabel 189"/>
    <w:qFormat/>
    <w:rPr>
      <w:color w:val="000000" w:themeColor="text1"/>
      <w:szCs w:val="20"/>
    </w:rPr>
  </w:style>
  <w:style w:type="character" w:styleId="ListLabel190">
    <w:name w:val="ListLabel 190"/>
    <w:qFormat/>
    <w:rPr>
      <w:i/>
      <w:szCs w:val="20"/>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b w:val="false"/>
      <w:bCs w:val="false"/>
    </w:rPr>
  </w:style>
  <w:style w:type="character" w:styleId="ListLabel219">
    <w:name w:val="ListLabel 219"/>
    <w:qFormat/>
    <w:rPr>
      <w:szCs w:val="20"/>
    </w:rPr>
  </w:style>
  <w:style w:type="character" w:styleId="ListLabel220">
    <w:name w:val="ListLabel 220"/>
    <w:qFormat/>
    <w:rPr>
      <w:color w:val="000000" w:themeColor="text1"/>
      <w:szCs w:val="20"/>
    </w:rPr>
  </w:style>
  <w:style w:type="character" w:styleId="ListLabel221">
    <w:name w:val="ListLabel 221"/>
    <w:qFormat/>
    <w:rPr>
      <w:i/>
      <w:szCs w:val="20"/>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style>
  <w:style w:type="character" w:styleId="ListLabel250">
    <w:name w:val="ListLabel 250"/>
    <w:qFormat/>
    <w:rPr>
      <w:vanish w:val="false"/>
    </w:rPr>
  </w:style>
  <w:style w:type="character" w:styleId="ListLabel251">
    <w:name w:val="ListLabel 251"/>
    <w:qFormat/>
    <w:rPr>
      <w:i/>
    </w:rPr>
  </w:style>
  <w:style w:type="character" w:styleId="ListLabel252">
    <w:name w:val="ListLabel 252"/>
    <w:qFormat/>
    <w:rPr>
      <w:i w:val="false"/>
      <w:iCs w:val="false"/>
    </w:rPr>
  </w:style>
  <w:style w:type="character" w:styleId="ListLabel253">
    <w:name w:val="ListLabel 253"/>
    <w:qFormat/>
    <w:rPr>
      <w:b w:val="false"/>
      <w:bCs w:val="false"/>
    </w:rPr>
  </w:style>
  <w:style w:type="character" w:styleId="ListLabel254">
    <w:name w:val="ListLabel 254"/>
    <w:qFormat/>
    <w:rPr>
      <w:szCs w:val="20"/>
    </w:rPr>
  </w:style>
  <w:style w:type="character" w:styleId="ListLabel255">
    <w:name w:val="ListLabel 255"/>
    <w:qFormat/>
    <w:rPr>
      <w:color w:val="000000" w:themeColor="text1"/>
      <w:szCs w:val="20"/>
    </w:rPr>
  </w:style>
  <w:style w:type="character" w:styleId="ListLabel256">
    <w:name w:val="ListLabel 256"/>
    <w:qFormat/>
    <w:rPr>
      <w:i/>
      <w:szCs w:val="20"/>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vanish w:val="false"/>
    </w:rPr>
  </w:style>
  <w:style w:type="character" w:styleId="ListLabel285">
    <w:name w:val="ListLabel 285"/>
    <w:qFormat/>
    <w:rPr>
      <w:i/>
    </w:rPr>
  </w:style>
  <w:style w:type="character" w:styleId="ListLabel286">
    <w:name w:val="ListLabel 286"/>
    <w:qFormat/>
    <w:rPr/>
  </w:style>
  <w:style w:type="character" w:styleId="ListLabel287">
    <w:name w:val="ListLabel 287"/>
    <w:qFormat/>
    <w:rPr>
      <w:i w:val="false"/>
      <w:iCs w:val="false"/>
    </w:rPr>
  </w:style>
  <w:style w:type="character" w:styleId="ListLabel288">
    <w:name w:val="ListLabel 288"/>
    <w:qFormat/>
    <w:rPr>
      <w:b w:val="false"/>
      <w:bCs w:val="false"/>
    </w:rPr>
  </w:style>
  <w:style w:type="character" w:styleId="ListLabel289">
    <w:name w:val="ListLabel 289"/>
    <w:qFormat/>
    <w:rPr>
      <w:szCs w:val="20"/>
    </w:rPr>
  </w:style>
  <w:style w:type="character" w:styleId="ListLabel290">
    <w:name w:val="ListLabel 290"/>
    <w:qFormat/>
    <w:rPr>
      <w:color w:val="000000" w:themeColor="text1"/>
      <w:szCs w:val="20"/>
    </w:rPr>
  </w:style>
  <w:style w:type="character" w:styleId="ListLabel291">
    <w:name w:val="ListLabel 291"/>
    <w:qFormat/>
    <w:rPr>
      <w:i/>
      <w:szCs w:val="20"/>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b w:val="false"/>
      <w:bCs w:val="false"/>
    </w:rPr>
  </w:style>
  <w:style w:type="character" w:styleId="ListLabel374">
    <w:name w:val="ListLabel 374"/>
    <w:qFormat/>
    <w:rPr>
      <w:szCs w:val="20"/>
    </w:rPr>
  </w:style>
  <w:style w:type="character" w:styleId="ListLabel375">
    <w:name w:val="ListLabel 375"/>
    <w:qFormat/>
    <w:rPr>
      <w:color w:val="000000" w:themeColor="text1"/>
      <w:szCs w:val="20"/>
    </w:rPr>
  </w:style>
  <w:style w:type="character" w:styleId="ListLabel376">
    <w:name w:val="ListLabel 376"/>
    <w:qFormat/>
    <w:rPr>
      <w:i/>
      <w:szCs w:val="20"/>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b w:val="false"/>
      <w:bCs w:val="false"/>
    </w:rPr>
  </w:style>
  <w:style w:type="character" w:styleId="ListLabel459">
    <w:name w:val="ListLabel 459"/>
    <w:qFormat/>
    <w:rPr>
      <w:szCs w:val="20"/>
    </w:rPr>
  </w:style>
  <w:style w:type="character" w:styleId="ListLabel460">
    <w:name w:val="ListLabel 460"/>
    <w:qFormat/>
    <w:rPr>
      <w:color w:val="000000" w:themeColor="text1"/>
      <w:szCs w:val="20"/>
    </w:rPr>
  </w:style>
  <w:style w:type="character" w:styleId="ListLabel461">
    <w:name w:val="ListLabel 461"/>
    <w:qFormat/>
    <w:rPr>
      <w:i/>
      <w:szCs w:val="20"/>
    </w:rPr>
  </w:style>
  <w:style w:type="character" w:styleId="Tlidtranslation">
    <w:name w:val="tlid-translation"/>
    <w:qFormat/>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b w:val="false"/>
      <w:bCs w:val="false"/>
    </w:rPr>
  </w:style>
  <w:style w:type="character" w:styleId="ListLabel580">
    <w:name w:val="ListLabel 580"/>
    <w:qFormat/>
    <w:rPr>
      <w:szCs w:val="20"/>
    </w:rPr>
  </w:style>
  <w:style w:type="character" w:styleId="ListLabel581">
    <w:name w:val="ListLabel 581"/>
    <w:qFormat/>
    <w:rPr>
      <w:color w:val="000000" w:themeColor="text1"/>
      <w:szCs w:val="20"/>
    </w:rPr>
  </w:style>
  <w:style w:type="character" w:styleId="ListLabel582">
    <w:name w:val="ListLabel 582"/>
    <w:qFormat/>
    <w:rPr>
      <w:rFonts w:ascii="Times New Roman" w:hAnsi="Times New Roman" w:cs="Arial"/>
      <w:b w:val="false"/>
      <w:bCs w:val="false"/>
      <w:sz w:val="24"/>
      <w:szCs w:val="24"/>
    </w:rPr>
  </w:style>
  <w:style w:type="character" w:styleId="ListLabel583">
    <w:name w:val="ListLabel 583"/>
    <w:qFormat/>
    <w:rPr>
      <w:rFonts w:ascii="Times New Roman" w:hAnsi="Times New Roman" w:cs="Arial"/>
      <w:sz w:val="24"/>
      <w:szCs w:val="24"/>
    </w:rPr>
  </w:style>
  <w:style w:type="character" w:styleId="ListLabel584">
    <w:name w:val="ListLabel 584"/>
    <w:qFormat/>
    <w:rPr>
      <w:rFonts w:cs="Calibri" w:cstheme="minorHAnsi"/>
      <w:szCs w:val="20"/>
      <w:lang w:val="en-US"/>
    </w:rPr>
  </w:style>
  <w:style w:type="character" w:styleId="ListLabel585">
    <w:name w:val="ListLabel 585"/>
    <w:qFormat/>
    <w:rPr>
      <w:rFonts w:cs="Calibri" w:cstheme="minorHAnsi"/>
      <w:szCs w:val="20"/>
      <w:u w:val="none"/>
      <w:lang w:val="en-US"/>
    </w:rPr>
  </w:style>
  <w:style w:type="character" w:styleId="ListLabel586">
    <w:name w:val="ListLabel 586"/>
    <w:qFormat/>
    <w:rPr>
      <w:rFonts w:cs="Calibri" w:cstheme="minorHAnsi"/>
      <w:szCs w:val="20"/>
      <w:u w:val="none"/>
      <w:lang w:val="en-US"/>
    </w:rPr>
  </w:style>
  <w:style w:type="character" w:styleId="ListLabel587">
    <w:name w:val="ListLabel 587"/>
    <w:qFormat/>
    <w:rPr>
      <w:rFonts w:cs="Calibri" w:cstheme="minorHAnsi"/>
      <w:bCs/>
      <w:szCs w:val="20"/>
      <w:lang w:val="en-GB"/>
    </w:rPr>
  </w:style>
  <w:style w:type="character" w:styleId="ListLabel588">
    <w:name w:val="ListLabel 588"/>
    <w:qFormat/>
    <w:rPr>
      <w:lang w:val="en-GB"/>
    </w:rPr>
  </w:style>
  <w:style w:type="character" w:styleId="ListLabel589">
    <w:name w:val="ListLabel 589"/>
    <w:qFormat/>
    <w:rPr>
      <w:i/>
      <w:szCs w:val="20"/>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b w:val="false"/>
      <w:bCs w:val="false"/>
    </w:rPr>
  </w:style>
  <w:style w:type="character" w:styleId="ListLabel708">
    <w:name w:val="ListLabel 708"/>
    <w:qFormat/>
    <w:rPr>
      <w:szCs w:val="20"/>
    </w:rPr>
  </w:style>
  <w:style w:type="character" w:styleId="ListLabel709">
    <w:name w:val="ListLabel 709"/>
    <w:qFormat/>
    <w:rPr>
      <w:rFonts w:eastAsia="SimSun" w:cs="Times New Roman"/>
      <w:bCs/>
      <w:sz w:val="20"/>
      <w:szCs w:val="20"/>
      <w:lang w:val="en-US" w:eastAsia="zh-CN"/>
    </w:rPr>
  </w:style>
  <w:style w:type="character" w:styleId="ListLabel710">
    <w:name w:val="ListLabel 710"/>
    <w:qFormat/>
    <w:rPr>
      <w:color w:val="000000" w:themeColor="text1"/>
      <w:szCs w:val="20"/>
    </w:rPr>
  </w:style>
  <w:style w:type="character" w:styleId="ListLabel711">
    <w:name w:val="ListLabel 711"/>
    <w:qFormat/>
    <w:rPr>
      <w:rFonts w:cs="Arial"/>
      <w:b w:val="false"/>
      <w:bCs w:val="false"/>
      <w:sz w:val="24"/>
      <w:szCs w:val="24"/>
    </w:rPr>
  </w:style>
  <w:style w:type="character" w:styleId="ListLabel712">
    <w:name w:val="ListLabel 712"/>
    <w:qFormat/>
    <w:rPr>
      <w:rFonts w:cs="Arial"/>
      <w:sz w:val="24"/>
      <w:szCs w:val="24"/>
    </w:rPr>
  </w:style>
  <w:style w:type="character" w:styleId="ListLabel713">
    <w:name w:val="ListLabel 713"/>
    <w:qFormat/>
    <w:rPr>
      <w:rFonts w:cs="Calibri" w:cstheme="minorHAnsi"/>
      <w:szCs w:val="20"/>
      <w:lang w:val="en-US"/>
    </w:rPr>
  </w:style>
  <w:style w:type="character" w:styleId="ListLabel714">
    <w:name w:val="ListLabel 714"/>
    <w:qFormat/>
    <w:rPr>
      <w:rFonts w:cs="Calibri" w:cstheme="minorHAnsi"/>
      <w:szCs w:val="20"/>
      <w:u w:val="none"/>
      <w:lang w:val="en-US"/>
    </w:rPr>
  </w:style>
  <w:style w:type="character" w:styleId="ListLabel715">
    <w:name w:val="ListLabel 715"/>
    <w:qFormat/>
    <w:rPr>
      <w:rFonts w:cs="Calibri" w:cstheme="minorHAnsi"/>
      <w:bCs/>
      <w:szCs w:val="20"/>
      <w:lang w:val="en-GB"/>
    </w:rPr>
  </w:style>
  <w:style w:type="character" w:styleId="ListLabel716">
    <w:name w:val="ListLabel 716"/>
    <w:qFormat/>
    <w:rPr>
      <w:lang w:val="en-GB"/>
    </w:rPr>
  </w:style>
  <w:style w:type="character" w:styleId="ListLabel717">
    <w:name w:val="ListLabel 717"/>
    <w:qFormat/>
    <w:rPr>
      <w:i/>
      <w:szCs w:val="20"/>
    </w:rPr>
  </w:style>
  <w:style w:type="character" w:styleId="ListLabel718">
    <w:name w:val="ListLabel 718"/>
    <w:qFormat/>
    <w:rPr>
      <w:rFonts w:cs="OpenSymbol"/>
      <w:sz w:val="20"/>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sz w:val="20"/>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b w:val="false"/>
      <w:bCs w:val="false"/>
    </w:rPr>
  </w:style>
  <w:style w:type="character" w:styleId="ListLabel854">
    <w:name w:val="ListLabel 854"/>
    <w:qFormat/>
    <w:rPr>
      <w:szCs w:val="20"/>
    </w:rPr>
  </w:style>
  <w:style w:type="character" w:styleId="ListLabel855">
    <w:name w:val="ListLabel 855"/>
    <w:qFormat/>
    <w:rPr>
      <w:rFonts w:eastAsia="SimSun" w:cs="Times New Roman"/>
      <w:bCs/>
      <w:sz w:val="20"/>
      <w:szCs w:val="20"/>
      <w:lang w:val="en-US" w:eastAsia="zh-CN"/>
    </w:rPr>
  </w:style>
  <w:style w:type="character" w:styleId="ListLabel856">
    <w:name w:val="ListLabel 856"/>
    <w:qFormat/>
    <w:rPr>
      <w:color w:val="000000" w:themeColor="text1"/>
      <w:szCs w:val="20"/>
    </w:rPr>
  </w:style>
  <w:style w:type="character" w:styleId="ListLabel857">
    <w:name w:val="ListLabel 857"/>
    <w:qFormat/>
    <w:rPr>
      <w:rFonts w:cs="Arial"/>
      <w:b w:val="false"/>
      <w:bCs w:val="false"/>
      <w:sz w:val="24"/>
      <w:szCs w:val="24"/>
    </w:rPr>
  </w:style>
  <w:style w:type="character" w:styleId="ListLabel858">
    <w:name w:val="ListLabel 858"/>
    <w:qFormat/>
    <w:rPr>
      <w:rFonts w:cs="Arial"/>
      <w:sz w:val="24"/>
      <w:szCs w:val="24"/>
    </w:rPr>
  </w:style>
  <w:style w:type="character" w:styleId="ListLabel859">
    <w:name w:val="ListLabel 859"/>
    <w:qFormat/>
    <w:rPr>
      <w:rFonts w:cs="Calibri" w:cstheme="minorHAnsi"/>
      <w:szCs w:val="20"/>
      <w:lang w:val="en-US"/>
    </w:rPr>
  </w:style>
  <w:style w:type="character" w:styleId="ListLabel860">
    <w:name w:val="ListLabel 860"/>
    <w:qFormat/>
    <w:rPr>
      <w:rFonts w:cs="Calibri" w:cstheme="minorHAnsi"/>
      <w:szCs w:val="20"/>
      <w:u w:val="none"/>
      <w:lang w:val="en-US"/>
    </w:rPr>
  </w:style>
  <w:style w:type="character" w:styleId="ListLabel861">
    <w:name w:val="ListLabel 861"/>
    <w:qFormat/>
    <w:rPr>
      <w:rFonts w:cs="Calibri" w:cstheme="minorHAnsi"/>
      <w:bCs/>
      <w:szCs w:val="20"/>
      <w:lang w:val="en-GB"/>
    </w:rPr>
  </w:style>
  <w:style w:type="character" w:styleId="ListLabel862">
    <w:name w:val="ListLabel 862"/>
    <w:qFormat/>
    <w:rPr>
      <w:lang w:val="en-GB"/>
    </w:rPr>
  </w:style>
  <w:style w:type="character" w:styleId="ListLabel863">
    <w:name w:val="ListLabel 863"/>
    <w:qFormat/>
    <w:rPr>
      <w:i/>
      <w:szCs w:val="20"/>
    </w:rPr>
  </w:style>
  <w:style w:type="character" w:styleId="AbsatzStandardschriftart">
    <w:name w:val="Absatz-Standardschriftart"/>
    <w:qFormat/>
    <w:rPr/>
  </w:style>
  <w:style w:type="character" w:styleId="Betont">
    <w:name w:val="Betont"/>
    <w:qFormat/>
    <w:rPr>
      <w:i/>
      <w:iCs/>
    </w:rPr>
  </w:style>
  <w:style w:type="character" w:styleId="Starkbetont">
    <w:name w:val="Stark betont"/>
    <w:qFormat/>
    <w:rPr>
      <w:b/>
      <w:bCs/>
    </w:rPr>
  </w:style>
  <w:style w:type="character" w:styleId="ListLabel864">
    <w:name w:val="ListLabel 864"/>
    <w:qFormat/>
    <w:rPr>
      <w:rFonts w:cs="OpenSymbol"/>
      <w:sz w:val="20"/>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sz w:val="20"/>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b w:val="false"/>
      <w:bCs w:val="false"/>
    </w:rPr>
  </w:style>
  <w:style w:type="character" w:styleId="ListLabel991">
    <w:name w:val="ListLabel 991"/>
    <w:qFormat/>
    <w:rPr>
      <w:szCs w:val="20"/>
    </w:rPr>
  </w:style>
  <w:style w:type="character" w:styleId="ListLabel992">
    <w:name w:val="ListLabel 992"/>
    <w:qFormat/>
    <w:rPr>
      <w:rFonts w:ascii="Times New Roman" w:hAnsi="Times New Roman"/>
      <w:color w:val="auto"/>
      <w:sz w:val="20"/>
      <w:szCs w:val="20"/>
      <w:lang w:val="en-US"/>
    </w:rPr>
  </w:style>
  <w:style w:type="character" w:styleId="ListLabel993">
    <w:name w:val="ListLabel 993"/>
    <w:qFormat/>
    <w:rPr>
      <w:rFonts w:eastAsia="SimSun" w:cs="Times New Roman"/>
      <w:bCs/>
      <w:sz w:val="20"/>
      <w:szCs w:val="20"/>
      <w:lang w:val="en-US" w:eastAsia="zh-CN"/>
    </w:rPr>
  </w:style>
  <w:style w:type="character" w:styleId="ListLabel994">
    <w:name w:val="ListLabel 994"/>
    <w:qFormat/>
    <w:rPr>
      <w:color w:val="000000" w:themeColor="text1"/>
      <w:szCs w:val="20"/>
    </w:rPr>
  </w:style>
  <w:style w:type="character" w:styleId="ListLabel995">
    <w:name w:val="ListLabel 995"/>
    <w:qFormat/>
    <w:rPr>
      <w:rFonts w:cs="Arial"/>
      <w:b w:val="false"/>
      <w:bCs w:val="false"/>
      <w:sz w:val="24"/>
      <w:szCs w:val="24"/>
    </w:rPr>
  </w:style>
  <w:style w:type="character" w:styleId="ListLabel996">
    <w:name w:val="ListLabel 996"/>
    <w:qFormat/>
    <w:rPr>
      <w:rFonts w:cs="Arial"/>
      <w:sz w:val="24"/>
      <w:szCs w:val="24"/>
    </w:rPr>
  </w:style>
  <w:style w:type="character" w:styleId="ListLabel997">
    <w:name w:val="ListLabel 997"/>
    <w:qFormat/>
    <w:rPr>
      <w:rFonts w:cs="Calibri" w:cstheme="minorHAnsi"/>
      <w:szCs w:val="20"/>
      <w:lang w:val="en-US"/>
    </w:rPr>
  </w:style>
  <w:style w:type="character" w:styleId="ListLabel998">
    <w:name w:val="ListLabel 998"/>
    <w:qFormat/>
    <w:rPr>
      <w:rFonts w:cs="Calibri" w:cstheme="minorHAnsi"/>
      <w:szCs w:val="20"/>
      <w:u w:val="none"/>
      <w:lang w:val="en-US"/>
    </w:rPr>
  </w:style>
  <w:style w:type="character" w:styleId="ListLabel999">
    <w:name w:val="ListLabel 999"/>
    <w:qFormat/>
    <w:rPr>
      <w:rFonts w:cs="Calibri" w:cstheme="minorHAnsi"/>
      <w:bCs/>
      <w:szCs w:val="20"/>
      <w:lang w:val="en-GB"/>
    </w:rPr>
  </w:style>
  <w:style w:type="character" w:styleId="ListLabel1000">
    <w:name w:val="ListLabel 1000"/>
    <w:qFormat/>
    <w:rPr>
      <w:lang w:val="en-GB"/>
    </w:rPr>
  </w:style>
  <w:style w:type="character" w:styleId="ListLabel1001">
    <w:name w:val="ListLabel 1001"/>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fals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fals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fals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paragraph" w:styleId="TOAHeading">
    <w:name w:val="TOA Heading"/>
    <w:basedOn w:val="Berschrift"/>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umm-project.github.io/Erasmus/LOI-IHK-Heilbronn.pdf" TargetMode="External"/><Relationship Id="rId6" Type="http://schemas.openxmlformats.org/officeDocument/2006/relationships/hyperlink" Target="https://wumm-project.github.io/Erasmus/Busov-20191218-Survey.pdf" TargetMode="Externa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s://www.uni-leipzig.de/en/" TargetMode="External"/><Relationship Id="rId14" Type="http://schemas.openxmlformats.org/officeDocument/2006/relationships/hyperlink" Target="https://www.zenodo.org/record/228162" TargetMode="External"/><Relationship Id="rId15" Type="http://schemas.openxmlformats.org/officeDocument/2006/relationships/hyperlink" Target="http://www.hs-offenburg.de/" TargetMode="External"/><Relationship Id="rId16" Type="http://schemas.openxmlformats.org/officeDocument/2006/relationships/hyperlink" Target="https://www.tehnoprodplast.ro/" TargetMode="External"/><Relationship Id="rId17" Type="http://schemas.openxmlformats.org/officeDocument/2006/relationships/hyperlink" Target="http://target-invention.com/" TargetMode="External"/><Relationship Id="rId18" Type="http://schemas.openxmlformats.org/officeDocument/2006/relationships/hyperlink" Target="http://www.gnrtr.com/" TargetMode="External"/><Relationship Id="rId19" Type="http://schemas.openxmlformats.org/officeDocument/2006/relationships/hyperlink" Target="https://www.trizland.ru/authors/159" TargetMode="External"/><Relationship Id="rId20" Type="http://schemas.openxmlformats.org/officeDocument/2006/relationships/hyperlink" Target="https://eacea.ec.europa.eu/erasmus-plus/actions/erasmus-charter_en" TargetMode="Externa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footnotes" Target="footnotes.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Application>LibreOffice/6.0.7.3$Linux_X86_64 LibreOffice_project/00m0$Build-3</Application>
  <Pages>65</Pages>
  <Words>17065</Words>
  <Characters>100028</Characters>
  <CharactersWithSpaces>116415</CharactersWithSpaces>
  <Paragraphs>1486</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2020-02-13T12:20:38Z</dcterms:modified>
  <cp:revision>179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