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B9FE" w14:textId="411E418B" w:rsidR="004021C9" w:rsidRPr="004E2389" w:rsidRDefault="00F2594F" w:rsidP="00497CD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Arial" w:eastAsia="宋体" w:hAnsi="Arial" w:cs="Arial"/>
          <w:color w:val="EE0000"/>
          <w:kern w:val="0"/>
          <w:sz w:val="22"/>
        </w:rPr>
      </w:pPr>
      <w:r w:rsidRPr="004E2389">
        <w:rPr>
          <w:rFonts w:ascii="Arial" w:eastAsia="宋体" w:hAnsi="Arial" w:cs="Arial"/>
          <w:b/>
          <w:bCs/>
          <w:color w:val="EE0000"/>
          <w:kern w:val="0"/>
          <w:sz w:val="22"/>
          <w:u w:val="single"/>
        </w:rPr>
        <w:t>Reviewer #1:</w:t>
      </w:r>
    </w:p>
    <w:p w14:paraId="0FD63067" w14:textId="77777777"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highlight w:val="yellow"/>
        </w:rPr>
        <w:t>Major Concerns (requiring revision)</w:t>
      </w:r>
    </w:p>
    <w:p w14:paraId="5BCF0E62" w14:textId="77777777"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1) Class-thresholding strategy may inflate metrics</w:t>
      </w:r>
    </w:p>
    <w:p w14:paraId="47D81EA2" w14:textId="77777777"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The paper converts continuous scores to binary labels using the median per (allele × peptide-length × tool). This enforces a 50/50 class balance within each stratum and can artificially improve threshold-dependent metrics (Accuracy, F1, MCC, Precision/Recall), complicate cross-tool comparability, and distort AUPRC interpretation (which is sensitive to class prevalence). Please either:</w:t>
      </w:r>
    </w:p>
    <w:p w14:paraId="38A4A3A3" w14:textId="543EE809" w:rsidR="004021C9" w:rsidRPr="004E2389" w:rsidRDefault="00F2594F" w:rsidP="00DB6EC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*Recompute classification metrics using fixed, tool-recommended thresholds (where available) and a single global operating point per tool; and/or</w:t>
      </w:r>
    </w:p>
    <w:p w14:paraId="2FB1B31B" w14:textId="54B2E83F"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*Use prevalence-aware analyses (e.g., PR curves with a common decision threshold selection rule, cost curves) and emphasize threshold-free metrics (ROC/PR curves with summary statistics like partial AUC or average precision) rather than binarized summaries.</w:t>
      </w:r>
    </w:p>
    <w:p w14:paraId="6C7E0768" w14:textId="6E849306"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kern w:val="0"/>
          <w:sz w:val="22"/>
        </w:rPr>
      </w:pPr>
      <w:r w:rsidRPr="004E2389">
        <w:rPr>
          <w:rFonts w:ascii="Arial" w:eastAsia="宋体" w:hAnsi="Arial" w:cs="Arial"/>
          <w:b/>
          <w:bCs/>
          <w:kern w:val="0"/>
          <w:sz w:val="22"/>
        </w:rPr>
        <w:t>*Report results under multiple plausible thresholds in Supplementary to demonstrate robustness.</w:t>
      </w:r>
    </w:p>
    <w:p w14:paraId="2A81444E" w14:textId="0F3D933E" w:rsidR="009B0536" w:rsidRDefault="009B053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color w:val="833C0B" w:themeColor="accent2" w:themeShade="80"/>
          <w:kern w:val="0"/>
          <w:sz w:val="22"/>
        </w:rPr>
      </w:pPr>
      <w:r w:rsidRPr="004E2389">
        <w:rPr>
          <w:rFonts w:ascii="Arial" w:eastAsia="宋体" w:hAnsi="Arial" w:cs="Arial"/>
          <w:b/>
          <w:color w:val="833C0B" w:themeColor="accent2" w:themeShade="80"/>
          <w:kern w:val="0"/>
          <w:sz w:val="22"/>
        </w:rPr>
        <w:t>NEW RESPONSE:</w:t>
      </w:r>
    </w:p>
    <w:p w14:paraId="0ADDC5FE" w14:textId="3F6DB9E2" w:rsidR="003D0C3E" w:rsidRPr="003D0C3E" w:rsidRDefault="003D0C3E" w:rsidP="003D0C3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833C0B" w:themeColor="accent2" w:themeShade="80"/>
          <w:kern w:val="0"/>
          <w:sz w:val="22"/>
        </w:rPr>
      </w:pPr>
      <w:r w:rsidRPr="003D0C3E">
        <w:rPr>
          <w:rFonts w:ascii="Arial" w:eastAsia="宋体" w:hAnsi="Arial" w:cs="Arial"/>
          <w:bCs/>
          <w:color w:val="833C0B" w:themeColor="accent2" w:themeShade="80"/>
          <w:kern w:val="0"/>
          <w:sz w:val="22"/>
        </w:rPr>
        <w:t>We recognize that only five tools in our study provide official recommended thresholds</w:t>
      </w:r>
      <w:r>
        <w:rPr>
          <w:rFonts w:ascii="Arial" w:eastAsia="宋体" w:hAnsi="Arial" w:cs="Arial" w:hint="eastAsia"/>
          <w:bCs/>
          <w:color w:val="833C0B" w:themeColor="accent2" w:themeShade="80"/>
          <w:kern w:val="0"/>
          <w:sz w:val="22"/>
        </w:rPr>
        <w:t xml:space="preserve">: </w:t>
      </w:r>
      <w:r w:rsidRPr="00F96CD0">
        <w:rPr>
          <w:rFonts w:ascii="Arial" w:eastAsia="宋体" w:hAnsi="Arial" w:cs="Arial"/>
          <w:bCs/>
          <w:color w:val="833C0B" w:themeColor="accent2" w:themeShade="80"/>
          <w:kern w:val="0"/>
          <w:sz w:val="22"/>
        </w:rPr>
        <w:t>MHCflurry2.0_BA</w:t>
      </w:r>
      <w:r>
        <w:rPr>
          <w:rFonts w:ascii="Arial" w:eastAsia="宋体" w:hAnsi="Arial" w:cs="Arial" w:hint="eastAsia"/>
          <w:bCs/>
          <w:color w:val="833C0B" w:themeColor="accent2" w:themeShade="80"/>
          <w:kern w:val="0"/>
          <w:sz w:val="22"/>
        </w:rPr>
        <w:t xml:space="preserve"> (</w:t>
      </w:r>
      <w:r w:rsidRPr="00F96CD0">
        <w:rPr>
          <w:rFonts w:ascii="Arial" w:eastAsia="宋体" w:hAnsi="Arial" w:cs="Arial"/>
          <w:bCs/>
          <w:color w:val="833C0B" w:themeColor="accent2" w:themeShade="80"/>
          <w:kern w:val="0"/>
          <w:sz w:val="22"/>
        </w:rPr>
        <w:t>binding affinity rank &gt; 2% is</w:t>
      </w:r>
      <w:r>
        <w:rPr>
          <w:rFonts w:ascii="Arial" w:eastAsia="宋体" w:hAnsi="Arial" w:cs="Arial" w:hint="eastAsia"/>
          <w:bCs/>
          <w:color w:val="833C0B" w:themeColor="accent2" w:themeShade="80"/>
          <w:kern w:val="0"/>
          <w:sz w:val="22"/>
        </w:rPr>
        <w:t xml:space="preserve"> negative), </w:t>
      </w:r>
      <w:r w:rsidRPr="00F96CD0">
        <w:rPr>
          <w:rFonts w:ascii="Arial" w:eastAsia="宋体" w:hAnsi="Arial" w:cs="Arial"/>
          <w:bCs/>
          <w:color w:val="833C0B" w:themeColor="accent2" w:themeShade="80"/>
          <w:kern w:val="0"/>
          <w:sz w:val="22"/>
        </w:rPr>
        <w:t>NetMHCpan4.1_BA</w:t>
      </w:r>
      <w:r>
        <w:rPr>
          <w:rFonts w:ascii="Arial" w:eastAsia="宋体" w:hAnsi="Arial" w:cs="Arial" w:hint="eastAsia"/>
          <w:bCs/>
          <w:color w:val="833C0B" w:themeColor="accent2" w:themeShade="80"/>
          <w:kern w:val="0"/>
          <w:sz w:val="22"/>
        </w:rPr>
        <w:t xml:space="preserve"> (</w:t>
      </w:r>
      <w:r w:rsidRPr="00F96CD0">
        <w:rPr>
          <w:rFonts w:ascii="Arial" w:eastAsia="宋体" w:hAnsi="Arial" w:cs="Arial"/>
          <w:bCs/>
          <w:color w:val="833C0B" w:themeColor="accent2" w:themeShade="80"/>
          <w:kern w:val="0"/>
          <w:sz w:val="22"/>
        </w:rPr>
        <w:t>binding affinity rank &gt; 2%</w:t>
      </w:r>
      <w:r>
        <w:rPr>
          <w:rFonts w:ascii="Arial" w:eastAsia="宋体" w:hAnsi="Arial" w:cs="Arial" w:hint="eastAsia"/>
          <w:bCs/>
          <w:color w:val="833C0B" w:themeColor="accent2" w:themeShade="80"/>
          <w:kern w:val="0"/>
          <w:sz w:val="22"/>
        </w:rPr>
        <w:t xml:space="preserve"> is negative), </w:t>
      </w:r>
      <w:r w:rsidRPr="0076492D">
        <w:rPr>
          <w:rFonts w:ascii="Arial" w:eastAsia="宋体" w:hAnsi="Arial" w:cs="Arial"/>
          <w:bCs/>
          <w:color w:val="833C0B" w:themeColor="accent2" w:themeShade="80"/>
          <w:kern w:val="0"/>
          <w:sz w:val="22"/>
        </w:rPr>
        <w:t>NetMHCpan4.1_EL</w:t>
      </w:r>
      <w:r>
        <w:rPr>
          <w:rFonts w:ascii="Arial" w:eastAsia="宋体" w:hAnsi="Arial" w:cs="Arial" w:hint="eastAsia"/>
          <w:bCs/>
          <w:color w:val="833C0B" w:themeColor="accent2" w:themeShade="80"/>
          <w:kern w:val="0"/>
          <w:sz w:val="22"/>
        </w:rPr>
        <w:t xml:space="preserve"> (</w:t>
      </w:r>
      <w:r w:rsidRPr="00F96CD0">
        <w:rPr>
          <w:rFonts w:ascii="Arial" w:eastAsia="宋体" w:hAnsi="Arial" w:cs="Arial"/>
          <w:bCs/>
          <w:color w:val="833C0B" w:themeColor="accent2" w:themeShade="80"/>
          <w:kern w:val="0"/>
          <w:sz w:val="22"/>
        </w:rPr>
        <w:t>binding affinity rank &gt; 2%</w:t>
      </w:r>
      <w:r>
        <w:rPr>
          <w:rFonts w:ascii="Arial" w:eastAsia="宋体" w:hAnsi="Arial" w:cs="Arial" w:hint="eastAsia"/>
          <w:bCs/>
          <w:color w:val="833C0B" w:themeColor="accent2" w:themeShade="80"/>
          <w:kern w:val="0"/>
          <w:sz w:val="22"/>
        </w:rPr>
        <w:t xml:space="preserve"> is negative), </w:t>
      </w:r>
      <w:proofErr w:type="spellStart"/>
      <w:r w:rsidRPr="0076492D">
        <w:rPr>
          <w:rFonts w:ascii="Arial" w:eastAsia="宋体" w:hAnsi="Arial" w:cs="Arial"/>
          <w:bCs/>
          <w:color w:val="833C0B" w:themeColor="accent2" w:themeShade="80"/>
          <w:kern w:val="0"/>
          <w:sz w:val="22"/>
        </w:rPr>
        <w:t>TransPHLA</w:t>
      </w:r>
      <w:proofErr w:type="spellEnd"/>
      <w:r>
        <w:rPr>
          <w:rFonts w:ascii="Arial" w:eastAsia="宋体" w:hAnsi="Arial" w:cs="Arial" w:hint="eastAsia"/>
          <w:bCs/>
          <w:color w:val="833C0B" w:themeColor="accent2" w:themeShade="80"/>
          <w:kern w:val="0"/>
          <w:sz w:val="22"/>
        </w:rPr>
        <w:t xml:space="preserve"> (</w:t>
      </w:r>
      <w:r w:rsidRPr="00F96CD0">
        <w:rPr>
          <w:rFonts w:ascii="Arial" w:eastAsia="宋体" w:hAnsi="Arial" w:cs="Arial"/>
          <w:bCs/>
          <w:color w:val="833C0B" w:themeColor="accent2" w:themeShade="80"/>
          <w:kern w:val="0"/>
          <w:sz w:val="22"/>
        </w:rPr>
        <w:t>affinity &gt;=0.5 is positive</w:t>
      </w:r>
      <w:r>
        <w:rPr>
          <w:rFonts w:ascii="Arial" w:eastAsia="宋体" w:hAnsi="Arial" w:cs="Arial" w:hint="eastAsia"/>
          <w:bCs/>
          <w:color w:val="833C0B" w:themeColor="accent2" w:themeShade="80"/>
          <w:kern w:val="0"/>
          <w:sz w:val="22"/>
        </w:rPr>
        <w:t xml:space="preserve">), </w:t>
      </w:r>
      <w:r w:rsidRPr="0076492D">
        <w:rPr>
          <w:rFonts w:ascii="Arial" w:eastAsia="宋体" w:hAnsi="Arial" w:cs="Arial"/>
          <w:bCs/>
          <w:color w:val="833C0B" w:themeColor="accent2" w:themeShade="80"/>
          <w:kern w:val="0"/>
          <w:sz w:val="22"/>
        </w:rPr>
        <w:t>ACME</w:t>
      </w:r>
      <w:r>
        <w:rPr>
          <w:rFonts w:ascii="Arial" w:eastAsia="宋体" w:hAnsi="Arial" w:cs="Arial" w:hint="eastAsia"/>
          <w:bCs/>
          <w:color w:val="833C0B" w:themeColor="accent2" w:themeShade="80"/>
          <w:kern w:val="0"/>
          <w:sz w:val="22"/>
        </w:rPr>
        <w:t xml:space="preserve"> (</w:t>
      </w:r>
      <w:r w:rsidRPr="00F96CD0">
        <w:rPr>
          <w:rFonts w:ascii="Arial" w:eastAsia="宋体" w:hAnsi="Arial" w:cs="Arial"/>
          <w:bCs/>
          <w:color w:val="833C0B" w:themeColor="accent2" w:themeShade="80"/>
          <w:kern w:val="0"/>
          <w:sz w:val="22"/>
        </w:rPr>
        <w:t>affinity &gt;=0.5 is positive</w:t>
      </w:r>
      <w:r>
        <w:rPr>
          <w:rFonts w:ascii="Arial" w:eastAsia="宋体" w:hAnsi="Arial" w:cs="Arial" w:hint="eastAsia"/>
          <w:bCs/>
          <w:color w:val="833C0B" w:themeColor="accent2" w:themeShade="80"/>
          <w:kern w:val="0"/>
          <w:sz w:val="22"/>
        </w:rPr>
        <w:t>).</w:t>
      </w:r>
      <w:r w:rsidRPr="003D0C3E">
        <w:rPr>
          <w:rFonts w:ascii="Arial" w:eastAsia="宋体" w:hAnsi="Arial" w:cs="Arial"/>
          <w:bCs/>
          <w:color w:val="833C0B" w:themeColor="accent2" w:themeShade="80"/>
          <w:kern w:val="0"/>
          <w:sz w:val="22"/>
        </w:rPr>
        <w:t xml:space="preserve"> To address this limitation and enable a comprehensive, unbiased benchmarking of all 17 predictors, we adopted a unified, data-driven approach to determine the optimal operating point for each tool.</w:t>
      </w:r>
    </w:p>
    <w:p w14:paraId="790158F1" w14:textId="77777777" w:rsidR="003D0C3E" w:rsidRPr="003D0C3E" w:rsidRDefault="003D0C3E" w:rsidP="003D0C3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833C0B" w:themeColor="accent2" w:themeShade="80"/>
          <w:kern w:val="0"/>
          <w:sz w:val="22"/>
        </w:rPr>
      </w:pPr>
      <w:r w:rsidRPr="003D0C3E">
        <w:rPr>
          <w:rFonts w:ascii="Arial" w:eastAsia="宋体" w:hAnsi="Arial" w:cs="Arial"/>
          <w:bCs/>
          <w:color w:val="833C0B" w:themeColor="accent2" w:themeShade="80"/>
          <w:kern w:val="0"/>
          <w:sz w:val="22"/>
        </w:rPr>
        <w:t>Specifically, we abandoned the previous stratum-specific binarization to prevent artificial class balance distortion. Instead, we systematically scanned 1,000 candidate thresholds across the entire dataset to establish a single, globally optimal threshold for each tool. This global threshold was determined by maximizing a newly defined, prevalence-aware 'Comprehensive Score'—a weighted integration of MCC, F1-Score, Sensitivity, and Specificity—thereby strictly preventing metric inflation caused by data imbalance.</w:t>
      </w:r>
    </w:p>
    <w:p w14:paraId="43BE142E" w14:textId="77777777" w:rsidR="003D0C3E" w:rsidRPr="003D0C3E" w:rsidRDefault="003D0C3E" w:rsidP="003D0C3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833C0B" w:themeColor="accent2" w:themeShade="80"/>
          <w:kern w:val="0"/>
          <w:sz w:val="22"/>
        </w:rPr>
      </w:pPr>
      <w:r w:rsidRPr="003D0C3E">
        <w:rPr>
          <w:rFonts w:ascii="Arial" w:eastAsia="宋体" w:hAnsi="Arial" w:cs="Arial"/>
          <w:bCs/>
          <w:color w:val="833C0B" w:themeColor="accent2" w:themeShade="80"/>
          <w:kern w:val="0"/>
          <w:sz w:val="22"/>
        </w:rPr>
        <w:lastRenderedPageBreak/>
        <w:t xml:space="preserve">We would like to highlight that the performance of our recommended thresholds, detailed in </w:t>
      </w:r>
      <w:r w:rsidRPr="003D0C3E">
        <w:rPr>
          <w:rFonts w:ascii="Arial" w:eastAsia="宋体" w:hAnsi="Arial" w:cs="Arial"/>
          <w:b/>
          <w:color w:val="833C0B" w:themeColor="accent2" w:themeShade="80"/>
          <w:kern w:val="0"/>
          <w:sz w:val="22"/>
        </w:rPr>
        <w:t>Supplementary Table S7</w:t>
      </w:r>
      <w:r w:rsidRPr="003D0C3E">
        <w:rPr>
          <w:rFonts w:ascii="Arial" w:eastAsia="宋体" w:hAnsi="Arial" w:cs="Arial"/>
          <w:bCs/>
          <w:color w:val="833C0B" w:themeColor="accent2" w:themeShade="80"/>
          <w:kern w:val="0"/>
          <w:sz w:val="22"/>
        </w:rPr>
        <w:t xml:space="preserve">, demonstrates high consistency with the official cutoffs where available. Notably, for some tools, our data-driven approach yielded even more stringent thresholds, further enhancing the rigor of the evaluation. To address the request for threshold robustness, we have also introduced novel stability metrics (Robustness_Span_90 and </w:t>
      </w:r>
      <w:proofErr w:type="spellStart"/>
      <w:r w:rsidRPr="003D0C3E">
        <w:rPr>
          <w:rFonts w:ascii="Arial" w:eastAsia="宋体" w:hAnsi="Arial" w:cs="Arial"/>
          <w:bCs/>
          <w:color w:val="833C0B" w:themeColor="accent2" w:themeShade="80"/>
          <w:kern w:val="0"/>
          <w:sz w:val="22"/>
        </w:rPr>
        <w:t>Global_CV</w:t>
      </w:r>
      <w:proofErr w:type="spellEnd"/>
      <w:r w:rsidRPr="003D0C3E">
        <w:rPr>
          <w:rFonts w:ascii="Arial" w:eastAsia="宋体" w:hAnsi="Arial" w:cs="Arial"/>
          <w:bCs/>
          <w:color w:val="833C0B" w:themeColor="accent2" w:themeShade="80"/>
          <w:kern w:val="0"/>
          <w:sz w:val="22"/>
        </w:rPr>
        <w:t>) to quantify performance stability across the entire threshold continuum. These comprehensive optimization trajectories and stability evaluations are now reported in the revised manuscript (</w:t>
      </w:r>
      <w:r w:rsidRPr="003D0C3E">
        <w:rPr>
          <w:rFonts w:ascii="Arial" w:eastAsia="宋体" w:hAnsi="Arial" w:cs="Arial"/>
          <w:b/>
          <w:color w:val="833C0B" w:themeColor="accent2" w:themeShade="80"/>
          <w:kern w:val="0"/>
          <w:sz w:val="22"/>
        </w:rPr>
        <w:t>Supplementary Figure S3 and Supplementary Tables S7–S8</w:t>
      </w:r>
      <w:r w:rsidRPr="003D0C3E">
        <w:rPr>
          <w:rFonts w:ascii="Arial" w:eastAsia="宋体" w:hAnsi="Arial" w:cs="Arial"/>
          <w:bCs/>
          <w:color w:val="833C0B" w:themeColor="accent2" w:themeShade="80"/>
          <w:kern w:val="0"/>
          <w:sz w:val="22"/>
        </w:rPr>
        <w:t>), ensuring full transparency in our comparison.</w:t>
      </w:r>
    </w:p>
    <w:p w14:paraId="2176FE2B" w14:textId="77777777" w:rsidR="009B0536" w:rsidRPr="004E2389" w:rsidRDefault="009B053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color w:val="0070C0"/>
          <w:kern w:val="0"/>
          <w:sz w:val="22"/>
        </w:rPr>
      </w:pPr>
    </w:p>
    <w:p w14:paraId="0DE4C444" w14:textId="5CEA5F8A" w:rsidR="00827746" w:rsidRPr="004E2389" w:rsidRDefault="003F58D1"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color w:val="0070C0"/>
          <w:kern w:val="0"/>
          <w:sz w:val="22"/>
        </w:rPr>
        <w:t xml:space="preserve">PREVIOUS </w:t>
      </w:r>
      <w:r w:rsidR="00827746" w:rsidRPr="004E2389">
        <w:rPr>
          <w:rFonts w:ascii="Arial" w:eastAsia="宋体" w:hAnsi="Arial" w:cs="Arial"/>
          <w:b/>
          <w:color w:val="0070C0"/>
          <w:kern w:val="0"/>
          <w:sz w:val="22"/>
        </w:rPr>
        <w:t xml:space="preserve">RESPONSE: </w:t>
      </w:r>
      <w:r w:rsidR="00827746" w:rsidRPr="004E2389">
        <w:rPr>
          <w:rFonts w:ascii="Arial" w:eastAsia="宋体" w:hAnsi="Arial" w:cs="Arial"/>
          <w:bCs/>
          <w:color w:val="0070C0"/>
          <w:kern w:val="0"/>
          <w:sz w:val="22"/>
        </w:rPr>
        <w:t>We sincerely thank the reviewer for this insightful comment. We agree that enforcing a median-based class-thresholding strategy within each stratum could artificially enforce a 50/50 class balance, potentially distorting threshold-dependent metrics and complicating cross-tool comparability, particularly in highly imbalanced datasets like MHC-peptide binding.</w:t>
      </w:r>
    </w:p>
    <w:p w14:paraId="64996B55" w14:textId="0D382C3F"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To address this, we have systematically revised our thresholding evaluation:</w:t>
      </w:r>
    </w:p>
    <w:p w14:paraId="6CB7975C"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 xml:space="preserve">1. Emphasis on Threshold-Free Metrics: </w:t>
      </w:r>
    </w:p>
    <w:p w14:paraId="79908B52" w14:textId="3F063531"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As the primary measure of model performance, we emphasized AUROC and AUPRC. AUPRC is highly sensitive to class prevalence and provides an unbiased summary statistic for the imbalanced nature of our data.</w:t>
      </w:r>
    </w:p>
    <w:p w14:paraId="393DD31C"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2. Global Operating Point via 'Comprehensive Score':</w:t>
      </w:r>
    </w:p>
    <w:p w14:paraId="77647948" w14:textId="6C337D81"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 xml:space="preserve">For analyses requiring binarized summaries, we abandoned the stratum-specific median approach. Instead, we tested 1,000 systematically selected candidate thresholds for each tool across the entire dataset to establish a single, globally optimal operating point. </w:t>
      </w:r>
    </w:p>
    <w:p w14:paraId="648DB7B7"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To prevent metric inflation via class imbalance, we defined a 'Comprehensive Score' to select this optimal point:</w:t>
      </w:r>
    </w:p>
    <w:p w14:paraId="2BCDCB5D"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 xml:space="preserve">Comprehensive Score = 0.4 * </w:t>
      </w:r>
      <w:proofErr w:type="spellStart"/>
      <w:r w:rsidRPr="004E2389">
        <w:rPr>
          <w:rFonts w:ascii="Arial" w:eastAsia="宋体" w:hAnsi="Arial" w:cs="Arial"/>
          <w:bCs/>
          <w:color w:val="0070C0"/>
          <w:kern w:val="0"/>
          <w:sz w:val="22"/>
        </w:rPr>
        <w:t>Normalized_MCC</w:t>
      </w:r>
      <w:proofErr w:type="spellEnd"/>
      <w:r w:rsidRPr="004E2389">
        <w:rPr>
          <w:rFonts w:ascii="Arial" w:eastAsia="宋体" w:hAnsi="Arial" w:cs="Arial"/>
          <w:bCs/>
          <w:color w:val="0070C0"/>
          <w:kern w:val="0"/>
          <w:sz w:val="22"/>
        </w:rPr>
        <w:t xml:space="preserve"> + 0.3 * F1_Score + 0.3 * </w:t>
      </w:r>
      <w:proofErr w:type="spellStart"/>
      <w:r w:rsidRPr="004E2389">
        <w:rPr>
          <w:rFonts w:ascii="Arial" w:eastAsia="宋体" w:hAnsi="Arial" w:cs="Arial"/>
          <w:bCs/>
          <w:color w:val="0070C0"/>
          <w:kern w:val="0"/>
          <w:sz w:val="22"/>
        </w:rPr>
        <w:t>Balanced_Accuracy</w:t>
      </w:r>
      <w:proofErr w:type="spellEnd"/>
    </w:p>
    <w:p w14:paraId="10FF6722"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 Normalized MCC (40%): Recognized as the most robust metric for imbalanced classification.</w:t>
      </w:r>
    </w:p>
    <w:p w14:paraId="31244D9B"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 F1-Score (30%): Ensures balance between Precision and Recall for the minority positive class.</w:t>
      </w:r>
    </w:p>
    <w:p w14:paraId="58C20D5F"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lastRenderedPageBreak/>
        <w:t>- Balanced Accuracy (30%): The mean of Sensitivity and Specificity, preventing standard Accuracy inflation caused by negative sample dominance.</w:t>
      </w:r>
    </w:p>
    <w:p w14:paraId="22132B62"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3. Evaluation of Threshold Stability (Robustness):</w:t>
      </w:r>
    </w:p>
    <w:p w14:paraId="54741DF3"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A reliable bioinformatics tool should not only peak at a specific threshold but also maintain robust performance across a reasonable threshold range. To evaluate this, we introduced two stability metrics:</w:t>
      </w:r>
    </w:p>
    <w:p w14:paraId="05ADDAD5" w14:textId="77777777"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 Robustness_Span_90: The proportion of tested thresholds that maintain a Comprehensive Score at or above 90% of the tool's maximum score. A higher value indicates a wider 'sweet spot' and higher tolerance for user-defined threshold variations.</w:t>
      </w:r>
    </w:p>
    <w:p w14:paraId="0F71716C" w14:textId="0E629C80" w:rsidR="00827746"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 xml:space="preserve">- </w:t>
      </w:r>
      <w:proofErr w:type="spellStart"/>
      <w:r w:rsidRPr="004E2389">
        <w:rPr>
          <w:rFonts w:ascii="Arial" w:eastAsia="宋体" w:hAnsi="Arial" w:cs="Arial"/>
          <w:bCs/>
          <w:color w:val="0070C0"/>
          <w:kern w:val="0"/>
          <w:sz w:val="22"/>
        </w:rPr>
        <w:t>Global_CV</w:t>
      </w:r>
      <w:proofErr w:type="spellEnd"/>
      <w:r w:rsidRPr="004E2389">
        <w:rPr>
          <w:rFonts w:ascii="Arial" w:eastAsia="宋体" w:hAnsi="Arial" w:cs="Arial"/>
          <w:bCs/>
          <w:color w:val="0070C0"/>
          <w:kern w:val="0"/>
          <w:sz w:val="22"/>
        </w:rPr>
        <w:t xml:space="preserve"> (Coefficient of Variation): Evaluates the overall fluctuation of performance across all candidate thresholds.</w:t>
      </w:r>
    </w:p>
    <w:p w14:paraId="4F01B0DC" w14:textId="0E19024C" w:rsidR="004021C9" w:rsidRPr="004E2389" w:rsidRDefault="00827746" w:rsidP="0082774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The optimal thresholds, associated metrics, and stability evaluations are now detailed in the supplementary files, providing a highly rigorous and comparable benchmark.</w:t>
      </w:r>
    </w:p>
    <w:p w14:paraId="3026E614" w14:textId="545CF62B" w:rsidR="00F763E3" w:rsidRPr="004E2389" w:rsidRDefault="00F763E3">
      <w:pPr>
        <w:widowControl/>
        <w:jc w:val="left"/>
        <w:rPr>
          <w:rFonts w:ascii="Arial" w:eastAsia="宋体" w:hAnsi="Arial" w:cs="Arial"/>
          <w:bCs/>
          <w:color w:val="0070C0"/>
          <w:kern w:val="0"/>
          <w:sz w:val="22"/>
        </w:rPr>
      </w:pPr>
      <w:r w:rsidRPr="004E2389">
        <w:rPr>
          <w:rFonts w:ascii="Arial" w:eastAsia="宋体" w:hAnsi="Arial" w:cs="Arial"/>
          <w:bCs/>
          <w:color w:val="0070C0"/>
          <w:kern w:val="0"/>
          <w:sz w:val="22"/>
        </w:rPr>
        <w:br w:type="page"/>
      </w:r>
    </w:p>
    <w:p w14:paraId="50CBB275" w14:textId="18B4D5E2"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lastRenderedPageBreak/>
        <w:t>2) Construction of the negative set and prior mismatch</w:t>
      </w:r>
    </w:p>
    <w:p w14:paraId="1DA90483" w14:textId="0433C2FA"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kern w:val="0"/>
          <w:sz w:val="22"/>
        </w:rPr>
      </w:pPr>
      <w:r w:rsidRPr="004E2389">
        <w:rPr>
          <w:rFonts w:ascii="Arial" w:eastAsia="宋体" w:hAnsi="Arial" w:cs="Arial"/>
          <w:b/>
          <w:bCs/>
          <w:kern w:val="0"/>
          <w:sz w:val="22"/>
        </w:rPr>
        <w:t xml:space="preserve">Negatives are generated by slicing </w:t>
      </w:r>
      <w:proofErr w:type="spellStart"/>
      <w:r w:rsidRPr="004E2389">
        <w:rPr>
          <w:rFonts w:ascii="Arial" w:eastAsia="宋体" w:hAnsi="Arial" w:cs="Arial"/>
          <w:b/>
          <w:bCs/>
          <w:kern w:val="0"/>
          <w:sz w:val="22"/>
        </w:rPr>
        <w:t>UniProt</w:t>
      </w:r>
      <w:proofErr w:type="spellEnd"/>
      <w:r w:rsidRPr="004E2389">
        <w:rPr>
          <w:rFonts w:ascii="Arial" w:eastAsia="宋体" w:hAnsi="Arial" w:cs="Arial"/>
          <w:b/>
          <w:bCs/>
          <w:kern w:val="0"/>
          <w:sz w:val="22"/>
        </w:rPr>
        <w:t xml:space="preserve"> proteins and sampling non-listed peptides to match the count of positives per stratum. While common, this (</w:t>
      </w:r>
      <w:proofErr w:type="spellStart"/>
      <w:r w:rsidRPr="004E2389">
        <w:rPr>
          <w:rFonts w:ascii="Arial" w:eastAsia="宋体" w:hAnsi="Arial" w:cs="Arial"/>
          <w:b/>
          <w:bCs/>
          <w:kern w:val="0"/>
          <w:sz w:val="22"/>
        </w:rPr>
        <w:t>i</w:t>
      </w:r>
      <w:proofErr w:type="spellEnd"/>
      <w:r w:rsidRPr="004E2389">
        <w:rPr>
          <w:rFonts w:ascii="Arial" w:eastAsia="宋体" w:hAnsi="Arial" w:cs="Arial"/>
          <w:b/>
          <w:bCs/>
          <w:kern w:val="0"/>
          <w:sz w:val="22"/>
        </w:rPr>
        <w:t xml:space="preserve">) assumes a very low base rate of binders and (ii) creates a 1:1 </w:t>
      </w:r>
      <w:proofErr w:type="spellStart"/>
      <w:r w:rsidRPr="004E2389">
        <w:rPr>
          <w:rFonts w:ascii="Arial" w:eastAsia="宋体" w:hAnsi="Arial" w:cs="Arial"/>
          <w:b/>
          <w:bCs/>
          <w:kern w:val="0"/>
          <w:sz w:val="22"/>
        </w:rPr>
        <w:t>positive:negative</w:t>
      </w:r>
      <w:proofErr w:type="spellEnd"/>
      <w:r w:rsidRPr="004E2389">
        <w:rPr>
          <w:rFonts w:ascii="Arial" w:eastAsia="宋体" w:hAnsi="Arial" w:cs="Arial"/>
          <w:b/>
          <w:bCs/>
          <w:kern w:val="0"/>
          <w:sz w:val="22"/>
        </w:rPr>
        <w:t xml:space="preserve"> ratio that diverges from real-world prevalence. Please evaluate sensitivity to negative sampling: e.g., different </w:t>
      </w:r>
      <w:proofErr w:type="spellStart"/>
      <w:r w:rsidRPr="004E2389">
        <w:rPr>
          <w:rFonts w:ascii="Arial" w:eastAsia="宋体" w:hAnsi="Arial" w:cs="Arial"/>
          <w:b/>
          <w:bCs/>
          <w:kern w:val="0"/>
          <w:sz w:val="22"/>
        </w:rPr>
        <w:t>negative:positive</w:t>
      </w:r>
      <w:proofErr w:type="spellEnd"/>
      <w:r w:rsidRPr="004E2389">
        <w:rPr>
          <w:rFonts w:ascii="Arial" w:eastAsia="宋体" w:hAnsi="Arial" w:cs="Arial"/>
          <w:b/>
          <w:bCs/>
          <w:kern w:val="0"/>
          <w:sz w:val="22"/>
        </w:rPr>
        <w:t xml:space="preserve"> ratios (1:4, 1:9), decoys matched on biophysical/sequence properties, or harder negatives (top candidates from other tools). Include a leakage audit (scripts) to ensure no overlap with any tool's training data beyond the positive set removal.</w:t>
      </w:r>
    </w:p>
    <w:p w14:paraId="7E495698" w14:textId="48BC51E6" w:rsidR="00F763E3" w:rsidRPr="004E2389" w:rsidRDefault="00F763E3" w:rsidP="00F763E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color w:val="833C0B" w:themeColor="accent2" w:themeShade="80"/>
          <w:kern w:val="0"/>
          <w:sz w:val="22"/>
        </w:rPr>
      </w:pPr>
      <w:r w:rsidRPr="004E2389">
        <w:rPr>
          <w:rFonts w:ascii="Arial" w:eastAsia="宋体" w:hAnsi="Arial" w:cs="Arial"/>
          <w:b/>
          <w:color w:val="833C0B" w:themeColor="accent2" w:themeShade="80"/>
          <w:kern w:val="0"/>
          <w:sz w:val="22"/>
        </w:rPr>
        <w:t>NEW RESPONSE:</w:t>
      </w:r>
    </w:p>
    <w:p w14:paraId="37F7C02E" w14:textId="34821AC2" w:rsidR="00F763E3" w:rsidRPr="00F763E3" w:rsidRDefault="00F763E3" w:rsidP="00F763E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F763E3">
        <w:rPr>
          <w:rFonts w:ascii="Arial" w:eastAsia="宋体" w:hAnsi="Arial" w:cs="Arial"/>
          <w:color w:val="833C0B" w:themeColor="accent2" w:themeShade="80"/>
          <w:kern w:val="0"/>
          <w:sz w:val="22"/>
        </w:rPr>
        <w:t xml:space="preserve">We sincerely appreciate the reviewer’s insightful feedback. While generating negative datasets by fragmenting source proteins is biologically grounded in the naturally low base rate of MHC-binding peptides (~1%), we fully agree that a strict 1:1 ratio diverges from real-world prevalence. To comprehensively address this, we have expanded our evaluation far beyond the baseline. We rigorously tested the models across a spectrum of increasingly imbalanced positive-to-negative dataset ratios: </w:t>
      </w:r>
      <w:r w:rsidRPr="00F763E3">
        <w:rPr>
          <w:rFonts w:ascii="Arial" w:eastAsia="宋体" w:hAnsi="Arial" w:cs="Arial"/>
          <w:b/>
          <w:bCs/>
          <w:color w:val="833C0B" w:themeColor="accent2" w:themeShade="80"/>
          <w:kern w:val="0"/>
          <w:sz w:val="22"/>
        </w:rPr>
        <w:t>1:4, 1:9, and an extreme 1:99 scenario</w:t>
      </w:r>
      <w:r w:rsidRPr="00F763E3">
        <w:rPr>
          <w:rFonts w:ascii="Arial" w:eastAsia="宋体" w:hAnsi="Arial" w:cs="Arial"/>
          <w:color w:val="833C0B" w:themeColor="accent2" w:themeShade="80"/>
          <w:kern w:val="0"/>
          <w:sz w:val="22"/>
        </w:rPr>
        <w:t xml:space="preserve"> to simulate real-world conditions. As detailed in the revised </w:t>
      </w:r>
      <w:r w:rsidRPr="00F763E3">
        <w:rPr>
          <w:rFonts w:ascii="Arial" w:eastAsia="宋体" w:hAnsi="Arial" w:cs="Arial"/>
          <w:b/>
          <w:bCs/>
          <w:color w:val="833C0B" w:themeColor="accent2" w:themeShade="80"/>
          <w:kern w:val="0"/>
          <w:sz w:val="22"/>
        </w:rPr>
        <w:t>Figure 2</w:t>
      </w:r>
      <w:r w:rsidRPr="00F763E3">
        <w:rPr>
          <w:rFonts w:ascii="Arial" w:eastAsia="宋体" w:hAnsi="Arial" w:cs="Arial"/>
          <w:color w:val="833C0B" w:themeColor="accent2" w:themeShade="80"/>
          <w:kern w:val="0"/>
          <w:sz w:val="22"/>
        </w:rPr>
        <w:t xml:space="preserve"> and </w:t>
      </w:r>
      <w:r w:rsidRPr="00F763E3">
        <w:rPr>
          <w:rFonts w:ascii="Arial" w:eastAsia="宋体" w:hAnsi="Arial" w:cs="Arial"/>
          <w:b/>
          <w:bCs/>
          <w:color w:val="833C0B" w:themeColor="accent2" w:themeShade="80"/>
          <w:kern w:val="0"/>
          <w:sz w:val="22"/>
        </w:rPr>
        <w:t>Supplementary Figure S4</w:t>
      </w:r>
      <w:r w:rsidRPr="00F763E3">
        <w:rPr>
          <w:rFonts w:ascii="Arial" w:eastAsia="宋体" w:hAnsi="Arial" w:cs="Arial"/>
          <w:color w:val="833C0B" w:themeColor="accent2" w:themeShade="80"/>
          <w:kern w:val="0"/>
          <w:sz w:val="22"/>
        </w:rPr>
        <w:t xml:space="preserve">, while AUPRC naturally declined under severe imbalance, AUROC remained highly stable, and the overarching performance rankings of the predictors were remarkably consistent. The detailed performance degradation and tool stability across these varying prevalence scenarios are now exhaustively documented in </w:t>
      </w:r>
      <w:r w:rsidRPr="00F763E3">
        <w:rPr>
          <w:rFonts w:ascii="Arial" w:eastAsia="宋体" w:hAnsi="Arial" w:cs="Arial"/>
          <w:b/>
          <w:bCs/>
          <w:color w:val="833C0B" w:themeColor="accent2" w:themeShade="80"/>
          <w:kern w:val="0"/>
          <w:sz w:val="22"/>
        </w:rPr>
        <w:t>Supplementary Tables S4, S6, S9, and S10</w:t>
      </w:r>
      <w:r w:rsidRPr="00F763E3">
        <w:rPr>
          <w:rFonts w:ascii="Arial" w:eastAsia="宋体" w:hAnsi="Arial" w:cs="Arial"/>
          <w:color w:val="833C0B" w:themeColor="accent2" w:themeShade="80"/>
          <w:kern w:val="0"/>
          <w:sz w:val="22"/>
        </w:rPr>
        <w:t>.</w:t>
      </w:r>
    </w:p>
    <w:p w14:paraId="36946AC5" w14:textId="125E56FB" w:rsidR="00F763E3" w:rsidRPr="00F763E3" w:rsidRDefault="00F763E3" w:rsidP="00F763E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F763E3">
        <w:rPr>
          <w:rFonts w:ascii="Arial" w:eastAsia="宋体" w:hAnsi="Arial" w:cs="Arial"/>
          <w:color w:val="833C0B" w:themeColor="accent2" w:themeShade="80"/>
          <w:kern w:val="0"/>
          <w:sz w:val="22"/>
        </w:rPr>
        <w:t>Regarding the data leakage audit, we ensure absolute transparency. We have provided the complete set of scripts covering our entire data curation pipeline—from positive data cleaning and negative data construction to the strict filtration of any sequences overlapping with the training sets of the evaluated tools. This guarantees a high-quality, strictly zero-leakage testing environment. The full audit trail and pipeline scripts are publicly accessible at</w:t>
      </w:r>
      <w:r w:rsidRPr="00F763E3">
        <w:rPr>
          <w:rFonts w:ascii="Arial" w:eastAsia="宋体" w:hAnsi="Arial" w:cs="Arial"/>
          <w:b/>
          <w:bCs/>
          <w:color w:val="833C0B" w:themeColor="accent2" w:themeShade="80"/>
          <w:kern w:val="0"/>
          <w:sz w:val="22"/>
        </w:rPr>
        <w:t xml:space="preserve"> [</w:t>
      </w:r>
      <w:proofErr w:type="spellStart"/>
      <w:r w:rsidRPr="004E2389">
        <w:rPr>
          <w:rFonts w:ascii="Arial" w:eastAsia="宋体" w:hAnsi="Arial" w:cs="Arial"/>
          <w:b/>
          <w:bCs/>
          <w:color w:val="833C0B" w:themeColor="accent2" w:themeShade="80"/>
          <w:kern w:val="0"/>
          <w:sz w:val="22"/>
        </w:rPr>
        <w:t>zenodo</w:t>
      </w:r>
      <w:proofErr w:type="spellEnd"/>
      <w:r w:rsidRPr="004E2389">
        <w:rPr>
          <w:rFonts w:ascii="Arial" w:eastAsia="宋体" w:hAnsi="Arial" w:cs="Arial"/>
          <w:b/>
          <w:bCs/>
          <w:color w:val="833C0B" w:themeColor="accent2" w:themeShade="80"/>
          <w:kern w:val="0"/>
          <w:sz w:val="22"/>
        </w:rPr>
        <w:t xml:space="preserve"> </w:t>
      </w:r>
      <w:r w:rsidRPr="00F763E3">
        <w:rPr>
          <w:rFonts w:ascii="Arial" w:eastAsia="宋体" w:hAnsi="Arial" w:cs="Arial"/>
          <w:b/>
          <w:bCs/>
          <w:color w:val="833C0B" w:themeColor="accent2" w:themeShade="80"/>
          <w:kern w:val="0"/>
          <w:sz w:val="22"/>
        </w:rPr>
        <w:t>URL],</w:t>
      </w:r>
      <w:r w:rsidRPr="00F763E3">
        <w:rPr>
          <w:rFonts w:ascii="Arial" w:eastAsia="宋体" w:hAnsi="Arial" w:cs="Arial"/>
          <w:color w:val="833C0B" w:themeColor="accent2" w:themeShade="80"/>
          <w:kern w:val="0"/>
          <w:sz w:val="22"/>
        </w:rPr>
        <w:t xml:space="preserve"> with corresponding methodological clarifications added to the </w:t>
      </w:r>
      <w:r w:rsidRPr="00F763E3">
        <w:rPr>
          <w:rFonts w:ascii="Arial" w:eastAsia="宋体" w:hAnsi="Arial" w:cs="Arial"/>
          <w:b/>
          <w:bCs/>
          <w:color w:val="833C0B" w:themeColor="accent2" w:themeShade="80"/>
          <w:kern w:val="0"/>
          <w:sz w:val="22"/>
        </w:rPr>
        <w:t>Results and Methods sections</w:t>
      </w:r>
      <w:r w:rsidRPr="00F763E3">
        <w:rPr>
          <w:rFonts w:ascii="Arial" w:eastAsia="宋体" w:hAnsi="Arial" w:cs="Arial"/>
          <w:color w:val="833C0B" w:themeColor="accent2" w:themeShade="80"/>
          <w:kern w:val="0"/>
          <w:sz w:val="22"/>
        </w:rPr>
        <w:t>.</w:t>
      </w:r>
    </w:p>
    <w:p w14:paraId="7E5175F4" w14:textId="77777777" w:rsidR="00F763E3" w:rsidRPr="004E2389" w:rsidRDefault="00F763E3"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kern w:val="0"/>
          <w:sz w:val="22"/>
        </w:rPr>
      </w:pPr>
    </w:p>
    <w:p w14:paraId="3EA418A7" w14:textId="74974045" w:rsidR="002D3AA4" w:rsidRPr="004E2389" w:rsidRDefault="0056406D" w:rsidP="002D3AA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bookmarkStart w:id="0" w:name="OLE_LINK1"/>
      <w:r w:rsidRPr="004E2389">
        <w:rPr>
          <w:rFonts w:ascii="Arial" w:eastAsia="宋体" w:hAnsi="Arial" w:cs="Arial"/>
          <w:b/>
          <w:bCs/>
          <w:color w:val="0070C0"/>
          <w:kern w:val="0"/>
          <w:sz w:val="22"/>
        </w:rPr>
        <w:t xml:space="preserve">PREVIOUS </w:t>
      </w:r>
      <w:r w:rsidR="002D3AA4" w:rsidRPr="004E2389">
        <w:rPr>
          <w:rFonts w:ascii="Arial" w:eastAsia="宋体" w:hAnsi="Arial" w:cs="Arial"/>
          <w:b/>
          <w:bCs/>
          <w:color w:val="0070C0"/>
          <w:kern w:val="0"/>
          <w:sz w:val="22"/>
        </w:rPr>
        <w:t xml:space="preserve">RESPONSE: </w:t>
      </w:r>
      <w:r w:rsidR="002D3AA4" w:rsidRPr="004E2389">
        <w:rPr>
          <w:rFonts w:ascii="Arial" w:eastAsia="宋体" w:hAnsi="Arial" w:cs="Arial"/>
          <w:color w:val="0070C0"/>
          <w:kern w:val="0"/>
          <w:sz w:val="22"/>
        </w:rPr>
        <w:t>Thank you for this helpful and insightful comment. We agree that the positive–negative ratio may influence certain evaluation metrics, particularly AUPRC, and appreciate the opportunity to clarify our rationale for negative sampling and data processing.</w:t>
      </w:r>
    </w:p>
    <w:p w14:paraId="3852A373" w14:textId="77777777" w:rsidR="002D3AA4" w:rsidRPr="004E2389" w:rsidRDefault="002D3AA4" w:rsidP="002D3AA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lastRenderedPageBreak/>
        <w:t xml:space="preserve">Regarding the construction of the negative set by slicing </w:t>
      </w:r>
      <w:proofErr w:type="spellStart"/>
      <w:r w:rsidRPr="004E2389">
        <w:rPr>
          <w:rFonts w:ascii="Arial" w:eastAsia="宋体" w:hAnsi="Arial" w:cs="Arial"/>
          <w:color w:val="0070C0"/>
          <w:kern w:val="0"/>
          <w:sz w:val="22"/>
        </w:rPr>
        <w:t>UniProt</w:t>
      </w:r>
      <w:proofErr w:type="spellEnd"/>
      <w:r w:rsidRPr="004E2389">
        <w:rPr>
          <w:rFonts w:ascii="Arial" w:eastAsia="宋体" w:hAnsi="Arial" w:cs="Arial"/>
          <w:color w:val="0070C0"/>
          <w:kern w:val="0"/>
          <w:sz w:val="22"/>
        </w:rPr>
        <w:t xml:space="preserve"> proteins, this approach is grounded in the well-established biological premise that the natural base rate of MHC-binding peptides is indeed very low. Previous studies have demonstrated that only approximately 1% of naturally generated random peptides are capable of binding to MHC molecules (</w:t>
      </w:r>
      <w:proofErr w:type="spellStart"/>
      <w:r w:rsidRPr="004E2389">
        <w:rPr>
          <w:rFonts w:ascii="Arial" w:eastAsia="宋体" w:hAnsi="Arial" w:cs="Arial"/>
          <w:color w:val="0070C0"/>
          <w:kern w:val="0"/>
          <w:sz w:val="22"/>
        </w:rPr>
        <w:t>Yewdell</w:t>
      </w:r>
      <w:proofErr w:type="spellEnd"/>
      <w:r w:rsidRPr="004E2389">
        <w:rPr>
          <w:rFonts w:ascii="Arial" w:eastAsia="宋体" w:hAnsi="Arial" w:cs="Arial"/>
          <w:color w:val="0070C0"/>
          <w:kern w:val="0"/>
          <w:sz w:val="22"/>
        </w:rPr>
        <w:t xml:space="preserve"> &amp; Bennink, 1999; Larsen et al., 2005). Furthermore, generating negative datasets by randomly fragmenting the source proteins of positive peptides into specific lengths is a widely adopted standard practice. It has been extensively used in previous benchmark studies of peptide-MHC prediction tools, as well as in the original training pipelines of several tools evaluated in our current study. Therefore, we consider this methodology to be biologically justified and highly reasonable.</w:t>
      </w:r>
    </w:p>
    <w:p w14:paraId="55553204" w14:textId="0A9FD362" w:rsidR="002D3AA4" w:rsidRPr="004E2389" w:rsidRDefault="002D3AA4" w:rsidP="002D3AA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To address your suggestion regarding sensitivity to negative sampling and prior mismatch, we further evaluated additional datasets with 1:4 and 1:9 positive-to-negative ratios while keeping the positive set unchanged. In this study, our primary objective in the main analysis was to provide a fair and standardized benchmark under a unified class distribution (1:1 positive–negative ratio). However, when testing the imbalanced datasets, we observed that AUPRC decreased with increasing class imbalance, whereas AUROC remained largely stable. Importantly, as shown in Figure </w:t>
      </w:r>
      <w:r w:rsidR="00A069B8" w:rsidRPr="004E2389">
        <w:rPr>
          <w:rFonts w:ascii="Arial" w:eastAsia="宋体" w:hAnsi="Arial" w:cs="Arial"/>
          <w:color w:val="0070C0"/>
          <w:kern w:val="0"/>
          <w:sz w:val="22"/>
        </w:rPr>
        <w:t>2</w:t>
      </w:r>
      <w:r w:rsidRPr="004E2389">
        <w:rPr>
          <w:rFonts w:ascii="Arial" w:eastAsia="宋体" w:hAnsi="Arial" w:cs="Arial"/>
          <w:color w:val="0070C0"/>
          <w:kern w:val="0"/>
          <w:sz w:val="22"/>
        </w:rPr>
        <w:t>, the relative performance ranking of the evaluated tools remained largely unchanged. This indicates that our overall benchmark conclusions are robust to different negative sampling ratios.</w:t>
      </w:r>
    </w:p>
    <w:p w14:paraId="406CA8FB" w14:textId="77777777" w:rsidR="002D3AA4" w:rsidRPr="004E2389" w:rsidRDefault="002D3AA4" w:rsidP="002D3AA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Finally, to ensure absolute transparency and comprehensively address your request for a leakage audit, we have provided the complete scripts covering our entire data processing pipeline. This includes the integration of training data, the rigorous cleaning of positive data, and the construction and filtration of negative data. These comprehensive steps guarantee that our high-quality test dataset strictly has zero overlap with the training datasets of any evaluated tool. The complete script is publicly available at: [URL].</w:t>
      </w:r>
    </w:p>
    <w:p w14:paraId="239B83BF" w14:textId="77777777" w:rsidR="002D3AA4" w:rsidRPr="004E2389" w:rsidRDefault="002D3AA4" w:rsidP="002D3AA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These procedures and justifications have now been clarified in the Results and Methods sections (Lines 148–154 and Lines 395–405).</w:t>
      </w:r>
    </w:p>
    <w:p w14:paraId="2019F2B5" w14:textId="77777777" w:rsidR="002D3AA4" w:rsidRPr="004E2389" w:rsidRDefault="002D3AA4" w:rsidP="002D3AA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References:</w:t>
      </w:r>
    </w:p>
    <w:p w14:paraId="1E80C5B3" w14:textId="77777777" w:rsidR="002D3AA4" w:rsidRPr="004E2389" w:rsidRDefault="002D3AA4" w:rsidP="002D3AA4">
      <w:pPr>
        <w:widowControl/>
        <w:numPr>
          <w:ilvl w:val="0"/>
          <w:numId w:val="2"/>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lastRenderedPageBreak/>
        <w:t xml:space="preserve">Larsen, M. V., et al. (2005). An integrative approach to CTL epitope prediction: a combined algorithm integrating MHC class I binding, TAP transport efficiency, and proteasomal cleavage predictions. </w:t>
      </w:r>
      <w:r w:rsidRPr="004E2389">
        <w:rPr>
          <w:rFonts w:ascii="Arial" w:eastAsia="宋体" w:hAnsi="Arial" w:cs="Arial"/>
          <w:i/>
          <w:iCs/>
          <w:color w:val="0070C0"/>
          <w:kern w:val="0"/>
          <w:sz w:val="22"/>
        </w:rPr>
        <w:t>European journal of immunology</w:t>
      </w:r>
      <w:r w:rsidRPr="004E2389">
        <w:rPr>
          <w:rFonts w:ascii="Arial" w:eastAsia="宋体" w:hAnsi="Arial" w:cs="Arial"/>
          <w:color w:val="0070C0"/>
          <w:kern w:val="0"/>
          <w:sz w:val="22"/>
        </w:rPr>
        <w:t>, 35(8), 2295-2303.</w:t>
      </w:r>
    </w:p>
    <w:p w14:paraId="23529DA0" w14:textId="43FB1782" w:rsidR="00D75268" w:rsidRPr="004E2389" w:rsidRDefault="002D3AA4" w:rsidP="007B550D">
      <w:pPr>
        <w:widowControl/>
        <w:numPr>
          <w:ilvl w:val="0"/>
          <w:numId w:val="2"/>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proofErr w:type="spellStart"/>
      <w:r w:rsidRPr="004E2389">
        <w:rPr>
          <w:rFonts w:ascii="Arial" w:eastAsia="宋体" w:hAnsi="Arial" w:cs="Arial"/>
          <w:color w:val="0070C0"/>
          <w:kern w:val="0"/>
          <w:sz w:val="22"/>
        </w:rPr>
        <w:t>Yewdell</w:t>
      </w:r>
      <w:proofErr w:type="spellEnd"/>
      <w:r w:rsidRPr="004E2389">
        <w:rPr>
          <w:rFonts w:ascii="Arial" w:eastAsia="宋体" w:hAnsi="Arial" w:cs="Arial"/>
          <w:color w:val="0070C0"/>
          <w:kern w:val="0"/>
          <w:sz w:val="22"/>
        </w:rPr>
        <w:t xml:space="preserve">, J. W., &amp; Bennink, J. R. (1999). Immunodominance in major histocompatibility complex class I-restricted T lymphocyte responses. </w:t>
      </w:r>
      <w:r w:rsidRPr="004E2389">
        <w:rPr>
          <w:rFonts w:ascii="Arial" w:eastAsia="宋体" w:hAnsi="Arial" w:cs="Arial"/>
          <w:i/>
          <w:iCs/>
          <w:color w:val="0070C0"/>
          <w:kern w:val="0"/>
          <w:sz w:val="22"/>
        </w:rPr>
        <w:t>Annual review of immunology</w:t>
      </w:r>
      <w:r w:rsidRPr="004E2389">
        <w:rPr>
          <w:rFonts w:ascii="Arial" w:eastAsia="宋体" w:hAnsi="Arial" w:cs="Arial"/>
          <w:color w:val="0070C0"/>
          <w:kern w:val="0"/>
          <w:sz w:val="22"/>
        </w:rPr>
        <w:t>, 17(1), 51-88.</w:t>
      </w:r>
    </w:p>
    <w:p w14:paraId="7A779B27" w14:textId="77777777" w:rsidR="002E5866" w:rsidRPr="004E2389" w:rsidRDefault="002E5866" w:rsidP="002E586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p>
    <w:bookmarkEnd w:id="0"/>
    <w:p w14:paraId="33401BFE" w14:textId="77777777" w:rsidR="00517D8A" w:rsidRPr="004E2389" w:rsidRDefault="00517D8A">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3BCFE5A0" w14:textId="5DD443F6"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lastRenderedPageBreak/>
        <w:t>3) Interpretability validation depends on modeled structures</w:t>
      </w:r>
    </w:p>
    <w:p w14:paraId="14D55F0B" w14:textId="534FE9F9"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 xml:space="preserve">The ΔΔG validation uses </w:t>
      </w:r>
      <w:proofErr w:type="spellStart"/>
      <w:r w:rsidRPr="004E2389">
        <w:rPr>
          <w:rFonts w:ascii="Arial" w:eastAsia="宋体" w:hAnsi="Arial" w:cs="Arial"/>
          <w:b/>
          <w:bCs/>
          <w:color w:val="000000"/>
          <w:kern w:val="0"/>
          <w:sz w:val="22"/>
        </w:rPr>
        <w:t>BAlaS</w:t>
      </w:r>
      <w:proofErr w:type="spellEnd"/>
      <w:r w:rsidRPr="004E2389">
        <w:rPr>
          <w:rFonts w:ascii="Arial" w:eastAsia="宋体" w:hAnsi="Arial" w:cs="Arial"/>
          <w:b/>
          <w:bCs/>
          <w:color w:val="000000"/>
          <w:kern w:val="0"/>
          <w:sz w:val="22"/>
        </w:rPr>
        <w:t xml:space="preserve"> on APE-Gen2.0-predicted complexes. Because modeled poses introduce uncertainty, please:</w:t>
      </w:r>
    </w:p>
    <w:p w14:paraId="33B5A60C" w14:textId="7E727075" w:rsidR="004021C9" w:rsidRPr="004E2389" w:rsidRDefault="00F2594F" w:rsidP="009C275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w:t>
      </w:r>
      <w:r w:rsidR="006D7532" w:rsidRPr="004E2389">
        <w:rPr>
          <w:rFonts w:ascii="Arial" w:eastAsia="宋体" w:hAnsi="Arial" w:cs="Arial"/>
          <w:b/>
          <w:bCs/>
          <w:color w:val="000000"/>
          <w:kern w:val="0"/>
          <w:sz w:val="22"/>
        </w:rPr>
        <w:t xml:space="preserve"> </w:t>
      </w:r>
      <w:r w:rsidRPr="004E2389">
        <w:rPr>
          <w:rFonts w:ascii="Arial" w:eastAsia="宋体" w:hAnsi="Arial" w:cs="Arial"/>
          <w:b/>
          <w:bCs/>
          <w:color w:val="000000"/>
          <w:kern w:val="0"/>
          <w:sz w:val="22"/>
        </w:rPr>
        <w:t>Quantify pose uncertainty (e.g., multiple top-scoring poses per peptide, report ΔΔG variability across poses) and propagate that uncertainty when comparing to SHAP/LIME attributions.</w:t>
      </w:r>
      <w:r w:rsidRPr="004E2389">
        <w:rPr>
          <w:rFonts w:ascii="Arial" w:eastAsia="宋体" w:hAnsi="Arial" w:cs="Arial"/>
          <w:b/>
          <w:bCs/>
          <w:color w:val="000000"/>
          <w:kern w:val="0"/>
          <w:sz w:val="22"/>
        </w:rPr>
        <w:br/>
        <w:t>*Clarify how anchors vs. secondary contacts were identified and how conflicts between XAI methods were adjudicated.</w:t>
      </w:r>
    </w:p>
    <w:p w14:paraId="0A061239" w14:textId="4B73947E" w:rsidR="00517D8A" w:rsidRPr="004E2389" w:rsidRDefault="00517D8A" w:rsidP="009C275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6AE65171" w14:textId="0CF78A9C" w:rsidR="00517D8A" w:rsidRPr="00517D8A" w:rsidRDefault="00517D8A" w:rsidP="00517D8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17D8A">
        <w:rPr>
          <w:rFonts w:ascii="Arial" w:eastAsia="宋体" w:hAnsi="Arial" w:cs="Arial"/>
          <w:color w:val="833C0B" w:themeColor="accent2" w:themeShade="80"/>
          <w:kern w:val="0"/>
          <w:sz w:val="22"/>
        </w:rPr>
        <w:t xml:space="preserve">We sincerely thank the reviewer for highlighting the inherent uncertainty in modeled structural poses. We fully agree that single-pose evaluations are insufficient. To rigorously quantify and propagate conformational variance, we advanced our pipeline from single-pose analysis to ensemble-based biophysical profiling. Specifically, we extracted the entire ensemble of structural conformations generated by APE-Gen2.0 for each representative peptide-MHC complex. We then subjected every individual pose within the ensemble to computational alanine scanning via </w:t>
      </w:r>
      <w:proofErr w:type="spellStart"/>
      <w:r w:rsidRPr="00517D8A">
        <w:rPr>
          <w:rFonts w:ascii="Arial" w:eastAsia="宋体" w:hAnsi="Arial" w:cs="Arial"/>
          <w:color w:val="833C0B" w:themeColor="accent2" w:themeShade="80"/>
          <w:kern w:val="0"/>
          <w:sz w:val="22"/>
        </w:rPr>
        <w:t>BAlaS</w:t>
      </w:r>
      <w:proofErr w:type="spellEnd"/>
      <w:r w:rsidRPr="00517D8A">
        <w:rPr>
          <w:rFonts w:ascii="Arial" w:eastAsia="宋体" w:hAnsi="Arial" w:cs="Arial"/>
          <w:color w:val="833C0B" w:themeColor="accent2" w:themeShade="80"/>
          <w:kern w:val="0"/>
          <w:sz w:val="22"/>
        </w:rPr>
        <w:t>. This allowed us to calculate the robust mean and standard deviation (SD) of the binding free energy penalty (</w:t>
      </w:r>
      <w:r w:rsidR="004D6F53" w:rsidRPr="004E2389">
        <w:rPr>
          <w:rFonts w:ascii="Arial" w:eastAsia="宋体" w:hAnsi="Arial" w:cs="Arial"/>
          <w:color w:val="833C0B" w:themeColor="accent2" w:themeShade="80"/>
          <w:kern w:val="0"/>
          <w:sz w:val="22"/>
        </w:rPr>
        <w:t>ΔΔG</w:t>
      </w:r>
      <w:r w:rsidRPr="00517D8A">
        <w:rPr>
          <w:rFonts w:ascii="Arial" w:eastAsia="宋体" w:hAnsi="Arial" w:cs="Arial"/>
          <w:color w:val="833C0B" w:themeColor="accent2" w:themeShade="80"/>
          <w:kern w:val="0"/>
          <w:sz w:val="22"/>
        </w:rPr>
        <w:t xml:space="preserve">) for each residue across all valid conformations. The propagated structural uncertainty (mean ± SD) is now explicitly visualized in </w:t>
      </w:r>
      <w:r w:rsidRPr="00517D8A">
        <w:rPr>
          <w:rFonts w:ascii="Arial" w:eastAsia="宋体" w:hAnsi="Arial" w:cs="Arial"/>
          <w:b/>
          <w:bCs/>
          <w:color w:val="833C0B" w:themeColor="accent2" w:themeShade="80"/>
          <w:kern w:val="0"/>
          <w:sz w:val="22"/>
        </w:rPr>
        <w:t>Supplementary Figure S9A</w:t>
      </w:r>
      <w:r w:rsidRPr="00517D8A">
        <w:rPr>
          <w:rFonts w:ascii="Arial" w:eastAsia="宋体" w:hAnsi="Arial" w:cs="Arial"/>
          <w:color w:val="833C0B" w:themeColor="accent2" w:themeShade="80"/>
          <w:kern w:val="0"/>
          <w:sz w:val="22"/>
        </w:rPr>
        <w:t xml:space="preserve">, with the raw conformation-level thermodynamic data provided in </w:t>
      </w:r>
      <w:r w:rsidRPr="00517D8A">
        <w:rPr>
          <w:rFonts w:ascii="Arial" w:eastAsia="宋体" w:hAnsi="Arial" w:cs="Arial"/>
          <w:b/>
          <w:bCs/>
          <w:color w:val="833C0B" w:themeColor="accent2" w:themeShade="80"/>
          <w:kern w:val="0"/>
          <w:sz w:val="22"/>
        </w:rPr>
        <w:t>Supplementary Table S16</w:t>
      </w:r>
      <w:r w:rsidRPr="00517D8A">
        <w:rPr>
          <w:rFonts w:ascii="Arial" w:eastAsia="宋体" w:hAnsi="Arial" w:cs="Arial"/>
          <w:color w:val="833C0B" w:themeColor="accent2" w:themeShade="80"/>
          <w:kern w:val="0"/>
          <w:sz w:val="22"/>
        </w:rPr>
        <w:t>.</w:t>
      </w:r>
    </w:p>
    <w:p w14:paraId="20CF43C1" w14:textId="78C89F38" w:rsidR="00517D8A" w:rsidRPr="00517D8A" w:rsidRDefault="00517D8A" w:rsidP="00517D8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17D8A">
        <w:rPr>
          <w:rFonts w:ascii="Arial" w:eastAsia="宋体" w:hAnsi="Arial" w:cs="Arial"/>
          <w:color w:val="833C0B" w:themeColor="accent2" w:themeShade="80"/>
          <w:kern w:val="0"/>
          <w:sz w:val="22"/>
        </w:rPr>
        <w:t xml:space="preserve">Furthermore, we established strict, biophysically grounded definitions to delineate residue roles and adjudicate XAI conflicts. Anchors (critical residues) were strictly defined by a robust mean energetic penalty of </w:t>
      </w:r>
      <w:r w:rsidR="004D6F53" w:rsidRPr="004E2389">
        <w:rPr>
          <w:rFonts w:ascii="Arial" w:eastAsia="宋体" w:hAnsi="Arial" w:cs="Arial"/>
          <w:color w:val="833C0B" w:themeColor="accent2" w:themeShade="80"/>
          <w:kern w:val="0"/>
          <w:sz w:val="22"/>
        </w:rPr>
        <w:t xml:space="preserve">ΔΔG ≥ </w:t>
      </w:r>
      <w:r w:rsidRPr="00517D8A">
        <w:rPr>
          <w:rFonts w:ascii="Arial" w:eastAsia="宋体" w:hAnsi="Arial" w:cs="Arial"/>
          <w:color w:val="833C0B" w:themeColor="accent2" w:themeShade="80"/>
          <w:kern w:val="0"/>
          <w:sz w:val="22"/>
        </w:rPr>
        <w:t>4.18</w:t>
      </w:r>
      <w:r w:rsidR="0070267D">
        <w:rPr>
          <w:rFonts w:ascii="Arial" w:eastAsia="宋体" w:hAnsi="Arial" w:cs="Arial" w:hint="eastAsia"/>
          <w:color w:val="833C0B" w:themeColor="accent2" w:themeShade="80"/>
          <w:kern w:val="0"/>
          <w:sz w:val="22"/>
        </w:rPr>
        <w:t>4</w:t>
      </w:r>
      <w:r w:rsidRPr="00517D8A">
        <w:rPr>
          <w:rFonts w:ascii="Arial" w:eastAsia="宋体" w:hAnsi="Arial" w:cs="Arial"/>
          <w:color w:val="833C0B" w:themeColor="accent2" w:themeShade="80"/>
          <w:kern w:val="0"/>
          <w:sz w:val="22"/>
        </w:rPr>
        <w:t xml:space="preserve"> kJ/mol across the structural ensemble, whereas secondary contacts were defined by 0 &lt;</w:t>
      </w:r>
      <w:r w:rsidR="004D6F53" w:rsidRPr="004E2389">
        <w:rPr>
          <w:rFonts w:ascii="Arial" w:eastAsia="宋体" w:hAnsi="Arial" w:cs="Arial"/>
          <w:color w:val="833C0B" w:themeColor="accent2" w:themeShade="80"/>
          <w:kern w:val="0"/>
          <w:sz w:val="22"/>
        </w:rPr>
        <w:t>ΔΔG</w:t>
      </w:r>
      <w:r w:rsidRPr="00517D8A">
        <w:rPr>
          <w:rFonts w:ascii="Arial" w:eastAsia="宋体" w:hAnsi="Arial" w:cs="Arial"/>
          <w:color w:val="833C0B" w:themeColor="accent2" w:themeShade="80"/>
          <w:kern w:val="0"/>
          <w:sz w:val="22"/>
        </w:rPr>
        <w:t xml:space="preserve"> &lt; 4.18</w:t>
      </w:r>
      <w:r w:rsidR="0070267D">
        <w:rPr>
          <w:rFonts w:ascii="Arial" w:eastAsia="宋体" w:hAnsi="Arial" w:cs="Arial" w:hint="eastAsia"/>
          <w:color w:val="833C0B" w:themeColor="accent2" w:themeShade="80"/>
          <w:kern w:val="0"/>
          <w:sz w:val="22"/>
        </w:rPr>
        <w:t>4</w:t>
      </w:r>
      <w:r w:rsidRPr="00517D8A">
        <w:rPr>
          <w:rFonts w:ascii="Arial" w:eastAsia="宋体" w:hAnsi="Arial" w:cs="Arial"/>
          <w:color w:val="833C0B" w:themeColor="accent2" w:themeShade="80"/>
          <w:kern w:val="0"/>
          <w:sz w:val="22"/>
        </w:rPr>
        <w:t xml:space="preserve"> kJ/mol (</w:t>
      </w:r>
      <w:r w:rsidRPr="00517D8A">
        <w:rPr>
          <w:rFonts w:ascii="Arial" w:eastAsia="宋体" w:hAnsi="Arial" w:cs="Arial"/>
          <w:b/>
          <w:bCs/>
          <w:color w:val="833C0B" w:themeColor="accent2" w:themeShade="80"/>
          <w:kern w:val="0"/>
          <w:sz w:val="22"/>
        </w:rPr>
        <w:t>Figure 4G-I</w:t>
      </w:r>
      <w:r w:rsidRPr="00517D8A">
        <w:rPr>
          <w:rFonts w:ascii="Arial" w:eastAsia="宋体" w:hAnsi="Arial" w:cs="Arial"/>
          <w:color w:val="833C0B" w:themeColor="accent2" w:themeShade="80"/>
          <w:kern w:val="0"/>
          <w:sz w:val="22"/>
        </w:rPr>
        <w:t xml:space="preserve"> and </w:t>
      </w:r>
      <w:r w:rsidRPr="00517D8A">
        <w:rPr>
          <w:rFonts w:ascii="Arial" w:eastAsia="宋体" w:hAnsi="Arial" w:cs="Arial"/>
          <w:b/>
          <w:bCs/>
          <w:color w:val="833C0B" w:themeColor="accent2" w:themeShade="80"/>
          <w:kern w:val="0"/>
          <w:sz w:val="22"/>
        </w:rPr>
        <w:t>Supplementary Figure S12</w:t>
      </w:r>
      <w:r w:rsidRPr="00517D8A">
        <w:rPr>
          <w:rFonts w:ascii="Arial" w:eastAsia="宋体" w:hAnsi="Arial" w:cs="Arial"/>
          <w:color w:val="833C0B" w:themeColor="accent2" w:themeShade="80"/>
          <w:kern w:val="0"/>
          <w:sz w:val="22"/>
        </w:rPr>
        <w:t>). When resolving peptide-level attribution discrepancies between SHAP and LIME (</w:t>
      </w:r>
      <w:r w:rsidRPr="00517D8A">
        <w:rPr>
          <w:rFonts w:ascii="Arial" w:eastAsia="宋体" w:hAnsi="Arial" w:cs="Arial"/>
          <w:b/>
          <w:bCs/>
          <w:color w:val="833C0B" w:themeColor="accent2" w:themeShade="80"/>
          <w:kern w:val="0"/>
          <w:sz w:val="22"/>
        </w:rPr>
        <w:t>Supplementary Figure S8</w:t>
      </w:r>
      <w:r w:rsidRPr="00517D8A">
        <w:rPr>
          <w:rFonts w:ascii="Arial" w:eastAsia="宋体" w:hAnsi="Arial" w:cs="Arial"/>
          <w:color w:val="833C0B" w:themeColor="accent2" w:themeShade="80"/>
          <w:kern w:val="0"/>
          <w:sz w:val="22"/>
        </w:rPr>
        <w:t xml:space="preserve">), we utilized this ensemble-averaged </w:t>
      </w:r>
      <w:r w:rsidR="004D6F53" w:rsidRPr="004E2389">
        <w:rPr>
          <w:rFonts w:ascii="Arial" w:eastAsia="宋体" w:hAnsi="Arial" w:cs="Arial"/>
          <w:color w:val="833C0B" w:themeColor="accent2" w:themeShade="80"/>
          <w:kern w:val="0"/>
          <w:sz w:val="22"/>
        </w:rPr>
        <w:t xml:space="preserve">ΔΔG </w:t>
      </w:r>
      <w:r w:rsidRPr="00517D8A">
        <w:rPr>
          <w:rFonts w:ascii="Arial" w:eastAsia="宋体" w:hAnsi="Arial" w:cs="Arial"/>
          <w:color w:val="833C0B" w:themeColor="accent2" w:themeShade="80"/>
          <w:kern w:val="0"/>
          <w:sz w:val="22"/>
        </w:rPr>
        <w:t xml:space="preserve">landscape as the objective physical 'ground truth'. We quantified the Spearman's rank correlation between the XAI positional scores and the thermodynamic </w:t>
      </w:r>
      <w:r w:rsidR="004D6F53" w:rsidRPr="004E2389">
        <w:rPr>
          <w:rFonts w:ascii="Arial" w:eastAsia="宋体" w:hAnsi="Arial" w:cs="Arial"/>
          <w:color w:val="833C0B" w:themeColor="accent2" w:themeShade="80"/>
          <w:kern w:val="0"/>
          <w:sz w:val="22"/>
        </w:rPr>
        <w:t xml:space="preserve">ΔΔG </w:t>
      </w:r>
      <w:r w:rsidRPr="00517D8A">
        <w:rPr>
          <w:rFonts w:ascii="Arial" w:eastAsia="宋体" w:hAnsi="Arial" w:cs="Arial"/>
          <w:color w:val="833C0B" w:themeColor="accent2" w:themeShade="80"/>
          <w:kern w:val="0"/>
          <w:sz w:val="22"/>
        </w:rPr>
        <w:t>values (</w:t>
      </w:r>
      <w:r w:rsidRPr="00517D8A">
        <w:rPr>
          <w:rFonts w:ascii="Arial" w:eastAsia="宋体" w:hAnsi="Arial" w:cs="Arial"/>
          <w:b/>
          <w:bCs/>
          <w:color w:val="833C0B" w:themeColor="accent2" w:themeShade="80"/>
          <w:kern w:val="0"/>
          <w:sz w:val="22"/>
        </w:rPr>
        <w:t>Supplementary Figure S11</w:t>
      </w:r>
      <w:r w:rsidRPr="00517D8A">
        <w:rPr>
          <w:rFonts w:ascii="Arial" w:eastAsia="宋体" w:hAnsi="Arial" w:cs="Arial"/>
          <w:color w:val="833C0B" w:themeColor="accent2" w:themeShade="80"/>
          <w:kern w:val="0"/>
          <w:sz w:val="22"/>
        </w:rPr>
        <w:t xml:space="preserve">). The interpretability method exhibiting statistically stronger alignment with the true biophysical drivers was adjudicated as the more biologically faithful explanation for that specific context. </w:t>
      </w:r>
      <w:r w:rsidRPr="00517D8A">
        <w:rPr>
          <w:rFonts w:ascii="Arial" w:eastAsia="宋体" w:hAnsi="Arial" w:cs="Arial"/>
          <w:color w:val="833C0B" w:themeColor="accent2" w:themeShade="80"/>
          <w:kern w:val="0"/>
          <w:sz w:val="22"/>
        </w:rPr>
        <w:lastRenderedPageBreak/>
        <w:t xml:space="preserve">These methodological refinements have been extensively detailed in the revised </w:t>
      </w:r>
      <w:r w:rsidRPr="00517D8A">
        <w:rPr>
          <w:rFonts w:ascii="Arial" w:eastAsia="宋体" w:hAnsi="Arial" w:cs="Arial"/>
          <w:b/>
          <w:bCs/>
          <w:color w:val="833C0B" w:themeColor="accent2" w:themeShade="80"/>
          <w:kern w:val="0"/>
          <w:sz w:val="22"/>
        </w:rPr>
        <w:t>Methods section.</w:t>
      </w:r>
    </w:p>
    <w:p w14:paraId="6121A3D7" w14:textId="77777777" w:rsidR="00517D8A" w:rsidRPr="004E2389" w:rsidRDefault="00517D8A" w:rsidP="009C275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6AE873BA" w14:textId="54E26456" w:rsidR="00985AF0" w:rsidRPr="004E2389" w:rsidRDefault="00517D8A" w:rsidP="00985AF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bCs/>
          <w:color w:val="0070C0"/>
          <w:kern w:val="0"/>
          <w:sz w:val="22"/>
        </w:rPr>
        <w:t xml:space="preserve">PREVIOUS </w:t>
      </w:r>
      <w:r w:rsidR="009C2754" w:rsidRPr="004E2389">
        <w:rPr>
          <w:rFonts w:ascii="Arial" w:eastAsia="宋体" w:hAnsi="Arial" w:cs="Arial"/>
          <w:b/>
          <w:bCs/>
          <w:color w:val="0070C0"/>
          <w:kern w:val="0"/>
          <w:sz w:val="22"/>
        </w:rPr>
        <w:t>RESPONSE:</w:t>
      </w:r>
      <w:r w:rsidR="00041067" w:rsidRPr="004E2389">
        <w:rPr>
          <w:rFonts w:ascii="Arial" w:eastAsia="宋体" w:hAnsi="Arial" w:cs="Arial"/>
          <w:b/>
          <w:bCs/>
          <w:color w:val="0070C0"/>
          <w:kern w:val="0"/>
          <w:sz w:val="22"/>
        </w:rPr>
        <w:t xml:space="preserve"> </w:t>
      </w:r>
      <w:r w:rsidR="00985AF0" w:rsidRPr="004E2389">
        <w:rPr>
          <w:rFonts w:ascii="Arial" w:eastAsia="宋体" w:hAnsi="Arial" w:cs="Arial"/>
          <w:color w:val="0070C0"/>
          <w:kern w:val="0"/>
          <w:sz w:val="22"/>
        </w:rPr>
        <w:t>We thank the reviewer for the insightful comment regarding interpretability validation and pose uncertainty. We entirely agree that modeled poses inherently introduce uncertainty. To rigorously address this, we have expanded our analysis of the APE-Gen2.0 outputs to quantify and incorporate this structural variance into our validation framework.</w:t>
      </w:r>
    </w:p>
    <w:p w14:paraId="72AC98E8" w14:textId="77777777" w:rsidR="00985AF0" w:rsidRPr="004E2389" w:rsidRDefault="00985AF0" w:rsidP="00985AF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It is important to emphasize that the primary contribution of this study is the development of an integrative, purely computational pipeline. By connecting established tools—SHAP/LIME for feature attribution (</w:t>
      </w:r>
      <w:proofErr w:type="spellStart"/>
      <w:r w:rsidRPr="004E2389">
        <w:rPr>
          <w:rFonts w:ascii="Arial" w:eastAsia="宋体" w:hAnsi="Arial" w:cs="Arial"/>
          <w:color w:val="0070C0"/>
          <w:kern w:val="0"/>
          <w:sz w:val="22"/>
        </w:rPr>
        <w:t>Borole</w:t>
      </w:r>
      <w:proofErr w:type="spellEnd"/>
      <w:r w:rsidRPr="004E2389">
        <w:rPr>
          <w:rFonts w:ascii="Arial" w:eastAsia="宋体" w:hAnsi="Arial" w:cs="Arial"/>
          <w:color w:val="0070C0"/>
          <w:kern w:val="0"/>
          <w:sz w:val="22"/>
        </w:rPr>
        <w:t xml:space="preserve"> et al., 2024), APE-Gen2.0 for complex structural modeling (</w:t>
      </w:r>
      <w:proofErr w:type="spellStart"/>
      <w:r w:rsidRPr="004E2389">
        <w:rPr>
          <w:rFonts w:ascii="Arial" w:eastAsia="宋体" w:hAnsi="Arial" w:cs="Arial"/>
          <w:color w:val="0070C0"/>
          <w:kern w:val="0"/>
          <w:sz w:val="22"/>
        </w:rPr>
        <w:t>Fasoulis</w:t>
      </w:r>
      <w:proofErr w:type="spellEnd"/>
      <w:r w:rsidRPr="004E2389">
        <w:rPr>
          <w:rFonts w:ascii="Arial" w:eastAsia="宋体" w:hAnsi="Arial" w:cs="Arial"/>
          <w:color w:val="0070C0"/>
          <w:kern w:val="0"/>
          <w:sz w:val="22"/>
        </w:rPr>
        <w:t xml:space="preserve"> et al., 2024), and </w:t>
      </w:r>
      <w:proofErr w:type="spellStart"/>
      <w:r w:rsidRPr="004E2389">
        <w:rPr>
          <w:rFonts w:ascii="Arial" w:eastAsia="宋体" w:hAnsi="Arial" w:cs="Arial"/>
          <w:color w:val="0070C0"/>
          <w:kern w:val="0"/>
          <w:sz w:val="22"/>
        </w:rPr>
        <w:t>BAlaS</w:t>
      </w:r>
      <w:proofErr w:type="spellEnd"/>
      <w:r w:rsidRPr="004E2389">
        <w:rPr>
          <w:rFonts w:ascii="Arial" w:eastAsia="宋体" w:hAnsi="Arial" w:cs="Arial"/>
          <w:color w:val="0070C0"/>
          <w:kern w:val="0"/>
          <w:sz w:val="22"/>
        </w:rPr>
        <w:t xml:space="preserve"> for energetic scanning (Wood et al., 2020)—we provide a rigorous framework to evaluate the biological fidelity of these predictors. Conducting </w:t>
      </w:r>
      <w:r w:rsidRPr="004E2389">
        <w:rPr>
          <w:rFonts w:ascii="Arial" w:eastAsia="宋体" w:hAnsi="Arial" w:cs="Arial"/>
          <w:i/>
          <w:iCs/>
          <w:color w:val="0070C0"/>
          <w:kern w:val="0"/>
          <w:sz w:val="22"/>
        </w:rPr>
        <w:t>de novo in vitro</w:t>
      </w:r>
      <w:r w:rsidRPr="004E2389">
        <w:rPr>
          <w:rFonts w:ascii="Arial" w:eastAsia="宋体" w:hAnsi="Arial" w:cs="Arial"/>
          <w:color w:val="0070C0"/>
          <w:kern w:val="0"/>
          <w:sz w:val="22"/>
        </w:rPr>
        <w:t xml:space="preserve"> structural resolution or binding assays for all evaluated complexes is fundamentally outside the scope of this benchmarking study. Therefore, we utilize highly accurate </w:t>
      </w:r>
      <w:r w:rsidRPr="004E2389">
        <w:rPr>
          <w:rFonts w:ascii="Arial" w:eastAsia="宋体" w:hAnsi="Arial" w:cs="Arial"/>
          <w:i/>
          <w:iCs/>
          <w:color w:val="0070C0"/>
          <w:kern w:val="0"/>
          <w:sz w:val="22"/>
        </w:rPr>
        <w:t>in silico</w:t>
      </w:r>
      <w:r w:rsidRPr="004E2389">
        <w:rPr>
          <w:rFonts w:ascii="Arial" w:eastAsia="宋体" w:hAnsi="Arial" w:cs="Arial"/>
          <w:color w:val="0070C0"/>
          <w:kern w:val="0"/>
          <w:sz w:val="22"/>
        </w:rPr>
        <w:t xml:space="preserve"> structural and energetic profiling as a reliable proxy for physical ground truth.</w:t>
      </w:r>
    </w:p>
    <w:p w14:paraId="627303AD" w14:textId="77777777" w:rsidR="00985AF0" w:rsidRPr="004E2389" w:rsidRDefault="00985AF0" w:rsidP="00985AF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1. Quantifying and Propagating Pose Uncertainty: Instead of relying solely on the single top-scoring conformation, our automated pipeline extracted the ensemble of all successful structural conformations generated by APE-Gen2.0 for each peptide-MHC complex. We then subjected every conformation in this ensemble to computational alanine scanning using </w:t>
      </w:r>
      <w:proofErr w:type="spellStart"/>
      <w:r w:rsidRPr="004E2389">
        <w:rPr>
          <w:rFonts w:ascii="Arial" w:eastAsia="宋体" w:hAnsi="Arial" w:cs="Arial"/>
          <w:color w:val="0070C0"/>
          <w:kern w:val="0"/>
          <w:sz w:val="22"/>
        </w:rPr>
        <w:t>BAlaS</w:t>
      </w:r>
      <w:proofErr w:type="spellEnd"/>
      <w:r w:rsidRPr="004E2389">
        <w:rPr>
          <w:rFonts w:ascii="Arial" w:eastAsia="宋体" w:hAnsi="Arial" w:cs="Arial"/>
          <w:color w:val="0070C0"/>
          <w:kern w:val="0"/>
          <w:sz w:val="22"/>
        </w:rPr>
        <w:t>.</w:t>
      </w:r>
    </w:p>
    <w:p w14:paraId="7160E660" w14:textId="469A9014" w:rsidR="00985AF0" w:rsidRPr="004E2389" w:rsidRDefault="00985AF0" w:rsidP="00985AF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As shown in the newly added Supplementary Figures [Insert Figure Number], we calculated the mean and standard deviation of the binding free energy penalty (ΔΔG) for each amino acid position across all generated poses. We propagated this uncertainty by comparing the XAI attribution weights against this entire ΔΔG distribution (mean ± SD). The relatively small standard deviations across the conformational ensemble demonstrate that the energetic contributions of the core residues remain stable. This confirms that when our XAI models assign high weights to specific residues, it reflects a structurally conserved biophysical reality rather than an artifact of a single modeled state.</w:t>
      </w:r>
    </w:p>
    <w:p w14:paraId="433A266B" w14:textId="77777777" w:rsidR="00A654CF" w:rsidRPr="004E2389" w:rsidRDefault="00A654CF" w:rsidP="00A654C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2. Identifying Anchors vs. Secondary Contacts and Adjudicating XAI Conflicts: To clearly delineate the energetic roles of specific residues, we strictly anchored our definitions to the </w:t>
      </w:r>
      <w:r w:rsidRPr="004E2389">
        <w:rPr>
          <w:rFonts w:ascii="Arial" w:eastAsia="宋体" w:hAnsi="Arial" w:cs="Arial"/>
          <w:color w:val="0070C0"/>
          <w:kern w:val="0"/>
          <w:sz w:val="22"/>
        </w:rPr>
        <w:lastRenderedPageBreak/>
        <w:t xml:space="preserve">physical baseline provided by the </w:t>
      </w:r>
      <w:proofErr w:type="spellStart"/>
      <w:r w:rsidRPr="004E2389">
        <w:rPr>
          <w:rFonts w:ascii="Arial" w:eastAsia="宋体" w:hAnsi="Arial" w:cs="Arial"/>
          <w:color w:val="0070C0"/>
          <w:kern w:val="0"/>
          <w:sz w:val="22"/>
        </w:rPr>
        <w:t>BAlaS</w:t>
      </w:r>
      <w:proofErr w:type="spellEnd"/>
      <w:r w:rsidRPr="004E2389">
        <w:rPr>
          <w:rFonts w:ascii="Arial" w:eastAsia="宋体" w:hAnsi="Arial" w:cs="Arial"/>
          <w:color w:val="0070C0"/>
          <w:kern w:val="0"/>
          <w:sz w:val="22"/>
        </w:rPr>
        <w:t xml:space="preserve"> computational alanine scanning distributions. Specifically, based on classical thermodynamic thresholds:</w:t>
      </w:r>
    </w:p>
    <w:p w14:paraId="28E0AEB0" w14:textId="34B2756D" w:rsidR="00A654CF" w:rsidRPr="004E2389" w:rsidRDefault="00A654CF" w:rsidP="00A654CF">
      <w:pPr>
        <w:widowControl/>
        <w:numPr>
          <w:ilvl w:val="0"/>
          <w:numId w:val="6"/>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Anchors (Critical Binding Residues): Residues exhibiting a significant mean energetic penalty of ΔΔG ≥4.18 kJ/mol </w:t>
      </w:r>
      <w:proofErr w:type="gramStart"/>
      <w:r w:rsidRPr="004E2389">
        <w:rPr>
          <w:rFonts w:ascii="Arial" w:eastAsia="宋体" w:hAnsi="Arial" w:cs="Arial"/>
          <w:color w:val="0070C0"/>
          <w:kern w:val="0"/>
          <w:sz w:val="22"/>
        </w:rPr>
        <w:t>( ≈</w:t>
      </w:r>
      <w:proofErr w:type="gramEnd"/>
      <w:r w:rsidRPr="004E2389">
        <w:rPr>
          <w:rFonts w:ascii="Arial" w:eastAsia="宋体" w:hAnsi="Arial" w:cs="Arial"/>
          <w:color w:val="0070C0"/>
          <w:kern w:val="0"/>
          <w:sz w:val="22"/>
        </w:rPr>
        <w:t>1kcal/mol) across the pose ensemble were defined as primary anchors.</w:t>
      </w:r>
    </w:p>
    <w:p w14:paraId="4E9A6B48" w14:textId="7449D5A5" w:rsidR="00A654CF" w:rsidRPr="004E2389" w:rsidRDefault="00A654CF" w:rsidP="00A654CF">
      <w:pPr>
        <w:widowControl/>
        <w:numPr>
          <w:ilvl w:val="0"/>
          <w:numId w:val="6"/>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Secondary Contacts: Residues with positive but weaker energetic contributions (</w:t>
      </w:r>
      <w:r w:rsidR="00634F99" w:rsidRPr="004E2389">
        <w:rPr>
          <w:rFonts w:ascii="Arial" w:eastAsia="宋体" w:hAnsi="Arial" w:cs="Arial"/>
          <w:color w:val="0070C0"/>
          <w:kern w:val="0"/>
          <w:sz w:val="22"/>
        </w:rPr>
        <w:t>0</w:t>
      </w:r>
      <w:r w:rsidR="00634F99" w:rsidRPr="004E2389">
        <w:rPr>
          <w:rFonts w:ascii="Arial" w:eastAsia="宋体" w:hAnsi="Arial" w:cs="Arial"/>
          <w:color w:val="0070C0"/>
          <w:kern w:val="0"/>
          <w:sz w:val="22"/>
        </w:rPr>
        <w:t>＜</w:t>
      </w:r>
      <w:r w:rsidR="00634F99" w:rsidRPr="004E2389">
        <w:rPr>
          <w:rFonts w:ascii="Arial" w:eastAsia="宋体" w:hAnsi="Arial" w:cs="Arial"/>
          <w:color w:val="0070C0"/>
          <w:kern w:val="0"/>
          <w:sz w:val="22"/>
        </w:rPr>
        <w:t>ΔΔG</w:t>
      </w:r>
      <w:r w:rsidR="00634F99" w:rsidRPr="004E2389">
        <w:rPr>
          <w:rFonts w:ascii="Arial" w:eastAsia="宋体" w:hAnsi="Arial" w:cs="Arial"/>
          <w:color w:val="0070C0"/>
          <w:kern w:val="0"/>
          <w:sz w:val="22"/>
        </w:rPr>
        <w:t>＜</w:t>
      </w:r>
      <w:r w:rsidR="00634F99" w:rsidRPr="004E2389">
        <w:rPr>
          <w:rFonts w:ascii="Arial" w:eastAsia="宋体" w:hAnsi="Arial" w:cs="Arial"/>
          <w:color w:val="0070C0"/>
          <w:kern w:val="0"/>
          <w:sz w:val="22"/>
        </w:rPr>
        <w:t>4.18</w:t>
      </w:r>
      <w:r w:rsidRPr="004E2389">
        <w:rPr>
          <w:rFonts w:ascii="Arial" w:eastAsia="宋体" w:hAnsi="Arial" w:cs="Arial"/>
          <w:color w:val="0070C0"/>
          <w:kern w:val="0"/>
          <w:sz w:val="22"/>
        </w:rPr>
        <w:t xml:space="preserve"> kJ/mol) were classified as secondary contacts, providing auxiliary stabilization rather than driving the core recognition.</w:t>
      </w:r>
    </w:p>
    <w:p w14:paraId="15127EBA" w14:textId="06D1991B" w:rsidR="00A654CF" w:rsidRPr="004E2389" w:rsidRDefault="00A654CF" w:rsidP="00A654C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Regarding the conflicts between XAI methods (e.g., LIME assigning highest importance to P2 while SHAP highlights P9), we recognize that attribution algorithms can occasionally diverge due to their underlying mathematical assumptions (perturbation-based vs. gradient/game-theory-based). To adjudicate these conflicts objectively, we deferred to the ensemble-averaged </w:t>
      </w:r>
      <w:r w:rsidR="00634F99" w:rsidRPr="004E2389">
        <w:rPr>
          <w:rFonts w:ascii="Arial" w:eastAsia="宋体" w:hAnsi="Arial" w:cs="Arial"/>
          <w:color w:val="0070C0"/>
          <w:kern w:val="0"/>
          <w:sz w:val="22"/>
        </w:rPr>
        <w:t xml:space="preserve">ΔΔG </w:t>
      </w:r>
      <w:r w:rsidRPr="004E2389">
        <w:rPr>
          <w:rFonts w:ascii="Arial" w:eastAsia="宋体" w:hAnsi="Arial" w:cs="Arial"/>
          <w:color w:val="0070C0"/>
          <w:kern w:val="0"/>
          <w:sz w:val="22"/>
        </w:rPr>
        <w:t xml:space="preserve">landscape as the biophysical "ground truth." While there is no direct mathematical equivalency between an XAI feature weight and thermodynamic free energy, the theoretical foundation is straightforward: an accurate predictive model should base its decisions on true physical drivers rather than dataset biases. Therefore, when a conflict arose, we calculated the correlation (e.g., Spearman's rank) between the positional XAI scores and the </w:t>
      </w:r>
      <w:r w:rsidR="00634F99" w:rsidRPr="004E2389">
        <w:rPr>
          <w:rFonts w:ascii="Arial" w:eastAsia="宋体" w:hAnsi="Arial" w:cs="Arial"/>
          <w:color w:val="0070C0"/>
          <w:kern w:val="0"/>
          <w:sz w:val="22"/>
        </w:rPr>
        <w:t xml:space="preserve">ΔΔG </w:t>
      </w:r>
      <w:r w:rsidRPr="004E2389">
        <w:rPr>
          <w:rFonts w:ascii="Arial" w:eastAsia="宋体" w:hAnsi="Arial" w:cs="Arial"/>
          <w:color w:val="0070C0"/>
          <w:kern w:val="0"/>
          <w:sz w:val="22"/>
        </w:rPr>
        <w:t>values. The XAI method that demonstrated a statistically stronger alignment with the structural ground truth—meaning it successfully highlighted the structurally validated anchors (</w:t>
      </w:r>
      <w:r w:rsidR="00634F99" w:rsidRPr="004E2389">
        <w:rPr>
          <w:rFonts w:ascii="Arial" w:eastAsia="宋体" w:hAnsi="Arial" w:cs="Arial"/>
          <w:color w:val="0070C0"/>
          <w:kern w:val="0"/>
          <w:sz w:val="22"/>
        </w:rPr>
        <w:t>ΔΔG ≥4.18 kJ/mol</w:t>
      </w:r>
      <w:r w:rsidRPr="004E2389">
        <w:rPr>
          <w:rFonts w:ascii="Arial" w:eastAsia="宋体" w:hAnsi="Arial" w:cs="Arial"/>
          <w:color w:val="0070C0"/>
          <w:kern w:val="0"/>
          <w:sz w:val="22"/>
        </w:rPr>
        <w:t>)—was adjudicated as providing the more biologically faithful and accurate interpretation for that specific model. We have clarified this adjudication mechanism in the revised Methods section (Lines XX-XX).</w:t>
      </w:r>
    </w:p>
    <w:p w14:paraId="50D3E9A2" w14:textId="3BE93128" w:rsidR="00CB0CB5" w:rsidRPr="004E2389" w:rsidRDefault="00CB0CB5">
      <w:pPr>
        <w:widowControl/>
        <w:jc w:val="left"/>
        <w:rPr>
          <w:rFonts w:ascii="Arial" w:eastAsia="宋体" w:hAnsi="Arial" w:cs="Arial"/>
          <w:color w:val="0070C0"/>
          <w:kern w:val="0"/>
          <w:sz w:val="22"/>
        </w:rPr>
      </w:pPr>
      <w:r w:rsidRPr="004E2389">
        <w:rPr>
          <w:rFonts w:ascii="Arial" w:eastAsia="宋体" w:hAnsi="Arial" w:cs="Arial"/>
          <w:color w:val="0070C0"/>
          <w:kern w:val="0"/>
          <w:sz w:val="22"/>
        </w:rPr>
        <w:br w:type="page"/>
      </w:r>
    </w:p>
    <w:p w14:paraId="0B2F09A0" w14:textId="60A90FE7"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lastRenderedPageBreak/>
        <w:t>4) Statistical testing and uncertainty reporting</w:t>
      </w:r>
    </w:p>
    <w:p w14:paraId="3CC898AB" w14:textId="333ECC44"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Significance testing of AUC differences should use appropriate paired, distribution-aware approaches (e.g., DeLong, stratified bootstrap with CIs). Please add CIs for AUROC/AUPRC and for runtime/memory, and report effect sizes (ΔAUC with 95% CI) in the main figures/tables.</w:t>
      </w:r>
    </w:p>
    <w:p w14:paraId="55709933" w14:textId="0315DE56" w:rsidR="00D954A5" w:rsidRPr="004E2389" w:rsidRDefault="0057496C"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 xml:space="preserve">NEW RESPONSE: </w:t>
      </w:r>
    </w:p>
    <w:p w14:paraId="0B6AEE38" w14:textId="77777777" w:rsidR="0057496C" w:rsidRPr="0057496C" w:rsidRDefault="0057496C" w:rsidP="0057496C">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7496C">
        <w:rPr>
          <w:rFonts w:ascii="Arial" w:eastAsia="宋体" w:hAnsi="Arial" w:cs="Arial"/>
          <w:color w:val="833C0B" w:themeColor="accent2" w:themeShade="80"/>
          <w:kern w:val="0"/>
          <w:sz w:val="22"/>
        </w:rPr>
        <w:t xml:space="preserve">We sincerely thank the reviewer for this constructive recommendation, which significantly enhances the statistical rigor of our benchmarking. To accurately quantify performance uncertainty, we implemented a robust 1,000-iteration stratified bootstrap resampling procedure, carefully preserving class distributions across all datasets. Using this approach, we calculated the distributions and 95% confidence intervals (CIs) for both AUROC and AUPRC, which are now incorporated into </w:t>
      </w:r>
      <w:r w:rsidRPr="0057496C">
        <w:rPr>
          <w:rFonts w:ascii="Arial" w:eastAsia="宋体" w:hAnsi="Arial" w:cs="Arial"/>
          <w:b/>
          <w:bCs/>
          <w:color w:val="833C0B" w:themeColor="accent2" w:themeShade="80"/>
          <w:kern w:val="0"/>
          <w:sz w:val="22"/>
        </w:rPr>
        <w:t>Figure 2B</w:t>
      </w:r>
      <w:r w:rsidRPr="0057496C">
        <w:rPr>
          <w:rFonts w:ascii="Arial" w:eastAsia="宋体" w:hAnsi="Arial" w:cs="Arial"/>
          <w:color w:val="833C0B" w:themeColor="accent2" w:themeShade="80"/>
          <w:kern w:val="0"/>
          <w:sz w:val="22"/>
        </w:rPr>
        <w:t xml:space="preserve">, </w:t>
      </w:r>
      <w:r w:rsidRPr="0057496C">
        <w:rPr>
          <w:rFonts w:ascii="Arial" w:eastAsia="宋体" w:hAnsi="Arial" w:cs="Arial"/>
          <w:b/>
          <w:bCs/>
          <w:color w:val="833C0B" w:themeColor="accent2" w:themeShade="80"/>
          <w:kern w:val="0"/>
          <w:sz w:val="22"/>
        </w:rPr>
        <w:t>Supplementary Figure S2</w:t>
      </w:r>
      <w:r w:rsidRPr="0057496C">
        <w:rPr>
          <w:rFonts w:ascii="Arial" w:eastAsia="宋体" w:hAnsi="Arial" w:cs="Arial"/>
          <w:color w:val="833C0B" w:themeColor="accent2" w:themeShade="80"/>
          <w:kern w:val="0"/>
          <w:sz w:val="22"/>
        </w:rPr>
        <w:t xml:space="preserve">, and detailed in </w:t>
      </w:r>
      <w:r w:rsidRPr="0057496C">
        <w:rPr>
          <w:rFonts w:ascii="Arial" w:eastAsia="宋体" w:hAnsi="Arial" w:cs="Arial"/>
          <w:b/>
          <w:bCs/>
          <w:color w:val="833C0B" w:themeColor="accent2" w:themeShade="80"/>
          <w:kern w:val="0"/>
          <w:sz w:val="22"/>
        </w:rPr>
        <w:t>Supplementary Table S4</w:t>
      </w:r>
      <w:r w:rsidRPr="0057496C">
        <w:rPr>
          <w:rFonts w:ascii="Arial" w:eastAsia="宋体" w:hAnsi="Arial" w:cs="Arial"/>
          <w:color w:val="833C0B" w:themeColor="accent2" w:themeShade="80"/>
          <w:kern w:val="0"/>
          <w:sz w:val="22"/>
        </w:rPr>
        <w:t xml:space="preserve">. Furthermore, to rigorously evaluate performance differences, we conducted paired bootstrap hypothesis testing. We calculated the effect sizes (AUC) alongside their 95% CIs and associated </w:t>
      </w:r>
      <w:r w:rsidRPr="0057496C">
        <w:rPr>
          <w:rFonts w:ascii="Arial" w:eastAsia="宋体" w:hAnsi="Arial" w:cs="Arial"/>
          <w:i/>
          <w:iCs/>
          <w:color w:val="833C0B" w:themeColor="accent2" w:themeShade="80"/>
          <w:kern w:val="0"/>
          <w:sz w:val="22"/>
        </w:rPr>
        <w:t>P</w:t>
      </w:r>
      <w:r w:rsidRPr="0057496C">
        <w:rPr>
          <w:rFonts w:ascii="Arial" w:eastAsia="宋体" w:hAnsi="Arial" w:cs="Arial"/>
          <w:color w:val="833C0B" w:themeColor="accent2" w:themeShade="80"/>
          <w:kern w:val="0"/>
          <w:sz w:val="22"/>
        </w:rPr>
        <w:t>-values, comparing the top-performing model against all other predictors (</w:t>
      </w:r>
      <w:r w:rsidRPr="0057496C">
        <w:rPr>
          <w:rFonts w:ascii="Arial" w:eastAsia="宋体" w:hAnsi="Arial" w:cs="Arial"/>
          <w:b/>
          <w:bCs/>
          <w:color w:val="833C0B" w:themeColor="accent2" w:themeShade="80"/>
          <w:kern w:val="0"/>
          <w:sz w:val="22"/>
        </w:rPr>
        <w:t>Supplementary Table S5</w:t>
      </w:r>
      <w:r w:rsidRPr="0057496C">
        <w:rPr>
          <w:rFonts w:ascii="Arial" w:eastAsia="宋体" w:hAnsi="Arial" w:cs="Arial"/>
          <w:color w:val="833C0B" w:themeColor="accent2" w:themeShade="80"/>
          <w:kern w:val="0"/>
          <w:sz w:val="22"/>
        </w:rPr>
        <w:t>). The coefficient of variation detailing performance stability across varied imbalance conditions has also been added (</w:t>
      </w:r>
      <w:r w:rsidRPr="0057496C">
        <w:rPr>
          <w:rFonts w:ascii="Arial" w:eastAsia="宋体" w:hAnsi="Arial" w:cs="Arial"/>
          <w:b/>
          <w:bCs/>
          <w:color w:val="833C0B" w:themeColor="accent2" w:themeShade="80"/>
          <w:kern w:val="0"/>
          <w:sz w:val="22"/>
        </w:rPr>
        <w:t>Supplementary Table S6</w:t>
      </w:r>
      <w:r w:rsidRPr="0057496C">
        <w:rPr>
          <w:rFonts w:ascii="Arial" w:eastAsia="宋体" w:hAnsi="Arial" w:cs="Arial"/>
          <w:color w:val="833C0B" w:themeColor="accent2" w:themeShade="80"/>
          <w:kern w:val="0"/>
          <w:sz w:val="22"/>
        </w:rPr>
        <w:t>).</w:t>
      </w:r>
    </w:p>
    <w:p w14:paraId="20419551" w14:textId="5B2231D5" w:rsidR="0057496C" w:rsidRPr="0057496C" w:rsidRDefault="0057496C" w:rsidP="0057496C">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7496C">
        <w:rPr>
          <w:rFonts w:ascii="Arial" w:eastAsia="宋体" w:hAnsi="Arial" w:cs="Arial"/>
          <w:color w:val="833C0B" w:themeColor="accent2" w:themeShade="80"/>
          <w:kern w:val="0"/>
          <w:sz w:val="22"/>
        </w:rPr>
        <w:t>Regarding the request for confidence intervals for computational resource consumption, we respectfully note that runtime and peak memory usage are largely deterministic given a fixed dataset, hardware architecture, and software environment, rather than following a probabilistic distribution like classification metrics. Therefore, instead of sampling-based CIs, we conducted an exhaustive, deterministic profiling of computational efficiency. We provide high-resolution absolute measurements—including total elapsed wall-clock time, peak resident set size (RSS), and peak CPU/GPU utilization—under strictly standardized benchmarking conditions (</w:t>
      </w:r>
      <w:r w:rsidRPr="0057496C">
        <w:rPr>
          <w:rFonts w:ascii="Arial" w:eastAsia="宋体" w:hAnsi="Arial" w:cs="Arial"/>
          <w:b/>
          <w:bCs/>
          <w:color w:val="833C0B" w:themeColor="accent2" w:themeShade="80"/>
          <w:kern w:val="0"/>
          <w:sz w:val="22"/>
        </w:rPr>
        <w:t>Figure 2E</w:t>
      </w:r>
      <w:r w:rsidRPr="0057496C">
        <w:rPr>
          <w:rFonts w:ascii="Arial" w:eastAsia="宋体" w:hAnsi="Arial" w:cs="Arial"/>
          <w:color w:val="833C0B" w:themeColor="accent2" w:themeShade="80"/>
          <w:kern w:val="0"/>
          <w:sz w:val="22"/>
        </w:rPr>
        <w:t xml:space="preserve"> and </w:t>
      </w:r>
      <w:r w:rsidRPr="0057496C">
        <w:rPr>
          <w:rFonts w:ascii="Arial" w:eastAsia="宋体" w:hAnsi="Arial" w:cs="Arial"/>
          <w:b/>
          <w:bCs/>
          <w:color w:val="833C0B" w:themeColor="accent2" w:themeShade="80"/>
          <w:kern w:val="0"/>
          <w:sz w:val="22"/>
        </w:rPr>
        <w:t>Supplementary Tables S11–S13</w:t>
      </w:r>
      <w:r w:rsidRPr="0057496C">
        <w:rPr>
          <w:rFonts w:ascii="Arial" w:eastAsia="宋体" w:hAnsi="Arial" w:cs="Arial"/>
          <w:color w:val="833C0B" w:themeColor="accent2" w:themeShade="80"/>
          <w:kern w:val="0"/>
          <w:sz w:val="22"/>
        </w:rPr>
        <w:t>). We believe these comprehensive updates fully satisfy the requirements for statistical transparency and precise resource benchmarking.</w:t>
      </w:r>
    </w:p>
    <w:p w14:paraId="5BA057AB" w14:textId="77777777" w:rsidR="00D954A5" w:rsidRPr="004E2389" w:rsidRDefault="00D954A5"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2B8251E2" w14:textId="2C93384E" w:rsidR="006A50A9" w:rsidRPr="004E2389" w:rsidRDefault="00D954A5"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eastAsia="宋体" w:hAnsi="Arial" w:cs="Arial"/>
          <w:b/>
          <w:color w:val="0070C0"/>
          <w:kern w:val="0"/>
          <w:sz w:val="22"/>
        </w:rPr>
        <w:t xml:space="preserve">PREVIOUS </w:t>
      </w:r>
      <w:r w:rsidR="006A50A9" w:rsidRPr="004E2389">
        <w:rPr>
          <w:rFonts w:ascii="Arial" w:eastAsia="宋体" w:hAnsi="Arial" w:cs="Arial"/>
          <w:b/>
          <w:color w:val="0070C0"/>
          <w:kern w:val="0"/>
          <w:sz w:val="22"/>
        </w:rPr>
        <w:t>RESPONSE:</w:t>
      </w:r>
      <w:r w:rsidR="006A50A9" w:rsidRPr="004E2389">
        <w:rPr>
          <w:rFonts w:ascii="Arial" w:eastAsia="宋体" w:hAnsi="Arial" w:cs="Arial"/>
          <w:color w:val="0070C0"/>
          <w:kern w:val="0"/>
          <w:sz w:val="22"/>
        </w:rPr>
        <w:t xml:space="preserve"> </w:t>
      </w:r>
      <w:r w:rsidR="006A50A9" w:rsidRPr="004E2389">
        <w:rPr>
          <w:rFonts w:ascii="Arial" w:hAnsi="Arial" w:cs="Arial"/>
          <w:color w:val="0070C0"/>
          <w:sz w:val="22"/>
        </w:rPr>
        <w:t xml:space="preserve">We sincerely thank the reviewer for this constructive suggestion, which substantially improves the statistical rigor of our benchmarking study. Following this </w:t>
      </w:r>
      <w:r w:rsidR="006A50A9" w:rsidRPr="004E2389">
        <w:rPr>
          <w:rFonts w:ascii="Arial" w:hAnsi="Arial" w:cs="Arial"/>
          <w:color w:val="0070C0"/>
          <w:sz w:val="22"/>
        </w:rPr>
        <w:lastRenderedPageBreak/>
        <w:t>recommendation, we implemented several additional analyses and expanded the reporting of statistical uncertainty in the revised manuscript.</w:t>
      </w:r>
    </w:p>
    <w:p w14:paraId="35922455" w14:textId="287E9F17" w:rsidR="006A50A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1. Confidence intervals for AUROC and AUPRC</w:t>
      </w:r>
    </w:p>
    <w:p w14:paraId="0D190867" w14:textId="533535A7" w:rsidR="006A50A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To quantify the uncertainty of model performance, we applied a stratified bootstrap resampling procedure to the prediction results. Specifically, we performed 1,000 bootstrap iterations, sampling prediction pairs while preserving the class distribution of the dataset. Based on these bootstrap samples, we estimated the distributions of AUROC and AUPRC and calculated their corresponding 95% confidence intervals (CIs) for each predictor across all evaluation datasets (1:1, 1:4, 1:9). These confidence intervals are now shown in the Supplementary Figure S2 and reported in the revised Supplementary Tables S8.</w:t>
      </w:r>
    </w:p>
    <w:p w14:paraId="5DC63C11" w14:textId="3B581764" w:rsidR="006A50A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2. Statistical testing and effect size reporting (ΔAUC)</w:t>
      </w:r>
    </w:p>
    <w:p w14:paraId="7BA8A7DC" w14:textId="3FC9266F" w:rsidR="006A50A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To evaluate whether differences in predictive performance are statistically significant, we performed paired bootstrap comparisons between predictors using the bootstrap distributions of AUROC. For each evaluation fold, the best-performing method (</w:t>
      </w:r>
      <w:proofErr w:type="spellStart"/>
      <w:r w:rsidRPr="004E2389">
        <w:rPr>
          <w:rFonts w:ascii="Arial" w:hAnsi="Arial" w:cs="Arial"/>
          <w:color w:val="0070C0"/>
          <w:sz w:val="22"/>
        </w:rPr>
        <w:t>STMHCpan</w:t>
      </w:r>
      <w:proofErr w:type="spellEnd"/>
      <w:r w:rsidRPr="004E2389">
        <w:rPr>
          <w:rFonts w:ascii="Arial" w:hAnsi="Arial" w:cs="Arial"/>
          <w:color w:val="0070C0"/>
          <w:sz w:val="22"/>
        </w:rPr>
        <w:t xml:space="preserve">) was used as the reference model, and the effect size (ΔAUROC) between </w:t>
      </w:r>
      <w:proofErr w:type="spellStart"/>
      <w:r w:rsidRPr="004E2389">
        <w:rPr>
          <w:rFonts w:ascii="Arial" w:hAnsi="Arial" w:cs="Arial"/>
          <w:color w:val="0070C0"/>
          <w:sz w:val="22"/>
        </w:rPr>
        <w:t>STMHCpan</w:t>
      </w:r>
      <w:proofErr w:type="spellEnd"/>
      <w:r w:rsidRPr="004E2389">
        <w:rPr>
          <w:rFonts w:ascii="Arial" w:hAnsi="Arial" w:cs="Arial"/>
          <w:color w:val="0070C0"/>
          <w:sz w:val="22"/>
        </w:rPr>
        <w:t xml:space="preserve"> and each comparator was calculated. We report the ΔAUROC together with its 95% CI and associated P-values, allowing direct assessment of both statistical significance and the magnitude of performance differences. These results are summarized in Supplementary Tables S9.</w:t>
      </w:r>
    </w:p>
    <w:p w14:paraId="7DC9FCB8" w14:textId="619FFEB4" w:rsidR="006A50A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3. Stability of predictor performance across class imbalance scenarios</w:t>
      </w:r>
    </w:p>
    <w:p w14:paraId="63721600" w14:textId="3CE9BED2" w:rsidR="006A50A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 xml:space="preserve">To further assess model robustness under varying class imbalance conditions, we evaluated performance stability across folds with different positive-to-negative ratios. For each predictor, we calculated the coefficient of variation (CV) of AUROC across folds, which quantifies the relative variability of performance. As shown in Supplementary </w:t>
      </w:r>
      <w:r w:rsidR="006B1324" w:rsidRPr="004E2389">
        <w:rPr>
          <w:rFonts w:ascii="Arial" w:hAnsi="Arial" w:cs="Arial"/>
          <w:color w:val="0070C0"/>
          <w:sz w:val="22"/>
        </w:rPr>
        <w:t xml:space="preserve">Tables </w:t>
      </w:r>
      <w:r w:rsidRPr="004E2389">
        <w:rPr>
          <w:rFonts w:ascii="Arial" w:hAnsi="Arial" w:cs="Arial"/>
          <w:color w:val="0070C0"/>
          <w:sz w:val="22"/>
        </w:rPr>
        <w:t>S</w:t>
      </w:r>
      <w:r w:rsidR="00545310" w:rsidRPr="004E2389">
        <w:rPr>
          <w:rFonts w:ascii="Arial" w:hAnsi="Arial" w:cs="Arial"/>
          <w:color w:val="0070C0"/>
          <w:sz w:val="22"/>
        </w:rPr>
        <w:t>10</w:t>
      </w:r>
      <w:r w:rsidRPr="004E2389">
        <w:rPr>
          <w:rFonts w:ascii="Arial" w:hAnsi="Arial" w:cs="Arial"/>
          <w:color w:val="0070C0"/>
          <w:sz w:val="22"/>
        </w:rPr>
        <w:t>, most top-performing predictors maintain relatively stable performance across folds, while weaker models exhibit higher variability.</w:t>
      </w:r>
    </w:p>
    <w:p w14:paraId="139699F9" w14:textId="2B316505" w:rsidR="006A50A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4. Runtime and memory measurements</w:t>
      </w:r>
    </w:p>
    <w:p w14:paraId="227C1DEB" w14:textId="20FD29FD" w:rsidR="006A50A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 xml:space="preserve">Regarding the request for confidence intervals for runtime and memory consumption, we note that these measurements are largely deterministic for a given dataset, hardware configuration, and software implementation, and therefore do not follow a sampling-based statistical distribution comparable to prediction metrics such as AUROC. Instead of estimating </w:t>
      </w:r>
      <w:r w:rsidRPr="004E2389">
        <w:rPr>
          <w:rFonts w:ascii="Arial" w:hAnsi="Arial" w:cs="Arial"/>
          <w:color w:val="0070C0"/>
          <w:sz w:val="22"/>
        </w:rPr>
        <w:lastRenderedPageBreak/>
        <w:t>confidence intervals, we provide detailed absolute measurements of runtime and peak memory usage under standardized benchmarking conditions. These measurements allow readers to directly compare the computational efficiency of different predictors and understand how resource requirements scale with dataset size.</w:t>
      </w:r>
    </w:p>
    <w:p w14:paraId="2B97F31D" w14:textId="0E947D5E" w:rsidR="004021C9" w:rsidRPr="004E2389" w:rsidRDefault="006A50A9"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hAnsi="Arial" w:cs="Arial"/>
          <w:color w:val="0070C0"/>
          <w:sz w:val="22"/>
        </w:rPr>
      </w:pPr>
      <w:r w:rsidRPr="004E2389">
        <w:rPr>
          <w:rFonts w:ascii="Arial" w:hAnsi="Arial" w:cs="Arial"/>
          <w:color w:val="0070C0"/>
          <w:sz w:val="22"/>
        </w:rPr>
        <w:t>We believe that these additions substantially strengthen the statistical rigor, transparency, and interpretability of the benchmarking results (Lines 132–139 and Lines 461–464).</w:t>
      </w:r>
    </w:p>
    <w:p w14:paraId="4F726D1B" w14:textId="77777777" w:rsidR="001B20B5" w:rsidRPr="004E2389" w:rsidRDefault="001B20B5" w:rsidP="006A50A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6FFE1470" w14:textId="77777777" w:rsidR="00A563C6" w:rsidRPr="004E2389" w:rsidRDefault="00A563C6">
      <w:pPr>
        <w:widowControl/>
        <w:jc w:val="left"/>
        <w:rPr>
          <w:rFonts w:ascii="Arial" w:eastAsia="宋体" w:hAnsi="Arial" w:cs="Arial"/>
          <w:color w:val="000000"/>
          <w:kern w:val="0"/>
          <w:sz w:val="22"/>
        </w:rPr>
      </w:pPr>
      <w:bookmarkStart w:id="1" w:name="OLE_LINK2"/>
      <w:r w:rsidRPr="004E2389">
        <w:rPr>
          <w:rFonts w:ascii="Arial" w:eastAsia="宋体" w:hAnsi="Arial" w:cs="Arial"/>
          <w:color w:val="000000"/>
          <w:kern w:val="0"/>
          <w:sz w:val="22"/>
        </w:rPr>
        <w:br w:type="page"/>
      </w:r>
    </w:p>
    <w:p w14:paraId="7445914D" w14:textId="692C9FDF"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lastRenderedPageBreak/>
        <w:t>5) Coverage and fairness of runtime benchmarks</w:t>
      </w:r>
    </w:p>
    <w:p w14:paraId="604F5957" w14:textId="623A5E6E"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Runtime/memory are measured on CPU-limited settings. Several tools have optimized GPU paths while others are CPU-only. Please clarify: (</w:t>
      </w:r>
      <w:proofErr w:type="spellStart"/>
      <w:r w:rsidRPr="004E2389">
        <w:rPr>
          <w:rFonts w:ascii="Arial" w:eastAsia="宋体" w:hAnsi="Arial" w:cs="Arial"/>
          <w:b/>
          <w:bCs/>
          <w:color w:val="000000"/>
          <w:kern w:val="0"/>
          <w:sz w:val="22"/>
        </w:rPr>
        <w:t>i</w:t>
      </w:r>
      <w:proofErr w:type="spellEnd"/>
      <w:r w:rsidRPr="004E2389">
        <w:rPr>
          <w:rFonts w:ascii="Arial" w:eastAsia="宋体" w:hAnsi="Arial" w:cs="Arial"/>
          <w:b/>
          <w:bCs/>
          <w:color w:val="000000"/>
          <w:kern w:val="0"/>
          <w:sz w:val="22"/>
        </w:rPr>
        <w:t>) versions/flags used, (ii) whether GPU acceleration was available/disabled for all tools, and (iii) how caching/batch size were controlled. Consider a separate table for best-practice runs (GPU where applicable) to reflect realistic usage.</w:t>
      </w:r>
    </w:p>
    <w:p w14:paraId="7555504E" w14:textId="58B23174" w:rsidR="002266C4" w:rsidRPr="004E2389" w:rsidRDefault="002266C4" w:rsidP="002266C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43BE69E5" w14:textId="58C0BE67" w:rsidR="002266C4" w:rsidRPr="002266C4" w:rsidRDefault="002266C4" w:rsidP="002266C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2266C4">
        <w:rPr>
          <w:rFonts w:ascii="Arial" w:eastAsia="宋体" w:hAnsi="Arial" w:cs="Arial"/>
          <w:color w:val="833C0B" w:themeColor="accent2" w:themeShade="80"/>
          <w:kern w:val="0"/>
          <w:sz w:val="22"/>
        </w:rPr>
        <w:t>We thank the reviewer for raising this critical point regarding computational fairness and real-world deployment. We fully agree that evaluating optimized GPU paths is essential for reflecting realistic high-throughput usage. To address this, we have explicitly separated standard CPU benchmarking from optimal GPU-accelerated runs. We conducted new, dedicated GPU benchmarks for the five tools capable of GPU execution (</w:t>
      </w:r>
      <w:proofErr w:type="spellStart"/>
      <w:r w:rsidRPr="002266C4">
        <w:rPr>
          <w:rFonts w:ascii="Arial" w:eastAsia="宋体" w:hAnsi="Arial" w:cs="Arial"/>
          <w:color w:val="833C0B" w:themeColor="accent2" w:themeShade="80"/>
          <w:kern w:val="0"/>
          <w:sz w:val="22"/>
        </w:rPr>
        <w:t>STMHCpan</w:t>
      </w:r>
      <w:proofErr w:type="spellEnd"/>
      <w:r w:rsidRPr="002266C4">
        <w:rPr>
          <w:rFonts w:ascii="Arial" w:eastAsia="宋体" w:hAnsi="Arial" w:cs="Arial"/>
          <w:color w:val="833C0B" w:themeColor="accent2" w:themeShade="80"/>
          <w:kern w:val="0"/>
          <w:sz w:val="22"/>
        </w:rPr>
        <w:t xml:space="preserve">, </w:t>
      </w:r>
      <w:proofErr w:type="spellStart"/>
      <w:r w:rsidRPr="002266C4">
        <w:rPr>
          <w:rFonts w:ascii="Arial" w:eastAsia="宋体" w:hAnsi="Arial" w:cs="Arial"/>
          <w:color w:val="833C0B" w:themeColor="accent2" w:themeShade="80"/>
          <w:kern w:val="0"/>
          <w:sz w:val="22"/>
        </w:rPr>
        <w:t>BigMHC</w:t>
      </w:r>
      <w:proofErr w:type="spellEnd"/>
      <w:r w:rsidRPr="002266C4">
        <w:rPr>
          <w:rFonts w:ascii="Arial" w:eastAsia="宋体" w:hAnsi="Arial" w:cs="Arial"/>
          <w:color w:val="833C0B" w:themeColor="accent2" w:themeShade="80"/>
          <w:kern w:val="0"/>
          <w:sz w:val="22"/>
        </w:rPr>
        <w:t xml:space="preserve">, </w:t>
      </w:r>
      <w:proofErr w:type="spellStart"/>
      <w:r w:rsidRPr="002266C4">
        <w:rPr>
          <w:rFonts w:ascii="Arial" w:eastAsia="宋体" w:hAnsi="Arial" w:cs="Arial"/>
          <w:color w:val="833C0B" w:themeColor="accent2" w:themeShade="80"/>
          <w:kern w:val="0"/>
          <w:sz w:val="22"/>
        </w:rPr>
        <w:t>CapsNet</w:t>
      </w:r>
      <w:proofErr w:type="spellEnd"/>
      <w:r w:rsidRPr="002266C4">
        <w:rPr>
          <w:rFonts w:ascii="Arial" w:eastAsia="宋体" w:hAnsi="Arial" w:cs="Arial"/>
          <w:color w:val="833C0B" w:themeColor="accent2" w:themeShade="80"/>
          <w:kern w:val="0"/>
          <w:sz w:val="22"/>
        </w:rPr>
        <w:t xml:space="preserve">-MHC_AN, </w:t>
      </w:r>
      <w:proofErr w:type="spellStart"/>
      <w:r w:rsidRPr="002266C4">
        <w:rPr>
          <w:rFonts w:ascii="Arial" w:eastAsia="宋体" w:hAnsi="Arial" w:cs="Arial"/>
          <w:color w:val="833C0B" w:themeColor="accent2" w:themeShade="80"/>
          <w:kern w:val="0"/>
          <w:sz w:val="22"/>
        </w:rPr>
        <w:t>CapsNet</w:t>
      </w:r>
      <w:proofErr w:type="spellEnd"/>
      <w:r w:rsidRPr="002266C4">
        <w:rPr>
          <w:rFonts w:ascii="Arial" w:eastAsia="宋体" w:hAnsi="Arial" w:cs="Arial"/>
          <w:color w:val="833C0B" w:themeColor="accent2" w:themeShade="80"/>
          <w:kern w:val="0"/>
          <w:sz w:val="22"/>
        </w:rPr>
        <w:t xml:space="preserve">-MHC_IE, and </w:t>
      </w:r>
      <w:proofErr w:type="spellStart"/>
      <w:r w:rsidRPr="002266C4">
        <w:rPr>
          <w:rFonts w:ascii="Arial" w:eastAsia="宋体" w:hAnsi="Arial" w:cs="Arial"/>
          <w:color w:val="833C0B" w:themeColor="accent2" w:themeShade="80"/>
          <w:kern w:val="0"/>
          <w:sz w:val="22"/>
        </w:rPr>
        <w:t>DeepAttentionPan</w:t>
      </w:r>
      <w:proofErr w:type="spellEnd"/>
      <w:r w:rsidRPr="002266C4">
        <w:rPr>
          <w:rFonts w:ascii="Arial" w:eastAsia="宋体" w:hAnsi="Arial" w:cs="Arial"/>
          <w:color w:val="833C0B" w:themeColor="accent2" w:themeShade="80"/>
          <w:kern w:val="0"/>
          <w:sz w:val="22"/>
        </w:rPr>
        <w:t>) using the highly imbalanced 1:99 testing dataset to simulate heavy workloads. These best-practice GPU results—detailing total execution time, maximum/average GPU utilization, and memory consumption—are now comprehensively reported in a newly added, dedicated table (</w:t>
      </w:r>
      <w:r w:rsidRPr="002266C4">
        <w:rPr>
          <w:rFonts w:ascii="Arial" w:eastAsia="宋体" w:hAnsi="Arial" w:cs="Arial"/>
          <w:b/>
          <w:bCs/>
          <w:color w:val="833C0B" w:themeColor="accent2" w:themeShade="80"/>
          <w:kern w:val="0"/>
          <w:sz w:val="22"/>
        </w:rPr>
        <w:t>Supplementary Table S13</w:t>
      </w:r>
      <w:r w:rsidRPr="002266C4">
        <w:rPr>
          <w:rFonts w:ascii="Arial" w:eastAsia="宋体" w:hAnsi="Arial" w:cs="Arial"/>
          <w:color w:val="833C0B" w:themeColor="accent2" w:themeShade="80"/>
          <w:kern w:val="0"/>
          <w:sz w:val="22"/>
        </w:rPr>
        <w:t>).</w:t>
      </w:r>
    </w:p>
    <w:p w14:paraId="73B50CC0" w14:textId="12BF29C6" w:rsidR="002266C4" w:rsidRPr="004E2389" w:rsidRDefault="002266C4"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2266C4">
        <w:rPr>
          <w:rFonts w:ascii="Arial" w:eastAsia="宋体" w:hAnsi="Arial" w:cs="Arial"/>
          <w:color w:val="833C0B" w:themeColor="accent2" w:themeShade="80"/>
          <w:kern w:val="0"/>
          <w:sz w:val="22"/>
        </w:rPr>
        <w:t xml:space="preserve">Regarding versioning and execution parameters, to ensure a strictly fair, 'out-of-the-box' comparison that reflects the typical user experience, all tools were executed utilizing their default batch sizes, caching mechanisms, and standard operational flags as recommended in their official documentation. The source repositories and URLs, where users can verify these default configurations and access the specific tool versions used, are cataloged in </w:t>
      </w:r>
      <w:r w:rsidRPr="002266C4">
        <w:rPr>
          <w:rFonts w:ascii="Arial" w:eastAsia="宋体" w:hAnsi="Arial" w:cs="Arial"/>
          <w:b/>
          <w:bCs/>
          <w:color w:val="833C0B" w:themeColor="accent2" w:themeShade="80"/>
          <w:kern w:val="0"/>
          <w:sz w:val="22"/>
        </w:rPr>
        <w:t>Supplementary Table S1</w:t>
      </w:r>
      <w:r w:rsidRPr="002266C4">
        <w:rPr>
          <w:rFonts w:ascii="Arial" w:eastAsia="宋体" w:hAnsi="Arial" w:cs="Arial"/>
          <w:color w:val="833C0B" w:themeColor="accent2" w:themeShade="80"/>
          <w:kern w:val="0"/>
          <w:sz w:val="22"/>
        </w:rPr>
        <w:t xml:space="preserve">. Furthermore, a qualitative, traffic-light assessment of hardware dependencies and installation friction for each tool has been provided in </w:t>
      </w:r>
      <w:r w:rsidRPr="002266C4">
        <w:rPr>
          <w:rFonts w:ascii="Arial" w:eastAsia="宋体" w:hAnsi="Arial" w:cs="Arial"/>
          <w:b/>
          <w:bCs/>
          <w:color w:val="833C0B" w:themeColor="accent2" w:themeShade="80"/>
          <w:kern w:val="0"/>
          <w:sz w:val="22"/>
        </w:rPr>
        <w:t>Supplementary Table S2</w:t>
      </w:r>
      <w:r w:rsidRPr="002266C4">
        <w:rPr>
          <w:rFonts w:ascii="Arial" w:eastAsia="宋体" w:hAnsi="Arial" w:cs="Arial"/>
          <w:color w:val="833C0B" w:themeColor="accent2" w:themeShade="80"/>
          <w:kern w:val="0"/>
          <w:sz w:val="22"/>
        </w:rPr>
        <w:t xml:space="preserve"> to further guide practical deployment.</w:t>
      </w:r>
    </w:p>
    <w:p w14:paraId="7E221444" w14:textId="77777777" w:rsidR="002266C4" w:rsidRPr="004E2389" w:rsidRDefault="002266C4"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bookmarkEnd w:id="1"/>
    <w:p w14:paraId="3D771874" w14:textId="0A951FD4" w:rsidR="00851C48" w:rsidRPr="004E2389" w:rsidRDefault="002266C4"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b/>
          <w:color w:val="2E74B5" w:themeColor="accent5" w:themeShade="BF"/>
          <w:kern w:val="0"/>
          <w:sz w:val="22"/>
        </w:rPr>
        <w:t xml:space="preserve">PREVIOUS </w:t>
      </w:r>
      <w:r w:rsidR="00C2406D" w:rsidRPr="004E2389">
        <w:rPr>
          <w:rFonts w:ascii="Arial" w:eastAsia="宋体" w:hAnsi="Arial" w:cs="Arial"/>
          <w:b/>
          <w:color w:val="2E74B5" w:themeColor="accent5" w:themeShade="BF"/>
          <w:kern w:val="0"/>
          <w:sz w:val="22"/>
        </w:rPr>
        <w:t>RESPONSE:</w:t>
      </w:r>
      <w:r w:rsidR="00C2406D" w:rsidRPr="004E2389">
        <w:rPr>
          <w:rFonts w:ascii="Arial" w:eastAsia="宋体" w:hAnsi="Arial" w:cs="Arial"/>
          <w:color w:val="2E74B5" w:themeColor="accent5" w:themeShade="BF"/>
          <w:kern w:val="0"/>
          <w:sz w:val="22"/>
        </w:rPr>
        <w:t xml:space="preserve"> </w:t>
      </w:r>
      <w:r w:rsidR="002172A9" w:rsidRPr="004E2389">
        <w:rPr>
          <w:rFonts w:ascii="Arial" w:eastAsia="宋体" w:hAnsi="Arial" w:cs="Arial"/>
          <w:color w:val="2E74B5" w:themeColor="accent5" w:themeShade="BF"/>
          <w:kern w:val="0"/>
          <w:sz w:val="22"/>
        </w:rPr>
        <w:t xml:space="preserve">We thank the reviewer for raising this important point regarding the comprehensiveness of our runtime benchmarks. To address this concern and provide a more comprehensive evaluation, we conducted additional experiments and expanded the methodological description in the revised manuscript. Detailed information on software </w:t>
      </w:r>
      <w:r w:rsidR="002172A9" w:rsidRPr="004E2389">
        <w:rPr>
          <w:rFonts w:ascii="Arial" w:eastAsia="宋体" w:hAnsi="Arial" w:cs="Arial"/>
          <w:color w:val="2E74B5" w:themeColor="accent5" w:themeShade="BF"/>
          <w:kern w:val="0"/>
          <w:sz w:val="22"/>
        </w:rPr>
        <w:lastRenderedPageBreak/>
        <w:t>versions, GPU availability, and related configurations has now been provided in Supplementary Table S1.</w:t>
      </w:r>
    </w:p>
    <w:p w14:paraId="0ADAE2CE" w14:textId="37CCC580" w:rsidR="00471524" w:rsidRPr="004E2389" w:rsidRDefault="00F07D72"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color w:val="2E74B5" w:themeColor="accent5" w:themeShade="BF"/>
          <w:kern w:val="0"/>
          <w:sz w:val="22"/>
        </w:rPr>
        <w:t xml:space="preserve">We conducted new GPU-accelerated benchmarks for the five tools that support GPU execution: </w:t>
      </w:r>
      <w:proofErr w:type="spellStart"/>
      <w:r w:rsidRPr="004E2389">
        <w:rPr>
          <w:rFonts w:ascii="Arial" w:eastAsia="宋体" w:hAnsi="Arial" w:cs="Arial"/>
          <w:color w:val="2E74B5" w:themeColor="accent5" w:themeShade="BF"/>
          <w:kern w:val="0"/>
          <w:sz w:val="22"/>
        </w:rPr>
        <w:t>STMHCpan</w:t>
      </w:r>
      <w:proofErr w:type="spellEnd"/>
      <w:r w:rsidRPr="004E2389">
        <w:rPr>
          <w:rFonts w:ascii="Arial" w:eastAsia="宋体" w:hAnsi="Arial" w:cs="Arial"/>
          <w:color w:val="2E74B5" w:themeColor="accent5" w:themeShade="BF"/>
          <w:kern w:val="0"/>
          <w:sz w:val="22"/>
        </w:rPr>
        <w:t xml:space="preserve">, </w:t>
      </w:r>
      <w:proofErr w:type="spellStart"/>
      <w:r w:rsidRPr="004E2389">
        <w:rPr>
          <w:rFonts w:ascii="Arial" w:eastAsia="宋体" w:hAnsi="Arial" w:cs="Arial"/>
          <w:color w:val="2E74B5" w:themeColor="accent5" w:themeShade="BF"/>
          <w:kern w:val="0"/>
          <w:sz w:val="22"/>
        </w:rPr>
        <w:t>BigMHC</w:t>
      </w:r>
      <w:proofErr w:type="spellEnd"/>
      <w:r w:rsidRPr="004E2389">
        <w:rPr>
          <w:rFonts w:ascii="Arial" w:eastAsia="宋体" w:hAnsi="Arial" w:cs="Arial"/>
          <w:color w:val="2E74B5" w:themeColor="accent5" w:themeShade="BF"/>
          <w:kern w:val="0"/>
          <w:sz w:val="22"/>
        </w:rPr>
        <w:t xml:space="preserve">, </w:t>
      </w:r>
      <w:proofErr w:type="spellStart"/>
      <w:r w:rsidRPr="004E2389">
        <w:rPr>
          <w:rFonts w:ascii="Arial" w:eastAsia="宋体" w:hAnsi="Arial" w:cs="Arial"/>
          <w:color w:val="2E74B5" w:themeColor="accent5" w:themeShade="BF"/>
          <w:kern w:val="0"/>
          <w:sz w:val="22"/>
        </w:rPr>
        <w:t>CapsNet</w:t>
      </w:r>
      <w:proofErr w:type="spellEnd"/>
      <w:r w:rsidRPr="004E2389">
        <w:rPr>
          <w:rFonts w:ascii="Arial" w:eastAsia="宋体" w:hAnsi="Arial" w:cs="Arial"/>
          <w:color w:val="2E74B5" w:themeColor="accent5" w:themeShade="BF"/>
          <w:kern w:val="0"/>
          <w:sz w:val="22"/>
        </w:rPr>
        <w:t xml:space="preserve">-MHC_AN, </w:t>
      </w:r>
      <w:proofErr w:type="spellStart"/>
      <w:r w:rsidRPr="004E2389">
        <w:rPr>
          <w:rFonts w:ascii="Arial" w:eastAsia="宋体" w:hAnsi="Arial" w:cs="Arial"/>
          <w:color w:val="2E74B5" w:themeColor="accent5" w:themeShade="BF"/>
          <w:kern w:val="0"/>
          <w:sz w:val="22"/>
        </w:rPr>
        <w:t>CapsNet</w:t>
      </w:r>
      <w:proofErr w:type="spellEnd"/>
      <w:r w:rsidRPr="004E2389">
        <w:rPr>
          <w:rFonts w:ascii="Arial" w:eastAsia="宋体" w:hAnsi="Arial" w:cs="Arial"/>
          <w:color w:val="2E74B5" w:themeColor="accent5" w:themeShade="BF"/>
          <w:kern w:val="0"/>
          <w:sz w:val="22"/>
        </w:rPr>
        <w:t xml:space="preserve">-MHC_IE, and </w:t>
      </w:r>
      <w:proofErr w:type="spellStart"/>
      <w:r w:rsidRPr="004E2389">
        <w:rPr>
          <w:rFonts w:ascii="Arial" w:eastAsia="宋体" w:hAnsi="Arial" w:cs="Arial"/>
          <w:color w:val="2E74B5" w:themeColor="accent5" w:themeShade="BF"/>
          <w:kern w:val="0"/>
          <w:sz w:val="22"/>
        </w:rPr>
        <w:t>DeepAttentionPan</w:t>
      </w:r>
      <w:proofErr w:type="spellEnd"/>
      <w:r w:rsidRPr="004E2389">
        <w:rPr>
          <w:rFonts w:ascii="Arial" w:eastAsia="宋体" w:hAnsi="Arial" w:cs="Arial"/>
          <w:color w:val="2E74B5" w:themeColor="accent5" w:themeShade="BF"/>
          <w:kern w:val="0"/>
          <w:sz w:val="22"/>
        </w:rPr>
        <w:t>. The results are summarized in the new Supplementary Table S7 (see below) and updated</w:t>
      </w:r>
      <w:r w:rsidR="00785ED8" w:rsidRPr="004E2389">
        <w:rPr>
          <w:rFonts w:ascii="Arial" w:eastAsia="宋体" w:hAnsi="Arial" w:cs="Arial"/>
          <w:color w:val="2E74B5" w:themeColor="accent5" w:themeShade="BF"/>
          <w:kern w:val="0"/>
          <w:sz w:val="22"/>
        </w:rPr>
        <w:t xml:space="preserve"> in</w:t>
      </w:r>
      <w:r w:rsidRPr="004E2389">
        <w:rPr>
          <w:rFonts w:ascii="Arial" w:eastAsia="宋体" w:hAnsi="Arial" w:cs="Arial"/>
          <w:color w:val="2E74B5" w:themeColor="accent5" w:themeShade="BF"/>
          <w:kern w:val="0"/>
          <w:sz w:val="22"/>
        </w:rPr>
        <w:t xml:space="preserve"> </w:t>
      </w:r>
      <w:r w:rsidR="00785ED8" w:rsidRPr="004E2389">
        <w:rPr>
          <w:rFonts w:ascii="Arial" w:eastAsia="宋体" w:hAnsi="Arial" w:cs="Arial"/>
          <w:color w:val="2E74B5" w:themeColor="accent5" w:themeShade="BF"/>
          <w:kern w:val="0"/>
          <w:sz w:val="22"/>
        </w:rPr>
        <w:t xml:space="preserve">Results and </w:t>
      </w:r>
      <w:r w:rsidRPr="004E2389">
        <w:rPr>
          <w:rFonts w:ascii="Arial" w:eastAsia="宋体" w:hAnsi="Arial" w:cs="Arial"/>
          <w:color w:val="2E74B5" w:themeColor="accent5" w:themeShade="BF"/>
          <w:kern w:val="0"/>
          <w:sz w:val="22"/>
        </w:rPr>
        <w:t>Methods section</w:t>
      </w:r>
      <w:r w:rsidR="008C3226" w:rsidRPr="004E2389">
        <w:rPr>
          <w:rFonts w:ascii="Arial" w:eastAsia="宋体" w:hAnsi="Arial" w:cs="Arial"/>
          <w:color w:val="2E74B5" w:themeColor="accent5" w:themeShade="BF"/>
          <w:kern w:val="0"/>
          <w:sz w:val="22"/>
        </w:rPr>
        <w:t xml:space="preserve"> (</w:t>
      </w:r>
      <w:r w:rsidR="008C3226" w:rsidRPr="004E2389">
        <w:rPr>
          <w:rFonts w:ascii="Arial" w:eastAsia="宋体" w:hAnsi="Arial" w:cs="Arial"/>
          <w:b/>
          <w:bCs/>
          <w:color w:val="2E74B5" w:themeColor="accent5" w:themeShade="BF"/>
          <w:kern w:val="0"/>
          <w:sz w:val="22"/>
        </w:rPr>
        <w:t>Lines</w:t>
      </w:r>
      <w:r w:rsidR="008C3226" w:rsidRPr="004E2389">
        <w:rPr>
          <w:rFonts w:ascii="Arial" w:eastAsia="宋体" w:hAnsi="Arial" w:cs="Arial"/>
          <w:color w:val="2E74B5" w:themeColor="accent5" w:themeShade="BF"/>
          <w:kern w:val="0"/>
          <w:sz w:val="22"/>
        </w:rPr>
        <w:t xml:space="preserve"> </w:t>
      </w:r>
      <w:r w:rsidR="008C3226" w:rsidRPr="004E2389">
        <w:rPr>
          <w:rFonts w:ascii="Arial" w:eastAsia="宋体" w:hAnsi="Arial" w:cs="Arial"/>
          <w:b/>
          <w:bCs/>
          <w:color w:val="2E74B5" w:themeColor="accent5" w:themeShade="BF"/>
          <w:kern w:val="0"/>
          <w:sz w:val="22"/>
        </w:rPr>
        <w:t>159–164 and Lines</w:t>
      </w:r>
      <w:r w:rsidR="008C3226" w:rsidRPr="004E2389">
        <w:rPr>
          <w:rFonts w:ascii="Arial" w:eastAsia="宋体" w:hAnsi="Arial" w:cs="Arial"/>
          <w:color w:val="2E74B5" w:themeColor="accent5" w:themeShade="BF"/>
          <w:kern w:val="0"/>
          <w:sz w:val="22"/>
        </w:rPr>
        <w:t xml:space="preserve"> </w:t>
      </w:r>
      <w:r w:rsidR="008C3226" w:rsidRPr="004E2389">
        <w:rPr>
          <w:rFonts w:ascii="Arial" w:eastAsia="宋体" w:hAnsi="Arial" w:cs="Arial"/>
          <w:b/>
          <w:bCs/>
          <w:color w:val="2E74B5" w:themeColor="accent5" w:themeShade="BF"/>
          <w:kern w:val="0"/>
          <w:sz w:val="22"/>
        </w:rPr>
        <w:t>466–472</w:t>
      </w:r>
      <w:r w:rsidR="008C3226" w:rsidRPr="004E2389">
        <w:rPr>
          <w:rFonts w:ascii="Arial" w:eastAsia="宋体" w:hAnsi="Arial" w:cs="Arial"/>
          <w:color w:val="2E74B5" w:themeColor="accent5" w:themeShade="BF"/>
          <w:kern w:val="0"/>
          <w:sz w:val="22"/>
        </w:rPr>
        <w:t>)</w:t>
      </w:r>
      <w:r w:rsidRPr="004E2389">
        <w:rPr>
          <w:rFonts w:ascii="Arial" w:eastAsia="宋体" w:hAnsi="Arial" w:cs="Arial"/>
          <w:color w:val="2E74B5" w:themeColor="accent5" w:themeShade="BF"/>
          <w:kern w:val="0"/>
          <w:sz w:val="22"/>
        </w:rPr>
        <w:t>.</w:t>
      </w:r>
    </w:p>
    <w:p w14:paraId="422DDB6C" w14:textId="77777777" w:rsidR="00471524" w:rsidRPr="004E2389" w:rsidRDefault="00471524"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p>
    <w:tbl>
      <w:tblPr>
        <w:tblW w:w="8931" w:type="dxa"/>
        <w:tblLook w:val="04A0" w:firstRow="1" w:lastRow="0" w:firstColumn="1" w:lastColumn="0" w:noHBand="0" w:noVBand="1"/>
      </w:tblPr>
      <w:tblGrid>
        <w:gridCol w:w="2127"/>
        <w:gridCol w:w="889"/>
        <w:gridCol w:w="1276"/>
        <w:gridCol w:w="1276"/>
        <w:gridCol w:w="1701"/>
        <w:gridCol w:w="1701"/>
      </w:tblGrid>
      <w:tr w:rsidR="002266C4" w:rsidRPr="004E2389" w14:paraId="08611572" w14:textId="77777777" w:rsidTr="004164E3">
        <w:trPr>
          <w:trHeight w:val="360"/>
        </w:trPr>
        <w:tc>
          <w:tcPr>
            <w:tcW w:w="2127" w:type="dxa"/>
            <w:tcBorders>
              <w:top w:val="single" w:sz="8" w:space="0" w:color="auto"/>
              <w:left w:val="nil"/>
              <w:bottom w:val="single" w:sz="8" w:space="0" w:color="auto"/>
              <w:right w:val="nil"/>
            </w:tcBorders>
            <w:noWrap/>
            <w:vAlign w:val="center"/>
            <w:hideMark/>
          </w:tcPr>
          <w:p w14:paraId="2CE622FC" w14:textId="77777777" w:rsidR="00471524" w:rsidRPr="004E2389" w:rsidRDefault="00471524" w:rsidP="001960AD">
            <w:pPr>
              <w:widowControl/>
              <w:jc w:val="center"/>
              <w:rPr>
                <w:rFonts w:ascii="Arial" w:eastAsia="等线" w:hAnsi="Arial" w:cs="Arial"/>
                <w:b/>
                <w:bCs/>
                <w:color w:val="2E74B5" w:themeColor="accent5" w:themeShade="BF"/>
                <w:kern w:val="0"/>
                <w:sz w:val="22"/>
              </w:rPr>
            </w:pPr>
            <w:r w:rsidRPr="004E2389">
              <w:rPr>
                <w:rFonts w:ascii="Arial" w:eastAsia="等线" w:hAnsi="Arial" w:cs="Arial"/>
                <w:b/>
                <w:bCs/>
                <w:color w:val="2E74B5" w:themeColor="accent5" w:themeShade="BF"/>
                <w:kern w:val="0"/>
                <w:sz w:val="22"/>
              </w:rPr>
              <w:t>Software</w:t>
            </w:r>
          </w:p>
        </w:tc>
        <w:tc>
          <w:tcPr>
            <w:tcW w:w="850" w:type="dxa"/>
            <w:tcBorders>
              <w:top w:val="single" w:sz="8" w:space="0" w:color="auto"/>
              <w:left w:val="nil"/>
              <w:bottom w:val="single" w:sz="8" w:space="0" w:color="auto"/>
              <w:right w:val="nil"/>
            </w:tcBorders>
            <w:noWrap/>
            <w:vAlign w:val="center"/>
            <w:hideMark/>
          </w:tcPr>
          <w:p w14:paraId="13D8F85D" w14:textId="4F60F635" w:rsidR="00471524" w:rsidRPr="004E2389" w:rsidRDefault="00471524" w:rsidP="001960AD">
            <w:pPr>
              <w:widowControl/>
              <w:jc w:val="center"/>
              <w:rPr>
                <w:rFonts w:ascii="Arial" w:eastAsia="等线" w:hAnsi="Arial" w:cs="Arial"/>
                <w:b/>
                <w:bCs/>
                <w:color w:val="2E74B5" w:themeColor="accent5" w:themeShade="BF"/>
                <w:kern w:val="0"/>
                <w:sz w:val="22"/>
              </w:rPr>
            </w:pPr>
            <w:r w:rsidRPr="004E2389">
              <w:rPr>
                <w:rFonts w:ascii="Arial" w:eastAsia="等线" w:hAnsi="Arial" w:cs="Arial"/>
                <w:b/>
                <w:bCs/>
                <w:color w:val="2E74B5" w:themeColor="accent5" w:themeShade="BF"/>
                <w:kern w:val="0"/>
                <w:sz w:val="22"/>
              </w:rPr>
              <w:t>Time (min)</w:t>
            </w:r>
          </w:p>
        </w:tc>
        <w:tc>
          <w:tcPr>
            <w:tcW w:w="1276" w:type="dxa"/>
            <w:tcBorders>
              <w:top w:val="single" w:sz="8" w:space="0" w:color="auto"/>
              <w:left w:val="nil"/>
              <w:bottom w:val="single" w:sz="8" w:space="0" w:color="auto"/>
              <w:right w:val="nil"/>
            </w:tcBorders>
            <w:noWrap/>
            <w:vAlign w:val="center"/>
            <w:hideMark/>
          </w:tcPr>
          <w:p w14:paraId="05BCC0F6" w14:textId="77777777" w:rsidR="00471524" w:rsidRPr="004E2389" w:rsidRDefault="00471524" w:rsidP="001960AD">
            <w:pPr>
              <w:widowControl/>
              <w:jc w:val="center"/>
              <w:rPr>
                <w:rFonts w:ascii="Arial" w:eastAsia="等线" w:hAnsi="Arial" w:cs="Arial"/>
                <w:b/>
                <w:bCs/>
                <w:color w:val="2E74B5" w:themeColor="accent5" w:themeShade="BF"/>
                <w:kern w:val="0"/>
                <w:sz w:val="22"/>
              </w:rPr>
            </w:pPr>
            <w:r w:rsidRPr="004E2389">
              <w:rPr>
                <w:rFonts w:ascii="Arial" w:eastAsia="等线" w:hAnsi="Arial" w:cs="Arial"/>
                <w:b/>
                <w:bCs/>
                <w:color w:val="2E74B5" w:themeColor="accent5" w:themeShade="BF"/>
                <w:kern w:val="0"/>
                <w:sz w:val="22"/>
              </w:rPr>
              <w:t>Max GPU Util (%)</w:t>
            </w:r>
          </w:p>
        </w:tc>
        <w:tc>
          <w:tcPr>
            <w:tcW w:w="1276" w:type="dxa"/>
            <w:tcBorders>
              <w:top w:val="single" w:sz="8" w:space="0" w:color="auto"/>
              <w:left w:val="nil"/>
              <w:bottom w:val="single" w:sz="8" w:space="0" w:color="auto"/>
              <w:right w:val="nil"/>
            </w:tcBorders>
            <w:noWrap/>
            <w:vAlign w:val="center"/>
            <w:hideMark/>
          </w:tcPr>
          <w:p w14:paraId="3543412F" w14:textId="77777777" w:rsidR="00471524" w:rsidRPr="004E2389" w:rsidRDefault="00471524" w:rsidP="001960AD">
            <w:pPr>
              <w:widowControl/>
              <w:jc w:val="center"/>
              <w:rPr>
                <w:rFonts w:ascii="Arial" w:eastAsia="等线" w:hAnsi="Arial" w:cs="Arial"/>
                <w:b/>
                <w:bCs/>
                <w:color w:val="2E74B5" w:themeColor="accent5" w:themeShade="BF"/>
                <w:kern w:val="0"/>
                <w:sz w:val="22"/>
              </w:rPr>
            </w:pPr>
            <w:r w:rsidRPr="004E2389">
              <w:rPr>
                <w:rFonts w:ascii="Arial" w:eastAsia="等线" w:hAnsi="Arial" w:cs="Arial"/>
                <w:b/>
                <w:bCs/>
                <w:color w:val="2E74B5" w:themeColor="accent5" w:themeShade="BF"/>
                <w:kern w:val="0"/>
                <w:sz w:val="22"/>
              </w:rPr>
              <w:t>Avg GPU Util (%)</w:t>
            </w:r>
          </w:p>
        </w:tc>
        <w:tc>
          <w:tcPr>
            <w:tcW w:w="1701" w:type="dxa"/>
            <w:tcBorders>
              <w:top w:val="single" w:sz="8" w:space="0" w:color="auto"/>
              <w:left w:val="nil"/>
              <w:bottom w:val="single" w:sz="8" w:space="0" w:color="auto"/>
              <w:right w:val="nil"/>
            </w:tcBorders>
            <w:noWrap/>
            <w:vAlign w:val="center"/>
            <w:hideMark/>
          </w:tcPr>
          <w:p w14:paraId="70287B2B" w14:textId="77777777" w:rsidR="00471524" w:rsidRPr="004E2389" w:rsidRDefault="00471524" w:rsidP="001960AD">
            <w:pPr>
              <w:widowControl/>
              <w:jc w:val="center"/>
              <w:rPr>
                <w:rFonts w:ascii="Arial" w:eastAsia="等线" w:hAnsi="Arial" w:cs="Arial"/>
                <w:b/>
                <w:bCs/>
                <w:color w:val="2E74B5" w:themeColor="accent5" w:themeShade="BF"/>
                <w:kern w:val="0"/>
                <w:sz w:val="22"/>
              </w:rPr>
            </w:pPr>
            <w:r w:rsidRPr="004E2389">
              <w:rPr>
                <w:rFonts w:ascii="Arial" w:eastAsia="等线" w:hAnsi="Arial" w:cs="Arial"/>
                <w:b/>
                <w:bCs/>
                <w:color w:val="2E74B5" w:themeColor="accent5" w:themeShade="BF"/>
                <w:kern w:val="0"/>
                <w:sz w:val="22"/>
              </w:rPr>
              <w:t>Max GPU Memory (GB)</w:t>
            </w:r>
          </w:p>
        </w:tc>
        <w:tc>
          <w:tcPr>
            <w:tcW w:w="1701" w:type="dxa"/>
            <w:tcBorders>
              <w:top w:val="single" w:sz="8" w:space="0" w:color="auto"/>
              <w:left w:val="nil"/>
              <w:bottom w:val="single" w:sz="8" w:space="0" w:color="auto"/>
              <w:right w:val="nil"/>
            </w:tcBorders>
            <w:noWrap/>
            <w:vAlign w:val="center"/>
            <w:hideMark/>
          </w:tcPr>
          <w:p w14:paraId="5C0A0B51" w14:textId="77777777" w:rsidR="00471524" w:rsidRPr="004E2389" w:rsidRDefault="00471524" w:rsidP="001960AD">
            <w:pPr>
              <w:widowControl/>
              <w:jc w:val="center"/>
              <w:rPr>
                <w:rFonts w:ascii="Arial" w:eastAsia="等线" w:hAnsi="Arial" w:cs="Arial"/>
                <w:b/>
                <w:bCs/>
                <w:color w:val="2E74B5" w:themeColor="accent5" w:themeShade="BF"/>
                <w:kern w:val="0"/>
                <w:sz w:val="22"/>
              </w:rPr>
            </w:pPr>
            <w:r w:rsidRPr="004E2389">
              <w:rPr>
                <w:rFonts w:ascii="Arial" w:eastAsia="等线" w:hAnsi="Arial" w:cs="Arial"/>
                <w:b/>
                <w:bCs/>
                <w:color w:val="2E74B5" w:themeColor="accent5" w:themeShade="BF"/>
                <w:kern w:val="0"/>
                <w:sz w:val="22"/>
              </w:rPr>
              <w:t>Avg GPU Memory (GB)</w:t>
            </w:r>
          </w:p>
        </w:tc>
      </w:tr>
      <w:tr w:rsidR="002266C4" w:rsidRPr="004E2389" w14:paraId="0250D127" w14:textId="77777777" w:rsidTr="004164E3">
        <w:trPr>
          <w:trHeight w:val="360"/>
        </w:trPr>
        <w:tc>
          <w:tcPr>
            <w:tcW w:w="2127" w:type="dxa"/>
            <w:tcBorders>
              <w:top w:val="nil"/>
              <w:left w:val="nil"/>
              <w:bottom w:val="nil"/>
              <w:right w:val="nil"/>
            </w:tcBorders>
            <w:noWrap/>
            <w:vAlign w:val="center"/>
            <w:hideMark/>
          </w:tcPr>
          <w:p w14:paraId="0F8062ED" w14:textId="77777777" w:rsidR="00471524" w:rsidRPr="004E2389" w:rsidRDefault="00471524" w:rsidP="001960AD">
            <w:pPr>
              <w:widowControl/>
              <w:jc w:val="center"/>
              <w:rPr>
                <w:rFonts w:ascii="Arial" w:eastAsia="等线" w:hAnsi="Arial" w:cs="Arial"/>
                <w:color w:val="2E74B5" w:themeColor="accent5" w:themeShade="BF"/>
                <w:kern w:val="0"/>
                <w:sz w:val="22"/>
              </w:rPr>
            </w:pPr>
            <w:proofErr w:type="spellStart"/>
            <w:r w:rsidRPr="004E2389">
              <w:rPr>
                <w:rFonts w:ascii="Arial" w:eastAsia="等线" w:hAnsi="Arial" w:cs="Arial"/>
                <w:color w:val="2E74B5" w:themeColor="accent5" w:themeShade="BF"/>
                <w:kern w:val="0"/>
                <w:sz w:val="22"/>
              </w:rPr>
              <w:t>STMHCpan</w:t>
            </w:r>
            <w:proofErr w:type="spellEnd"/>
          </w:p>
        </w:tc>
        <w:tc>
          <w:tcPr>
            <w:tcW w:w="850" w:type="dxa"/>
            <w:tcBorders>
              <w:top w:val="nil"/>
              <w:left w:val="nil"/>
              <w:bottom w:val="nil"/>
              <w:right w:val="nil"/>
            </w:tcBorders>
            <w:noWrap/>
            <w:vAlign w:val="center"/>
            <w:hideMark/>
          </w:tcPr>
          <w:p w14:paraId="4B5FCD87"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108.98</w:t>
            </w:r>
          </w:p>
        </w:tc>
        <w:tc>
          <w:tcPr>
            <w:tcW w:w="1276" w:type="dxa"/>
            <w:tcBorders>
              <w:top w:val="nil"/>
              <w:left w:val="nil"/>
              <w:bottom w:val="nil"/>
              <w:right w:val="nil"/>
            </w:tcBorders>
            <w:noWrap/>
            <w:vAlign w:val="center"/>
            <w:hideMark/>
          </w:tcPr>
          <w:p w14:paraId="355C8D0F"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44.5</w:t>
            </w:r>
          </w:p>
        </w:tc>
        <w:tc>
          <w:tcPr>
            <w:tcW w:w="1276" w:type="dxa"/>
            <w:tcBorders>
              <w:top w:val="nil"/>
              <w:left w:val="nil"/>
              <w:bottom w:val="nil"/>
              <w:right w:val="nil"/>
            </w:tcBorders>
            <w:noWrap/>
            <w:vAlign w:val="center"/>
            <w:hideMark/>
          </w:tcPr>
          <w:p w14:paraId="3A9C4A32"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18.7</w:t>
            </w:r>
          </w:p>
        </w:tc>
        <w:tc>
          <w:tcPr>
            <w:tcW w:w="1701" w:type="dxa"/>
            <w:tcBorders>
              <w:top w:val="nil"/>
              <w:left w:val="nil"/>
              <w:bottom w:val="nil"/>
              <w:right w:val="nil"/>
            </w:tcBorders>
            <w:noWrap/>
            <w:vAlign w:val="center"/>
            <w:hideMark/>
          </w:tcPr>
          <w:p w14:paraId="18D74086"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2.62</w:t>
            </w:r>
          </w:p>
        </w:tc>
        <w:tc>
          <w:tcPr>
            <w:tcW w:w="1701" w:type="dxa"/>
            <w:tcBorders>
              <w:top w:val="nil"/>
              <w:left w:val="nil"/>
              <w:bottom w:val="nil"/>
              <w:right w:val="nil"/>
            </w:tcBorders>
            <w:noWrap/>
            <w:vAlign w:val="center"/>
            <w:hideMark/>
          </w:tcPr>
          <w:p w14:paraId="14D31EC9"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2.2</w:t>
            </w:r>
          </w:p>
        </w:tc>
      </w:tr>
      <w:tr w:rsidR="002266C4" w:rsidRPr="004E2389" w14:paraId="7AA6DA2C" w14:textId="77777777" w:rsidTr="004164E3">
        <w:trPr>
          <w:trHeight w:val="360"/>
        </w:trPr>
        <w:tc>
          <w:tcPr>
            <w:tcW w:w="2127" w:type="dxa"/>
            <w:tcBorders>
              <w:top w:val="nil"/>
              <w:left w:val="nil"/>
              <w:bottom w:val="nil"/>
              <w:right w:val="nil"/>
            </w:tcBorders>
            <w:noWrap/>
            <w:vAlign w:val="center"/>
            <w:hideMark/>
          </w:tcPr>
          <w:p w14:paraId="71746742" w14:textId="0C5EFEB8" w:rsidR="00471524" w:rsidRPr="004E2389" w:rsidRDefault="00471524" w:rsidP="001960AD">
            <w:pPr>
              <w:widowControl/>
              <w:jc w:val="center"/>
              <w:rPr>
                <w:rFonts w:ascii="Arial" w:eastAsia="等线" w:hAnsi="Arial" w:cs="Arial"/>
                <w:color w:val="2E74B5" w:themeColor="accent5" w:themeShade="BF"/>
                <w:kern w:val="0"/>
                <w:sz w:val="22"/>
              </w:rPr>
            </w:pPr>
            <w:proofErr w:type="spellStart"/>
            <w:r w:rsidRPr="004E2389">
              <w:rPr>
                <w:rFonts w:ascii="Arial" w:eastAsia="等线" w:hAnsi="Arial" w:cs="Arial"/>
                <w:color w:val="2E74B5" w:themeColor="accent5" w:themeShade="BF"/>
                <w:kern w:val="0"/>
                <w:sz w:val="22"/>
              </w:rPr>
              <w:t>BigMHC</w:t>
            </w:r>
            <w:proofErr w:type="spellEnd"/>
          </w:p>
        </w:tc>
        <w:tc>
          <w:tcPr>
            <w:tcW w:w="850" w:type="dxa"/>
            <w:tcBorders>
              <w:top w:val="nil"/>
              <w:left w:val="nil"/>
              <w:bottom w:val="nil"/>
              <w:right w:val="nil"/>
            </w:tcBorders>
            <w:noWrap/>
            <w:vAlign w:val="center"/>
            <w:hideMark/>
          </w:tcPr>
          <w:p w14:paraId="19AA419F"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226.12</w:t>
            </w:r>
          </w:p>
        </w:tc>
        <w:tc>
          <w:tcPr>
            <w:tcW w:w="1276" w:type="dxa"/>
            <w:tcBorders>
              <w:top w:val="nil"/>
              <w:left w:val="nil"/>
              <w:bottom w:val="nil"/>
              <w:right w:val="nil"/>
            </w:tcBorders>
            <w:noWrap/>
            <w:vAlign w:val="center"/>
            <w:hideMark/>
          </w:tcPr>
          <w:p w14:paraId="33A437DF"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50</w:t>
            </w:r>
          </w:p>
        </w:tc>
        <w:tc>
          <w:tcPr>
            <w:tcW w:w="1276" w:type="dxa"/>
            <w:tcBorders>
              <w:top w:val="nil"/>
              <w:left w:val="nil"/>
              <w:bottom w:val="nil"/>
              <w:right w:val="nil"/>
            </w:tcBorders>
            <w:noWrap/>
            <w:vAlign w:val="center"/>
            <w:hideMark/>
          </w:tcPr>
          <w:p w14:paraId="3E0027F3"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4.2</w:t>
            </w:r>
          </w:p>
        </w:tc>
        <w:tc>
          <w:tcPr>
            <w:tcW w:w="1701" w:type="dxa"/>
            <w:tcBorders>
              <w:top w:val="nil"/>
              <w:left w:val="nil"/>
              <w:bottom w:val="nil"/>
              <w:right w:val="nil"/>
            </w:tcBorders>
            <w:noWrap/>
            <w:vAlign w:val="center"/>
            <w:hideMark/>
          </w:tcPr>
          <w:p w14:paraId="27096920"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25.91</w:t>
            </w:r>
          </w:p>
        </w:tc>
        <w:tc>
          <w:tcPr>
            <w:tcW w:w="1701" w:type="dxa"/>
            <w:tcBorders>
              <w:top w:val="nil"/>
              <w:left w:val="nil"/>
              <w:bottom w:val="nil"/>
              <w:right w:val="nil"/>
            </w:tcBorders>
            <w:noWrap/>
            <w:vAlign w:val="center"/>
            <w:hideMark/>
          </w:tcPr>
          <w:p w14:paraId="2F12ADEB"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5.25</w:t>
            </w:r>
          </w:p>
        </w:tc>
      </w:tr>
      <w:tr w:rsidR="002266C4" w:rsidRPr="004E2389" w14:paraId="660111C0" w14:textId="77777777" w:rsidTr="004164E3">
        <w:trPr>
          <w:trHeight w:val="360"/>
        </w:trPr>
        <w:tc>
          <w:tcPr>
            <w:tcW w:w="2127" w:type="dxa"/>
            <w:tcBorders>
              <w:top w:val="nil"/>
              <w:left w:val="nil"/>
              <w:bottom w:val="nil"/>
              <w:right w:val="nil"/>
            </w:tcBorders>
            <w:noWrap/>
            <w:vAlign w:val="center"/>
            <w:hideMark/>
          </w:tcPr>
          <w:p w14:paraId="6E0CC6F6" w14:textId="77777777" w:rsidR="00471524" w:rsidRPr="004E2389" w:rsidRDefault="00471524" w:rsidP="001960AD">
            <w:pPr>
              <w:widowControl/>
              <w:jc w:val="center"/>
              <w:rPr>
                <w:rFonts w:ascii="Arial" w:eastAsia="等线" w:hAnsi="Arial" w:cs="Arial"/>
                <w:color w:val="2E74B5" w:themeColor="accent5" w:themeShade="BF"/>
                <w:kern w:val="0"/>
                <w:sz w:val="22"/>
              </w:rPr>
            </w:pPr>
            <w:proofErr w:type="spellStart"/>
            <w:r w:rsidRPr="004E2389">
              <w:rPr>
                <w:rFonts w:ascii="Arial" w:eastAsia="等线" w:hAnsi="Arial" w:cs="Arial"/>
                <w:color w:val="2E74B5" w:themeColor="accent5" w:themeShade="BF"/>
                <w:kern w:val="0"/>
                <w:sz w:val="22"/>
              </w:rPr>
              <w:t>CapsNet</w:t>
            </w:r>
            <w:proofErr w:type="spellEnd"/>
            <w:r w:rsidRPr="004E2389">
              <w:rPr>
                <w:rFonts w:ascii="Arial" w:eastAsia="等线" w:hAnsi="Arial" w:cs="Arial"/>
                <w:color w:val="2E74B5" w:themeColor="accent5" w:themeShade="BF"/>
                <w:kern w:val="0"/>
                <w:sz w:val="22"/>
              </w:rPr>
              <w:t>-MHC_AN</w:t>
            </w:r>
          </w:p>
        </w:tc>
        <w:tc>
          <w:tcPr>
            <w:tcW w:w="850" w:type="dxa"/>
            <w:tcBorders>
              <w:top w:val="nil"/>
              <w:left w:val="nil"/>
              <w:bottom w:val="nil"/>
              <w:right w:val="nil"/>
            </w:tcBorders>
            <w:noWrap/>
            <w:vAlign w:val="center"/>
            <w:hideMark/>
          </w:tcPr>
          <w:p w14:paraId="7B39CAAB"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84.53</w:t>
            </w:r>
          </w:p>
        </w:tc>
        <w:tc>
          <w:tcPr>
            <w:tcW w:w="1276" w:type="dxa"/>
            <w:tcBorders>
              <w:top w:val="nil"/>
              <w:left w:val="nil"/>
              <w:bottom w:val="nil"/>
              <w:right w:val="nil"/>
            </w:tcBorders>
            <w:noWrap/>
            <w:vAlign w:val="center"/>
            <w:hideMark/>
          </w:tcPr>
          <w:p w14:paraId="7320F356"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13</w:t>
            </w:r>
          </w:p>
        </w:tc>
        <w:tc>
          <w:tcPr>
            <w:tcW w:w="1276" w:type="dxa"/>
            <w:tcBorders>
              <w:top w:val="nil"/>
              <w:left w:val="nil"/>
              <w:bottom w:val="nil"/>
              <w:right w:val="nil"/>
            </w:tcBorders>
            <w:noWrap/>
            <w:vAlign w:val="center"/>
            <w:hideMark/>
          </w:tcPr>
          <w:p w14:paraId="522415C3"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4.1</w:t>
            </w:r>
          </w:p>
        </w:tc>
        <w:tc>
          <w:tcPr>
            <w:tcW w:w="1701" w:type="dxa"/>
            <w:tcBorders>
              <w:top w:val="nil"/>
              <w:left w:val="nil"/>
              <w:bottom w:val="nil"/>
              <w:right w:val="nil"/>
            </w:tcBorders>
            <w:noWrap/>
            <w:vAlign w:val="center"/>
            <w:hideMark/>
          </w:tcPr>
          <w:p w14:paraId="4D63CCDB"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2.6</w:t>
            </w:r>
          </w:p>
        </w:tc>
        <w:tc>
          <w:tcPr>
            <w:tcW w:w="1701" w:type="dxa"/>
            <w:tcBorders>
              <w:top w:val="nil"/>
              <w:left w:val="nil"/>
              <w:bottom w:val="nil"/>
              <w:right w:val="nil"/>
            </w:tcBorders>
            <w:noWrap/>
            <w:vAlign w:val="center"/>
            <w:hideMark/>
          </w:tcPr>
          <w:p w14:paraId="08B6C06F"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2.34</w:t>
            </w:r>
          </w:p>
        </w:tc>
      </w:tr>
      <w:tr w:rsidR="002266C4" w:rsidRPr="004E2389" w14:paraId="73F2C05F" w14:textId="77777777" w:rsidTr="004164E3">
        <w:trPr>
          <w:trHeight w:val="360"/>
        </w:trPr>
        <w:tc>
          <w:tcPr>
            <w:tcW w:w="2127" w:type="dxa"/>
            <w:tcBorders>
              <w:top w:val="nil"/>
              <w:left w:val="nil"/>
              <w:right w:val="nil"/>
            </w:tcBorders>
            <w:noWrap/>
            <w:vAlign w:val="center"/>
            <w:hideMark/>
          </w:tcPr>
          <w:p w14:paraId="5212F221" w14:textId="77777777" w:rsidR="00471524" w:rsidRPr="004E2389" w:rsidRDefault="00471524" w:rsidP="001960AD">
            <w:pPr>
              <w:widowControl/>
              <w:jc w:val="center"/>
              <w:rPr>
                <w:rFonts w:ascii="Arial" w:eastAsia="等线" w:hAnsi="Arial" w:cs="Arial"/>
                <w:color w:val="2E74B5" w:themeColor="accent5" w:themeShade="BF"/>
                <w:kern w:val="0"/>
                <w:sz w:val="22"/>
              </w:rPr>
            </w:pPr>
            <w:proofErr w:type="spellStart"/>
            <w:r w:rsidRPr="004E2389">
              <w:rPr>
                <w:rFonts w:ascii="Arial" w:eastAsia="等线" w:hAnsi="Arial" w:cs="Arial"/>
                <w:color w:val="2E74B5" w:themeColor="accent5" w:themeShade="BF"/>
                <w:kern w:val="0"/>
                <w:sz w:val="22"/>
              </w:rPr>
              <w:t>CapsNet</w:t>
            </w:r>
            <w:proofErr w:type="spellEnd"/>
            <w:r w:rsidRPr="004E2389">
              <w:rPr>
                <w:rFonts w:ascii="Arial" w:eastAsia="等线" w:hAnsi="Arial" w:cs="Arial"/>
                <w:color w:val="2E74B5" w:themeColor="accent5" w:themeShade="BF"/>
                <w:kern w:val="0"/>
                <w:sz w:val="22"/>
              </w:rPr>
              <w:t>-MHC_IE</w:t>
            </w:r>
          </w:p>
        </w:tc>
        <w:tc>
          <w:tcPr>
            <w:tcW w:w="850" w:type="dxa"/>
            <w:tcBorders>
              <w:top w:val="nil"/>
              <w:left w:val="nil"/>
              <w:right w:val="nil"/>
            </w:tcBorders>
            <w:noWrap/>
            <w:vAlign w:val="center"/>
            <w:hideMark/>
          </w:tcPr>
          <w:p w14:paraId="3BDFADBC"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180.27</w:t>
            </w:r>
          </w:p>
        </w:tc>
        <w:tc>
          <w:tcPr>
            <w:tcW w:w="1276" w:type="dxa"/>
            <w:tcBorders>
              <w:top w:val="nil"/>
              <w:left w:val="nil"/>
              <w:right w:val="nil"/>
            </w:tcBorders>
            <w:noWrap/>
            <w:vAlign w:val="center"/>
            <w:hideMark/>
          </w:tcPr>
          <w:p w14:paraId="0F18E5A8"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13.5</w:t>
            </w:r>
          </w:p>
        </w:tc>
        <w:tc>
          <w:tcPr>
            <w:tcW w:w="1276" w:type="dxa"/>
            <w:tcBorders>
              <w:top w:val="nil"/>
              <w:left w:val="nil"/>
              <w:right w:val="nil"/>
            </w:tcBorders>
            <w:noWrap/>
            <w:vAlign w:val="center"/>
            <w:hideMark/>
          </w:tcPr>
          <w:p w14:paraId="492F2823"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8.4</w:t>
            </w:r>
          </w:p>
        </w:tc>
        <w:tc>
          <w:tcPr>
            <w:tcW w:w="1701" w:type="dxa"/>
            <w:tcBorders>
              <w:top w:val="nil"/>
              <w:left w:val="nil"/>
              <w:right w:val="nil"/>
            </w:tcBorders>
            <w:noWrap/>
            <w:vAlign w:val="center"/>
            <w:hideMark/>
          </w:tcPr>
          <w:p w14:paraId="312392D8"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2.17</w:t>
            </w:r>
          </w:p>
        </w:tc>
        <w:tc>
          <w:tcPr>
            <w:tcW w:w="1701" w:type="dxa"/>
            <w:tcBorders>
              <w:top w:val="nil"/>
              <w:left w:val="nil"/>
              <w:right w:val="nil"/>
            </w:tcBorders>
            <w:noWrap/>
            <w:vAlign w:val="center"/>
            <w:hideMark/>
          </w:tcPr>
          <w:p w14:paraId="3CC530ED"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2.04</w:t>
            </w:r>
          </w:p>
        </w:tc>
      </w:tr>
      <w:tr w:rsidR="004E2389" w:rsidRPr="004E2389" w14:paraId="57026BAE" w14:textId="77777777" w:rsidTr="004164E3">
        <w:trPr>
          <w:trHeight w:val="360"/>
        </w:trPr>
        <w:tc>
          <w:tcPr>
            <w:tcW w:w="2127" w:type="dxa"/>
            <w:tcBorders>
              <w:top w:val="nil"/>
              <w:left w:val="nil"/>
              <w:bottom w:val="single" w:sz="4" w:space="0" w:color="auto"/>
              <w:right w:val="nil"/>
            </w:tcBorders>
            <w:noWrap/>
            <w:vAlign w:val="center"/>
            <w:hideMark/>
          </w:tcPr>
          <w:p w14:paraId="42CAF944" w14:textId="77777777" w:rsidR="00471524" w:rsidRPr="004E2389" w:rsidRDefault="00471524" w:rsidP="001960AD">
            <w:pPr>
              <w:widowControl/>
              <w:jc w:val="center"/>
              <w:rPr>
                <w:rFonts w:ascii="Arial" w:eastAsia="等线" w:hAnsi="Arial" w:cs="Arial"/>
                <w:color w:val="2E74B5" w:themeColor="accent5" w:themeShade="BF"/>
                <w:kern w:val="0"/>
                <w:sz w:val="22"/>
              </w:rPr>
            </w:pPr>
            <w:proofErr w:type="spellStart"/>
            <w:r w:rsidRPr="004E2389">
              <w:rPr>
                <w:rFonts w:ascii="Arial" w:eastAsia="等线" w:hAnsi="Arial" w:cs="Arial"/>
                <w:color w:val="2E74B5" w:themeColor="accent5" w:themeShade="BF"/>
                <w:kern w:val="0"/>
                <w:sz w:val="22"/>
              </w:rPr>
              <w:t>DeepAttentionPan</w:t>
            </w:r>
            <w:proofErr w:type="spellEnd"/>
          </w:p>
        </w:tc>
        <w:tc>
          <w:tcPr>
            <w:tcW w:w="850" w:type="dxa"/>
            <w:tcBorders>
              <w:top w:val="nil"/>
              <w:left w:val="nil"/>
              <w:bottom w:val="single" w:sz="4" w:space="0" w:color="auto"/>
              <w:right w:val="nil"/>
            </w:tcBorders>
            <w:noWrap/>
            <w:vAlign w:val="center"/>
            <w:hideMark/>
          </w:tcPr>
          <w:p w14:paraId="7FC9902C"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403.34</w:t>
            </w:r>
          </w:p>
        </w:tc>
        <w:tc>
          <w:tcPr>
            <w:tcW w:w="1276" w:type="dxa"/>
            <w:tcBorders>
              <w:top w:val="nil"/>
              <w:left w:val="nil"/>
              <w:bottom w:val="single" w:sz="4" w:space="0" w:color="auto"/>
              <w:right w:val="nil"/>
            </w:tcBorders>
            <w:noWrap/>
            <w:vAlign w:val="center"/>
            <w:hideMark/>
          </w:tcPr>
          <w:p w14:paraId="72ACEC74"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11.5</w:t>
            </w:r>
          </w:p>
        </w:tc>
        <w:tc>
          <w:tcPr>
            <w:tcW w:w="1276" w:type="dxa"/>
            <w:tcBorders>
              <w:top w:val="nil"/>
              <w:left w:val="nil"/>
              <w:bottom w:val="single" w:sz="4" w:space="0" w:color="auto"/>
              <w:right w:val="nil"/>
            </w:tcBorders>
            <w:noWrap/>
            <w:vAlign w:val="center"/>
            <w:hideMark/>
          </w:tcPr>
          <w:p w14:paraId="6EF823BC"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9.1</w:t>
            </w:r>
          </w:p>
        </w:tc>
        <w:tc>
          <w:tcPr>
            <w:tcW w:w="1701" w:type="dxa"/>
            <w:tcBorders>
              <w:top w:val="nil"/>
              <w:left w:val="nil"/>
              <w:bottom w:val="single" w:sz="4" w:space="0" w:color="auto"/>
              <w:right w:val="nil"/>
            </w:tcBorders>
            <w:noWrap/>
            <w:vAlign w:val="center"/>
            <w:hideMark/>
          </w:tcPr>
          <w:p w14:paraId="407FDE68"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2.11</w:t>
            </w:r>
          </w:p>
        </w:tc>
        <w:tc>
          <w:tcPr>
            <w:tcW w:w="1701" w:type="dxa"/>
            <w:tcBorders>
              <w:top w:val="nil"/>
              <w:left w:val="nil"/>
              <w:bottom w:val="single" w:sz="4" w:space="0" w:color="auto"/>
              <w:right w:val="nil"/>
            </w:tcBorders>
            <w:noWrap/>
            <w:vAlign w:val="center"/>
            <w:hideMark/>
          </w:tcPr>
          <w:p w14:paraId="0484000B" w14:textId="77777777" w:rsidR="00471524" w:rsidRPr="004E2389" w:rsidRDefault="00471524" w:rsidP="001960AD">
            <w:pPr>
              <w:widowControl/>
              <w:jc w:val="center"/>
              <w:rPr>
                <w:rFonts w:ascii="Arial" w:eastAsia="等线" w:hAnsi="Arial" w:cs="Arial"/>
                <w:color w:val="2E74B5" w:themeColor="accent5" w:themeShade="BF"/>
                <w:kern w:val="0"/>
                <w:sz w:val="22"/>
              </w:rPr>
            </w:pPr>
            <w:r w:rsidRPr="004E2389">
              <w:rPr>
                <w:rFonts w:ascii="Arial" w:eastAsia="等线" w:hAnsi="Arial" w:cs="Arial"/>
                <w:color w:val="2E74B5" w:themeColor="accent5" w:themeShade="BF"/>
                <w:kern w:val="0"/>
                <w:sz w:val="22"/>
              </w:rPr>
              <w:t>2.03</w:t>
            </w:r>
          </w:p>
        </w:tc>
      </w:tr>
    </w:tbl>
    <w:p w14:paraId="334C444B" w14:textId="77777777" w:rsidR="00F07D72" w:rsidRPr="004E2389" w:rsidRDefault="00F07D72"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p>
    <w:p w14:paraId="60BC2BDC" w14:textId="77777777" w:rsidR="007661FF" w:rsidRPr="004E2389" w:rsidRDefault="007661FF">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5F8B8D9C" w14:textId="2353CBBF"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lastRenderedPageBreak/>
        <w:t>6) Scope of sequence-only focus</w:t>
      </w:r>
      <w:r w:rsidRPr="004E2389">
        <w:rPr>
          <w:rFonts w:ascii="Arial" w:eastAsia="宋体" w:hAnsi="Arial" w:cs="Arial"/>
          <w:b/>
          <w:bCs/>
          <w:color w:val="000000"/>
          <w:kern w:val="0"/>
          <w:sz w:val="22"/>
        </w:rPr>
        <w:br/>
        <w:t>The manuscript excludes structure-based predictors to avoid allele coverage issues. Given the field's shift toward hybrid sequence/structure models, please add a short subsection discussing when structure-based or hybrid methods are advantageous, and how their future inclusion could change rankings.</w:t>
      </w:r>
    </w:p>
    <w:p w14:paraId="53409B0B" w14:textId="657156E4" w:rsidR="007661FF" w:rsidRPr="004E2389" w:rsidRDefault="007661FF" w:rsidP="007661F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hint="eastAsia"/>
          <w:b/>
          <w:bCs/>
          <w:color w:val="833C0B" w:themeColor="accent2" w:themeShade="80"/>
          <w:kern w:val="0"/>
          <w:sz w:val="22"/>
        </w:rPr>
      </w:pPr>
      <w:r w:rsidRPr="004E2389">
        <w:rPr>
          <w:rFonts w:ascii="Arial" w:eastAsia="宋体" w:hAnsi="Arial" w:cs="Arial"/>
          <w:b/>
          <w:bCs/>
          <w:color w:val="833C0B" w:themeColor="accent2" w:themeShade="80"/>
          <w:kern w:val="0"/>
          <w:sz w:val="22"/>
        </w:rPr>
        <w:t xml:space="preserve">NEW RESPONSE: </w:t>
      </w:r>
    </w:p>
    <w:p w14:paraId="0F27CC2B" w14:textId="77777777" w:rsidR="007C7088" w:rsidRPr="007C7088" w:rsidRDefault="007C7088" w:rsidP="007C7088">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7C7088">
        <w:rPr>
          <w:rFonts w:ascii="Arial" w:eastAsia="宋体" w:hAnsi="Arial" w:cs="Arial"/>
          <w:color w:val="833C0B" w:themeColor="accent2" w:themeShade="80"/>
          <w:kern w:val="0"/>
          <w:sz w:val="22"/>
        </w:rPr>
        <w:t>We sincerely thank the reviewer for this highly insightful and forward-looking suggestion. We completely agree that while our current benchmarking framework focuses exclusively on sequence-based predictors to ensure computational scalability and broad allele coverage, the rapid evolution of the field is inevitably shifting toward structure-based and hybrid methodologies.</w:t>
      </w:r>
    </w:p>
    <w:p w14:paraId="04D04FB6" w14:textId="77777777" w:rsidR="007C7088" w:rsidRPr="007C7088" w:rsidRDefault="007C7088" w:rsidP="007C7088">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7C7088">
        <w:rPr>
          <w:rFonts w:ascii="Arial" w:eastAsia="宋体" w:hAnsi="Arial" w:cs="Arial"/>
          <w:color w:val="833C0B" w:themeColor="accent2" w:themeShade="80"/>
          <w:kern w:val="0"/>
          <w:sz w:val="22"/>
        </w:rPr>
        <w:t>To address this critical point, we have added a dedicated discussion in the revised manuscript. We explicitly discuss when these hybrid methods are advantageous (e.g., handling rare alleles, bypassing the limitations of historical training data, and capturing exact biophysical interactions) and how their inclusion will fundamentally alter future performance rankings, especially as evaluation metrics shift from in vitro binding affinity toward in vivo TCR recognition and neoantigen immunogenicity. We have also enriched this discussion by citing several recent foundational papers on structure-based MHC-peptide modeling.</w:t>
      </w:r>
    </w:p>
    <w:p w14:paraId="468EB489" w14:textId="77777777" w:rsidR="007C7088" w:rsidRPr="007C7088" w:rsidRDefault="007C7088" w:rsidP="007C7088">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7C7088">
        <w:rPr>
          <w:rFonts w:ascii="Arial" w:eastAsia="宋体" w:hAnsi="Arial" w:cs="Arial"/>
          <w:b/>
          <w:bCs/>
          <w:color w:val="833C0B" w:themeColor="accent2" w:themeShade="80"/>
          <w:kern w:val="0"/>
          <w:sz w:val="22"/>
        </w:rPr>
        <w:t xml:space="preserve">Modifications in the manuscript: </w:t>
      </w:r>
      <w:r w:rsidRPr="007C7088">
        <w:rPr>
          <w:rFonts w:ascii="Arial" w:eastAsia="宋体" w:hAnsi="Arial" w:cs="Arial"/>
          <w:color w:val="833C0B" w:themeColor="accent2" w:themeShade="80"/>
          <w:kern w:val="0"/>
          <w:sz w:val="22"/>
        </w:rPr>
        <w:t>Please refer to the newly added text in the Discussion section, specifically under the Future Recommendations subheading.</w:t>
      </w:r>
    </w:p>
    <w:p w14:paraId="0EFF14B2" w14:textId="77777777" w:rsidR="004021C9" w:rsidRPr="007C7088" w:rsidRDefault="004021C9"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p>
    <w:p w14:paraId="087AD78B" w14:textId="3565F347" w:rsidR="007661FF" w:rsidRPr="004E2389" w:rsidRDefault="007661FF">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6A3C8668" w14:textId="2DEB9015"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highlight w:val="yellow"/>
        </w:rPr>
        <w:lastRenderedPageBreak/>
        <w:t>Moderate/Minor Comments</w:t>
      </w:r>
    </w:p>
    <w:p w14:paraId="5312E711" w14:textId="440B8B82" w:rsidR="00053101" w:rsidRPr="004E2389" w:rsidRDefault="00053101" w:rsidP="002F59B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322AE751" w14:textId="21910253" w:rsidR="004021C9" w:rsidRPr="004E2389" w:rsidRDefault="00F2594F" w:rsidP="002F59B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*Clarity &amp; terminology: Fix the typographical inconsistency "LIMIE" → "LIME" throughout. Define all acronyms at first use (e.g., AP in MHCflurry2.0_AP/PS) and maintain consistent allele notation (A*02:01 vs A02:01) across text/figures.</w:t>
      </w:r>
    </w:p>
    <w:p w14:paraId="59D46CAA" w14:textId="77777777" w:rsidR="00222B6A" w:rsidRPr="00222B6A" w:rsidRDefault="00222B6A" w:rsidP="00222B6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222B6A">
        <w:rPr>
          <w:rFonts w:ascii="Arial" w:eastAsia="宋体" w:hAnsi="Arial" w:cs="Arial"/>
          <w:b/>
          <w:bCs/>
          <w:color w:val="833C0B" w:themeColor="accent2" w:themeShade="80"/>
          <w:kern w:val="0"/>
          <w:sz w:val="22"/>
        </w:rPr>
        <w:t>NEW RESPONSE:</w:t>
      </w:r>
    </w:p>
    <w:p w14:paraId="4559961E" w14:textId="68F90F54" w:rsidR="00222B6A" w:rsidRPr="00222B6A" w:rsidRDefault="00222B6A" w:rsidP="00222B6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222B6A">
        <w:rPr>
          <w:rFonts w:ascii="Arial" w:eastAsia="宋体" w:hAnsi="Arial" w:cs="Arial"/>
          <w:color w:val="833C0B" w:themeColor="accent2" w:themeShade="80"/>
          <w:kern w:val="0"/>
          <w:sz w:val="22"/>
        </w:rPr>
        <w:t>We appreciate the reviewer’s careful attention to detail. We have thoroughly proofread the manuscript and implemented all requested corrections:</w:t>
      </w:r>
    </w:p>
    <w:p w14:paraId="18E0C701" w14:textId="77777777" w:rsidR="00222B6A" w:rsidRPr="004E2389" w:rsidRDefault="00222B6A" w:rsidP="00222B6A">
      <w:pPr>
        <w:pStyle w:val="a9"/>
        <w:widowControl/>
        <w:numPr>
          <w:ilvl w:val="0"/>
          <w:numId w:val="8"/>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The typographical error 'LIMIE' has been corrected to 'LIME' across the text and all figures.</w:t>
      </w:r>
    </w:p>
    <w:p w14:paraId="023F3D7F" w14:textId="77777777" w:rsidR="00222B6A" w:rsidRPr="004E2389" w:rsidRDefault="00222B6A" w:rsidP="00222B6A">
      <w:pPr>
        <w:pStyle w:val="a9"/>
        <w:widowControl/>
        <w:numPr>
          <w:ilvl w:val="0"/>
          <w:numId w:val="8"/>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color w:val="833C0B" w:themeColor="accent2" w:themeShade="80"/>
          <w:kern w:val="0"/>
          <w:sz w:val="22"/>
        </w:rPr>
        <w:t xml:space="preserve">All acronyms are now explicitly defined upon their first appearance in the main text. For instance, both 'AP' and 'PS' (in MHCflurry2.0_AP/PS) have been clearly defined in </w:t>
      </w:r>
      <w:r w:rsidRPr="004E2389">
        <w:rPr>
          <w:rFonts w:ascii="Arial" w:eastAsia="宋体" w:hAnsi="Arial" w:cs="Arial"/>
          <w:b/>
          <w:bCs/>
          <w:color w:val="833C0B" w:themeColor="accent2" w:themeShade="80"/>
          <w:kern w:val="0"/>
          <w:sz w:val="22"/>
        </w:rPr>
        <w:t>Lines 102–105.</w:t>
      </w:r>
    </w:p>
    <w:p w14:paraId="4F26D33A" w14:textId="3AB5BBF9" w:rsidR="00222B6A" w:rsidRPr="004E2389" w:rsidRDefault="00222B6A" w:rsidP="00222B6A">
      <w:pPr>
        <w:pStyle w:val="a9"/>
        <w:widowControl/>
        <w:numPr>
          <w:ilvl w:val="0"/>
          <w:numId w:val="8"/>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We have standardized the HLA allele nomenclature throughout the entire manuscript, including all figures and supplementary tables, strictly adhering to the 'HLA-A*02:01' format.</w:t>
      </w:r>
    </w:p>
    <w:p w14:paraId="0015745C" w14:textId="77777777" w:rsidR="00222B6A" w:rsidRPr="004E2389" w:rsidRDefault="00222B6A" w:rsidP="002F59B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43BC6AE9" w14:textId="3685C003" w:rsidR="00DE5F00" w:rsidRPr="004E2389" w:rsidRDefault="00222B6A" w:rsidP="00DE5F0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color w:val="0070C0"/>
          <w:kern w:val="0"/>
          <w:sz w:val="22"/>
        </w:rPr>
        <w:t xml:space="preserve">PREVIOUS </w:t>
      </w:r>
      <w:r w:rsidR="00DE5F00" w:rsidRPr="004E2389">
        <w:rPr>
          <w:rFonts w:ascii="Arial" w:eastAsia="宋体" w:hAnsi="Arial" w:cs="Arial"/>
          <w:b/>
          <w:color w:val="0070C0"/>
          <w:kern w:val="0"/>
          <w:sz w:val="22"/>
        </w:rPr>
        <w:t>RESPONSE:</w:t>
      </w:r>
      <w:r w:rsidR="00DE5F00" w:rsidRPr="004E2389">
        <w:rPr>
          <w:rFonts w:ascii="Arial" w:eastAsia="宋体" w:hAnsi="Arial" w:cs="Arial"/>
          <w:color w:val="0070C0"/>
          <w:kern w:val="0"/>
          <w:sz w:val="22"/>
        </w:rPr>
        <w:t xml:space="preserve"> Thank you very much for your careful and constructive comments.</w:t>
      </w:r>
    </w:p>
    <w:p w14:paraId="2E5E50C0" w14:textId="77777777" w:rsidR="00DE5F00" w:rsidRPr="004E2389" w:rsidRDefault="00DE5F00" w:rsidP="00DE5F0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We have corrected the typographical inconsistency throughout the manuscript, replacing “LIMIE” with “LIME” in all instances.</w:t>
      </w:r>
    </w:p>
    <w:p w14:paraId="734CA300" w14:textId="5740F579" w:rsidR="00DE5F00" w:rsidRPr="004E2389" w:rsidRDefault="00DE5F00" w:rsidP="00DE5F0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All acronyms are now defined at their first appearance in the main text. Specifically, “AP” in MHCflurry2.0_AP has been explicitly defined in </w:t>
      </w:r>
      <w:r w:rsidRPr="004E2389">
        <w:rPr>
          <w:rFonts w:ascii="Arial" w:eastAsia="宋体" w:hAnsi="Arial" w:cs="Arial"/>
          <w:b/>
          <w:bCs/>
          <w:color w:val="0070C0"/>
          <w:kern w:val="0"/>
          <w:sz w:val="22"/>
        </w:rPr>
        <w:t>Lines 10</w:t>
      </w:r>
      <w:r w:rsidR="008C3226" w:rsidRPr="004E2389">
        <w:rPr>
          <w:rFonts w:ascii="Arial" w:eastAsia="宋体" w:hAnsi="Arial" w:cs="Arial"/>
          <w:b/>
          <w:bCs/>
          <w:color w:val="0070C0"/>
          <w:kern w:val="0"/>
          <w:sz w:val="22"/>
        </w:rPr>
        <w:t>2</w:t>
      </w:r>
      <w:r w:rsidRPr="004E2389">
        <w:rPr>
          <w:rFonts w:ascii="Arial" w:eastAsia="宋体" w:hAnsi="Arial" w:cs="Arial"/>
          <w:b/>
          <w:bCs/>
          <w:color w:val="0070C0"/>
          <w:kern w:val="0"/>
          <w:sz w:val="22"/>
        </w:rPr>
        <w:t>–105</w:t>
      </w:r>
      <w:r w:rsidRPr="004E2389">
        <w:rPr>
          <w:rFonts w:ascii="Arial" w:eastAsia="宋体" w:hAnsi="Arial" w:cs="Arial"/>
          <w:color w:val="0070C0"/>
          <w:kern w:val="0"/>
          <w:sz w:val="22"/>
        </w:rPr>
        <w:t>.</w:t>
      </w:r>
    </w:p>
    <w:p w14:paraId="5E161B41" w14:textId="77777777" w:rsidR="00DE5F00" w:rsidRPr="004E2389" w:rsidRDefault="00DE5F00" w:rsidP="00DE5F0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In addition, we have standardized the allele notation across the entire manuscript (including text and figures), consistently using the format “A*02:01”.</w:t>
      </w:r>
    </w:p>
    <w:p w14:paraId="68A2DB3E" w14:textId="77777777" w:rsidR="001B172B" w:rsidRPr="004E2389" w:rsidRDefault="001B172B"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3E9A9E18" w14:textId="6F92AA79" w:rsidR="00053101" w:rsidRPr="004E2389" w:rsidRDefault="00053101"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4901ADAB" w14:textId="383AB0BA"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*Data transparency: The manuscript states that overlaps with training sets were removed. Please provide the exact lists/hashes used for de-duplication against each tool's training data, plus scripts to reproduce filtration. A small reproducibility checklist would help (env, seeds, versions, command lines).</w:t>
      </w:r>
    </w:p>
    <w:p w14:paraId="52255531" w14:textId="1756CD54" w:rsidR="00A11A18" w:rsidRPr="004E2389" w:rsidRDefault="00A11A18" w:rsidP="00A11A18">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 xml:space="preserve">NEW RESPONSE: </w:t>
      </w:r>
    </w:p>
    <w:p w14:paraId="46D5CDA4" w14:textId="45656763" w:rsidR="00A11A18" w:rsidRPr="00A11A18" w:rsidRDefault="00A11A18" w:rsidP="00A11A18">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A11A18">
        <w:rPr>
          <w:rFonts w:ascii="Arial" w:eastAsia="宋体" w:hAnsi="Arial" w:cs="Arial"/>
          <w:color w:val="833C0B" w:themeColor="accent2" w:themeShade="80"/>
          <w:kern w:val="0"/>
          <w:sz w:val="22"/>
        </w:rPr>
        <w:lastRenderedPageBreak/>
        <w:t xml:space="preserve">We fully agree with the importance of strict data transparency and reproducible research. To address this, we have made our entire data curation and filtration pipeline publicly available. The repository now includes the exact sequence lists and the complete set of R and Python scripts used to deduplicate our benchmarking dataset against the training sets of </w:t>
      </w:r>
      <w:r w:rsidR="00280322" w:rsidRPr="004E2389">
        <w:rPr>
          <w:rFonts w:ascii="Arial" w:eastAsia="宋体" w:hAnsi="Arial" w:cs="Arial"/>
          <w:color w:val="833C0B" w:themeColor="accent2" w:themeShade="80"/>
          <w:kern w:val="0"/>
          <w:sz w:val="22"/>
        </w:rPr>
        <w:t>all</w:t>
      </w:r>
      <w:r w:rsidRPr="00A11A18">
        <w:rPr>
          <w:rFonts w:ascii="Arial" w:eastAsia="宋体" w:hAnsi="Arial" w:cs="Arial"/>
          <w:color w:val="833C0B" w:themeColor="accent2" w:themeShade="80"/>
          <w:kern w:val="0"/>
          <w:sz w:val="22"/>
        </w:rPr>
        <w:t xml:space="preserve"> evaluated tool.</w:t>
      </w:r>
    </w:p>
    <w:p w14:paraId="133EDBA1" w14:textId="315A0D4C" w:rsidR="00A11A18" w:rsidRPr="00A11A18" w:rsidRDefault="00A11A18" w:rsidP="00A11A18">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A11A18">
        <w:rPr>
          <w:rFonts w:ascii="Arial" w:eastAsia="宋体" w:hAnsi="Arial" w:cs="Arial"/>
          <w:color w:val="833C0B" w:themeColor="accent2" w:themeShade="80"/>
          <w:kern w:val="0"/>
          <w:sz w:val="22"/>
        </w:rPr>
        <w:t xml:space="preserve">Furthermore, as highly recommended, we have added a comprehensive reproducibility checklist to the repository. This includes detailed documentation of the virtual environments, random seeds, package versions, and exact command lines used throughout the data generation and filtration processes. The complete pipeline and checklist can be accessed at: </w:t>
      </w:r>
      <w:r w:rsidRPr="00A11A18">
        <w:rPr>
          <w:rFonts w:ascii="Arial" w:eastAsia="宋体" w:hAnsi="Arial" w:cs="Arial"/>
          <w:b/>
          <w:bCs/>
          <w:color w:val="833C0B" w:themeColor="accent2" w:themeShade="80"/>
          <w:kern w:val="0"/>
          <w:sz w:val="22"/>
        </w:rPr>
        <w:t>[</w:t>
      </w:r>
      <w:proofErr w:type="spellStart"/>
      <w:r w:rsidRPr="004E2389">
        <w:rPr>
          <w:rFonts w:ascii="Arial" w:eastAsia="宋体" w:hAnsi="Arial" w:cs="Arial"/>
          <w:b/>
          <w:bCs/>
          <w:color w:val="833C0B" w:themeColor="accent2" w:themeShade="80"/>
          <w:kern w:val="0"/>
          <w:sz w:val="22"/>
        </w:rPr>
        <w:t>Zenodo</w:t>
      </w:r>
      <w:proofErr w:type="spellEnd"/>
      <w:r w:rsidRPr="004E2389">
        <w:rPr>
          <w:rFonts w:ascii="Arial" w:eastAsia="宋体" w:hAnsi="Arial" w:cs="Arial"/>
          <w:b/>
          <w:bCs/>
          <w:color w:val="833C0B" w:themeColor="accent2" w:themeShade="80"/>
          <w:kern w:val="0"/>
          <w:sz w:val="22"/>
        </w:rPr>
        <w:t xml:space="preserve"> </w:t>
      </w:r>
      <w:r w:rsidRPr="00A11A18">
        <w:rPr>
          <w:rFonts w:ascii="Arial" w:eastAsia="宋体" w:hAnsi="Arial" w:cs="Arial"/>
          <w:b/>
          <w:bCs/>
          <w:color w:val="833C0B" w:themeColor="accent2" w:themeShade="80"/>
          <w:kern w:val="0"/>
          <w:sz w:val="22"/>
        </w:rPr>
        <w:t>URL].</w:t>
      </w:r>
    </w:p>
    <w:p w14:paraId="4CC93900" w14:textId="77777777" w:rsidR="00A11A18" w:rsidRPr="004E2389" w:rsidRDefault="00A11A18"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79D77E85" w14:textId="4C3BB081" w:rsidR="005F456A" w:rsidRPr="004E2389" w:rsidRDefault="009B64EE" w:rsidP="005F456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bCs/>
          <w:color w:val="0070C0"/>
          <w:kern w:val="0"/>
          <w:sz w:val="22"/>
        </w:rPr>
        <w:t xml:space="preserve">PREVIOUS </w:t>
      </w:r>
      <w:r w:rsidR="005F456A" w:rsidRPr="004E2389">
        <w:rPr>
          <w:rFonts w:ascii="Arial" w:eastAsia="宋体" w:hAnsi="Arial" w:cs="Arial"/>
          <w:b/>
          <w:bCs/>
          <w:color w:val="0070C0"/>
          <w:kern w:val="0"/>
          <w:sz w:val="22"/>
        </w:rPr>
        <w:t>RESPONSE:</w:t>
      </w:r>
      <w:r w:rsidR="005F456A" w:rsidRPr="004E2389">
        <w:rPr>
          <w:rFonts w:ascii="Arial" w:eastAsia="宋体" w:hAnsi="Arial" w:cs="Arial"/>
          <w:b/>
          <w:color w:val="0070C0"/>
          <w:kern w:val="0"/>
          <w:sz w:val="22"/>
        </w:rPr>
        <w:t xml:space="preserve"> </w:t>
      </w:r>
      <w:r w:rsidR="005F456A" w:rsidRPr="004E2389">
        <w:rPr>
          <w:rFonts w:ascii="Arial" w:eastAsia="宋体" w:hAnsi="Arial" w:cs="Arial"/>
          <w:bCs/>
          <w:color w:val="0070C0"/>
          <w:kern w:val="0"/>
          <w:sz w:val="22"/>
        </w:rPr>
        <w:t xml:space="preserve">We completely agree with the need for full transparency. To ensure rigorous reproducibility, we have publicly released our entire data processing pipeline. All R scripts and Python codes used for generating negative samples, deduplicating against the training datasets of each evaluated tool, and finalizing the test set are now available. We have also included a comprehensive reproducibility checklist (specifying environments, package versions, and command lines) in the GitHub repository. </w:t>
      </w:r>
    </w:p>
    <w:p w14:paraId="41CCF9A9" w14:textId="77777777" w:rsidR="001B172B" w:rsidRPr="004E2389" w:rsidRDefault="001B172B" w:rsidP="001B172B">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0AFECA7D" w14:textId="77777777" w:rsidR="004021C9" w:rsidRPr="004E2389" w:rsidRDefault="004021C9"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7A541C1D" w14:textId="0F24672C" w:rsidR="00F86DF2"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*Class imbalance across alleles: HLA-C alleles are underrepresented. Please explicitly discuss generalization limits and provide per-allele confidence intervals.</w:t>
      </w:r>
    </w:p>
    <w:p w14:paraId="54F2C95A" w14:textId="79F23128" w:rsidR="001B172B" w:rsidRPr="004E2389" w:rsidRDefault="001B172B" w:rsidP="001B172B">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5B5140D3" w14:textId="07709288" w:rsidR="00246604" w:rsidRPr="00246604" w:rsidRDefault="00246604" w:rsidP="0024660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246604">
        <w:rPr>
          <w:rFonts w:ascii="Arial" w:eastAsia="宋体" w:hAnsi="Arial" w:cs="Arial"/>
          <w:color w:val="833C0B" w:themeColor="accent2" w:themeShade="80"/>
          <w:kern w:val="0"/>
          <w:sz w:val="22"/>
        </w:rPr>
        <w:t xml:space="preserve">We sincerely appreciate the reviewer pointing this out. We completely agree that HLA-C alleles are underrepresented, which directly reflects the genuine, intrinsic scarcity of high-quality, experimentally validated HLA-C binding data in public repositories. To guarantee the utmost statistical rigor of our benchmark, we enforced a strict quality-control threshold: an allele must have a minimum of </w:t>
      </w:r>
      <w:r w:rsidR="00C14929">
        <w:rPr>
          <w:rFonts w:ascii="Arial" w:eastAsia="宋体" w:hAnsi="Arial" w:cs="Arial" w:hint="eastAsia"/>
          <w:color w:val="833C0B" w:themeColor="accent2" w:themeShade="80"/>
          <w:kern w:val="0"/>
          <w:sz w:val="22"/>
        </w:rPr>
        <w:t>250</w:t>
      </w:r>
      <w:r w:rsidRPr="00246604">
        <w:rPr>
          <w:rFonts w:ascii="Arial" w:eastAsia="宋体" w:hAnsi="Arial" w:cs="Arial"/>
          <w:color w:val="833C0B" w:themeColor="accent2" w:themeShade="80"/>
          <w:kern w:val="0"/>
          <w:sz w:val="22"/>
        </w:rPr>
        <w:t xml:space="preserve"> total curated positive peptides (across 8–11 amino acids) to be included. Given this rigorous filtration, only a limited number of HLA-C alleles qualified.</w:t>
      </w:r>
    </w:p>
    <w:p w14:paraId="5730C35B" w14:textId="77777777" w:rsidR="00246604" w:rsidRPr="00246604" w:rsidRDefault="00246604" w:rsidP="0024660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246604">
        <w:rPr>
          <w:rFonts w:ascii="Arial" w:eastAsia="宋体" w:hAnsi="Arial" w:cs="Arial"/>
          <w:color w:val="833C0B" w:themeColor="accent2" w:themeShade="80"/>
          <w:kern w:val="0"/>
          <w:sz w:val="22"/>
        </w:rPr>
        <w:t xml:space="preserve">This historical data drought is a field-wide limitation that not only biases benchmark datasets but also directly constrains model development; for instance, certain computational tools </w:t>
      </w:r>
      <w:r w:rsidRPr="00246604">
        <w:rPr>
          <w:rFonts w:ascii="Arial" w:eastAsia="宋体" w:hAnsi="Arial" w:cs="Arial"/>
          <w:color w:val="833C0B" w:themeColor="accent2" w:themeShade="80"/>
          <w:kern w:val="0"/>
          <w:sz w:val="22"/>
        </w:rPr>
        <w:lastRenderedPageBreak/>
        <w:t xml:space="preserve">evaluated in our study (such as ACME) fundamentally do not support HLA-C predictions. We fully acknowledge your valid concern regarding how this data scarcity impacts model generalization. Accordingly, we have explicitly discussed the boundaries of HLA-C generalizability and the current limitations of pan-specific models in the revised </w:t>
      </w:r>
      <w:r w:rsidRPr="00246604">
        <w:rPr>
          <w:rFonts w:ascii="Arial" w:eastAsia="宋体" w:hAnsi="Arial" w:cs="Arial"/>
          <w:b/>
          <w:bCs/>
          <w:color w:val="833C0B" w:themeColor="accent2" w:themeShade="80"/>
          <w:kern w:val="0"/>
          <w:sz w:val="22"/>
        </w:rPr>
        <w:t>Discussion section (Lines XX–XX)</w:t>
      </w:r>
      <w:r w:rsidRPr="00246604">
        <w:rPr>
          <w:rFonts w:ascii="Arial" w:eastAsia="宋体" w:hAnsi="Arial" w:cs="Arial"/>
          <w:color w:val="833C0B" w:themeColor="accent2" w:themeShade="80"/>
          <w:kern w:val="0"/>
          <w:sz w:val="22"/>
        </w:rPr>
        <w:t>.</w:t>
      </w:r>
    </w:p>
    <w:p w14:paraId="1CD010CB" w14:textId="588EFEAE" w:rsidR="001B172B" w:rsidRPr="001B172B" w:rsidRDefault="00246604" w:rsidP="001B172B">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246604">
        <w:rPr>
          <w:rFonts w:ascii="Arial" w:eastAsia="宋体" w:hAnsi="Arial" w:cs="Arial"/>
          <w:color w:val="833C0B" w:themeColor="accent2" w:themeShade="80"/>
          <w:kern w:val="0"/>
          <w:sz w:val="22"/>
        </w:rPr>
        <w:t xml:space="preserve">Furthermore, following your highly constructive recommendation, we have computed the exact per-allele 95% confidence intervals (CIs) for both AUROC and AUPRC using our rigorous bootstrap resampling framework. These comprehensive, highly granular per-allele CI metrics, evaluated across different positive-to-negative dataset ratios, are now explicitly fully detailed in the updated </w:t>
      </w:r>
      <w:r w:rsidRPr="00246604">
        <w:rPr>
          <w:rFonts w:ascii="Arial" w:eastAsia="宋体" w:hAnsi="Arial" w:cs="Arial"/>
          <w:b/>
          <w:bCs/>
          <w:color w:val="833C0B" w:themeColor="accent2" w:themeShade="80"/>
          <w:kern w:val="0"/>
          <w:sz w:val="22"/>
        </w:rPr>
        <w:t>Supplementary Table S4</w:t>
      </w:r>
      <w:r w:rsidRPr="00246604">
        <w:rPr>
          <w:rFonts w:ascii="Arial" w:eastAsia="宋体" w:hAnsi="Arial" w:cs="Arial"/>
          <w:color w:val="833C0B" w:themeColor="accent2" w:themeShade="80"/>
          <w:kern w:val="0"/>
          <w:sz w:val="22"/>
        </w:rPr>
        <w:t xml:space="preserve">. Corresponding statistical testing (AUC) across specific strata is provided in </w:t>
      </w:r>
      <w:r w:rsidRPr="00246604">
        <w:rPr>
          <w:rFonts w:ascii="Arial" w:eastAsia="宋体" w:hAnsi="Arial" w:cs="Arial"/>
          <w:b/>
          <w:bCs/>
          <w:color w:val="833C0B" w:themeColor="accent2" w:themeShade="80"/>
          <w:kern w:val="0"/>
          <w:sz w:val="22"/>
        </w:rPr>
        <w:t>Supplementary Table S5</w:t>
      </w:r>
      <w:r w:rsidR="001B172B" w:rsidRPr="001B172B">
        <w:rPr>
          <w:rFonts w:ascii="Arial" w:eastAsia="宋体" w:hAnsi="Arial" w:cs="Arial"/>
          <w:color w:val="833C0B" w:themeColor="accent2" w:themeShade="80"/>
          <w:kern w:val="0"/>
          <w:sz w:val="22"/>
        </w:rPr>
        <w:t>.</w:t>
      </w:r>
    </w:p>
    <w:p w14:paraId="034DB124" w14:textId="77777777" w:rsidR="001B172B" w:rsidRPr="004E2389" w:rsidRDefault="001B172B"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2321908D" w14:textId="48E16D26" w:rsidR="005F456A" w:rsidRPr="004E2389" w:rsidRDefault="009B64EE" w:rsidP="005F456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color w:val="0070C0"/>
          <w:kern w:val="0"/>
          <w:sz w:val="22"/>
        </w:rPr>
        <w:t xml:space="preserve">PREVIOUS </w:t>
      </w:r>
      <w:r w:rsidR="005F456A" w:rsidRPr="004E2389">
        <w:rPr>
          <w:rFonts w:ascii="Arial" w:eastAsia="宋体" w:hAnsi="Arial" w:cs="Arial"/>
          <w:b/>
          <w:color w:val="0070C0"/>
          <w:kern w:val="0"/>
          <w:sz w:val="22"/>
        </w:rPr>
        <w:t xml:space="preserve">RESPONSE: </w:t>
      </w:r>
      <w:r w:rsidR="005F456A" w:rsidRPr="004E2389">
        <w:rPr>
          <w:rFonts w:ascii="Arial" w:eastAsia="宋体" w:hAnsi="Arial" w:cs="Arial"/>
          <w:bCs/>
          <w:color w:val="0070C0"/>
          <w:kern w:val="0"/>
          <w:sz w:val="22"/>
        </w:rPr>
        <w:t>We appreciate the reviewer pointing this out. The underrepresentation of HLA-C alleles reflects the genuine scarcity of high-quality, experimentally validated positive data for HLA-C in public databases. After our strict filtration pipeline to ensure high data quality for peptides of 8–11 amino acids in length, only a limited number of HLA-C complexes met the rigorous inclusion criteria (detailed in the Supplementary Data).</w:t>
      </w:r>
    </w:p>
    <w:p w14:paraId="59B3364E" w14:textId="77777777" w:rsidR="005F456A" w:rsidRPr="004E2389" w:rsidRDefault="005F456A" w:rsidP="005F456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It is worth noting that many previous benchmark studies have historically focused exclusively on HLA-A and HLA-B, often ignoring HLA-C entirely due to this data drought. Our inclusion of HLA-C represents a deliberate effort to expand the evaluation scope. However, we agree that the limited sample size restricts the confidence of generalizations regarding HLA-C. We have now added an explicit discussion on these generalization limits in the Discussion section (Lines XX-XX) and provided per-allele confidence intervals in Supplementary Table X.</w:t>
      </w:r>
    </w:p>
    <w:p w14:paraId="1164ED7E" w14:textId="77777777" w:rsidR="0000045C" w:rsidRPr="004E2389" w:rsidRDefault="0000045C" w:rsidP="0000045C">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10E4D01A" w14:textId="77777777" w:rsidR="004021C9" w:rsidRPr="004E2389" w:rsidRDefault="004021C9"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09E0B052" w14:textId="0296CB25"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*Threshold-independent summaries: Add Average Precision (AP) and PR-AUC with confidence intervals prominently; move heavily threshold-dependent metrics to Supplementary.</w:t>
      </w:r>
    </w:p>
    <w:p w14:paraId="4E234FFA" w14:textId="66943924" w:rsidR="009B64EE" w:rsidRPr="004E2389" w:rsidRDefault="009B64EE"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513EAE85" w14:textId="77777777" w:rsidR="009B64EE" w:rsidRPr="009B64EE" w:rsidRDefault="009B64EE" w:rsidP="009B64E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9B64EE">
        <w:rPr>
          <w:rFonts w:ascii="Arial" w:eastAsia="宋体" w:hAnsi="Arial" w:cs="Arial"/>
          <w:color w:val="833C0B" w:themeColor="accent2" w:themeShade="80"/>
          <w:kern w:val="0"/>
          <w:sz w:val="22"/>
        </w:rPr>
        <w:lastRenderedPageBreak/>
        <w:t xml:space="preserve">We appreciate the reviewer’s suggestion. We would like to clarify that the Area Under the Precision-Recall Curve (AUPRC)—which is mathematically equivalent to Average Precision (AP)—alongside AUROC, are already positioned as the primary, focal evaluation metrics in our manuscript. Specifically, </w:t>
      </w:r>
      <w:r w:rsidRPr="009B64EE">
        <w:rPr>
          <w:rFonts w:ascii="Arial" w:eastAsia="宋体" w:hAnsi="Arial" w:cs="Arial"/>
          <w:b/>
          <w:bCs/>
          <w:color w:val="833C0B" w:themeColor="accent2" w:themeShade="80"/>
          <w:kern w:val="0"/>
          <w:sz w:val="22"/>
        </w:rPr>
        <w:t>Figure 2B</w:t>
      </w:r>
      <w:r w:rsidRPr="009B64EE">
        <w:rPr>
          <w:rFonts w:ascii="Arial" w:eastAsia="宋体" w:hAnsi="Arial" w:cs="Arial"/>
          <w:color w:val="833C0B" w:themeColor="accent2" w:themeShade="80"/>
          <w:kern w:val="0"/>
          <w:sz w:val="22"/>
        </w:rPr>
        <w:t xml:space="preserve"> prominently displays the AUPRC and AUROC along with their exact 95% confidence intervals (CIs) across varying data imbalance scenarios. The exhaustive CI data is further detailed in </w:t>
      </w:r>
      <w:r w:rsidRPr="009B64EE">
        <w:rPr>
          <w:rFonts w:ascii="Arial" w:eastAsia="宋体" w:hAnsi="Arial" w:cs="Arial"/>
          <w:b/>
          <w:bCs/>
          <w:color w:val="833C0B" w:themeColor="accent2" w:themeShade="80"/>
          <w:kern w:val="0"/>
          <w:sz w:val="22"/>
        </w:rPr>
        <w:t>Supplementary Table S4</w:t>
      </w:r>
      <w:r w:rsidRPr="009B64EE">
        <w:rPr>
          <w:rFonts w:ascii="Arial" w:eastAsia="宋体" w:hAnsi="Arial" w:cs="Arial"/>
          <w:color w:val="833C0B" w:themeColor="accent2" w:themeShade="80"/>
          <w:kern w:val="0"/>
          <w:sz w:val="22"/>
        </w:rPr>
        <w:t>.</w:t>
      </w:r>
    </w:p>
    <w:p w14:paraId="6CBA148E" w14:textId="77777777" w:rsidR="009B64EE" w:rsidRPr="009B64EE" w:rsidRDefault="009B64EE" w:rsidP="009B64E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9B64EE">
        <w:rPr>
          <w:rFonts w:ascii="Arial" w:eastAsia="宋体" w:hAnsi="Arial" w:cs="Arial"/>
          <w:color w:val="833C0B" w:themeColor="accent2" w:themeShade="80"/>
          <w:kern w:val="0"/>
          <w:sz w:val="22"/>
        </w:rPr>
        <w:t xml:space="preserve">Regarding the threshold-dependent metrics (such as MCC, F1-score, and Accuracy), we respectfully opted to retain them in the main text (e.g., the heatmap in </w:t>
      </w:r>
      <w:r w:rsidRPr="009B64EE">
        <w:rPr>
          <w:rFonts w:ascii="Arial" w:eastAsia="宋体" w:hAnsi="Arial" w:cs="Arial"/>
          <w:b/>
          <w:bCs/>
          <w:color w:val="833C0B" w:themeColor="accent2" w:themeShade="80"/>
          <w:kern w:val="0"/>
          <w:sz w:val="22"/>
        </w:rPr>
        <w:t>Figure 2D</w:t>
      </w:r>
      <w:r w:rsidRPr="009B64EE">
        <w:rPr>
          <w:rFonts w:ascii="Arial" w:eastAsia="宋体" w:hAnsi="Arial" w:cs="Arial"/>
          <w:color w:val="833C0B" w:themeColor="accent2" w:themeShade="80"/>
          <w:kern w:val="0"/>
          <w:sz w:val="22"/>
        </w:rPr>
        <w:t xml:space="preserve">). Because we have now established a highly robust, universally optimal global operating point (based on our new </w:t>
      </w:r>
      <w:r w:rsidRPr="009B64EE">
        <w:rPr>
          <w:rFonts w:ascii="Arial" w:eastAsia="宋体" w:hAnsi="Arial" w:cs="Arial"/>
          <w:i/>
          <w:iCs/>
          <w:color w:val="833C0B" w:themeColor="accent2" w:themeShade="80"/>
          <w:kern w:val="0"/>
          <w:sz w:val="22"/>
        </w:rPr>
        <w:t>Comprehensive Score</w:t>
      </w:r>
      <w:r w:rsidRPr="009B64EE">
        <w:rPr>
          <w:rFonts w:ascii="Arial" w:eastAsia="宋体" w:hAnsi="Arial" w:cs="Arial"/>
          <w:color w:val="833C0B" w:themeColor="accent2" w:themeShade="80"/>
          <w:kern w:val="0"/>
          <w:sz w:val="22"/>
        </w:rPr>
        <w:t>), presenting these metrics alongside AUROC/AUPRC provides readers with an indispensable, multi-dimensional view of how these models perform in practical deployment. We have, however, ensured that our textual narrative heavily prioritizes the threshold-independent metrics as the gold standard for model evaluation.</w:t>
      </w:r>
    </w:p>
    <w:p w14:paraId="5108942D" w14:textId="77777777" w:rsidR="009B64EE" w:rsidRPr="004E2389" w:rsidRDefault="009B64EE"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35A32BDB" w14:textId="359164DF" w:rsidR="005F456A" w:rsidRPr="004E2389" w:rsidRDefault="009B64EE" w:rsidP="005F456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2E74B5" w:themeColor="accent5" w:themeShade="BF"/>
          <w:kern w:val="0"/>
          <w:sz w:val="22"/>
        </w:rPr>
      </w:pPr>
      <w:r w:rsidRPr="004E2389">
        <w:rPr>
          <w:rFonts w:ascii="Arial" w:eastAsia="宋体" w:hAnsi="Arial" w:cs="Arial"/>
          <w:b/>
          <w:color w:val="2E74B5" w:themeColor="accent5" w:themeShade="BF"/>
          <w:kern w:val="0"/>
          <w:sz w:val="22"/>
        </w:rPr>
        <w:t xml:space="preserve">PREVIOUS </w:t>
      </w:r>
      <w:r w:rsidR="005F456A" w:rsidRPr="004E2389">
        <w:rPr>
          <w:rFonts w:ascii="Arial" w:eastAsia="宋体" w:hAnsi="Arial" w:cs="Arial"/>
          <w:b/>
          <w:color w:val="2E74B5" w:themeColor="accent5" w:themeShade="BF"/>
          <w:kern w:val="0"/>
          <w:sz w:val="22"/>
        </w:rPr>
        <w:t xml:space="preserve">RESPONSE: </w:t>
      </w:r>
      <w:r w:rsidR="005F456A" w:rsidRPr="004E2389">
        <w:rPr>
          <w:rFonts w:ascii="Arial" w:eastAsia="宋体" w:hAnsi="Arial" w:cs="Arial"/>
          <w:bCs/>
          <w:color w:val="2E74B5" w:themeColor="accent5" w:themeShade="BF"/>
          <w:kern w:val="0"/>
          <w:sz w:val="22"/>
        </w:rPr>
        <w:t>Thank you for this suggestion. We wish to clarify that the Area Under the Precision-Recall Curve (AUPRC), which is mathematically equivalent to Average Precision (AP) in this context, alongside AUROC, are already the primary evaluation metrics highlighted in our main Figure 1.</w:t>
      </w:r>
    </w:p>
    <w:p w14:paraId="4FD63F02" w14:textId="77777777" w:rsidR="005F456A" w:rsidRPr="004E2389" w:rsidRDefault="005F456A" w:rsidP="005F456A">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2E74B5" w:themeColor="accent5" w:themeShade="BF"/>
          <w:kern w:val="0"/>
          <w:sz w:val="22"/>
        </w:rPr>
      </w:pPr>
      <w:r w:rsidRPr="004E2389">
        <w:rPr>
          <w:rFonts w:ascii="Arial" w:eastAsia="宋体" w:hAnsi="Arial" w:cs="Arial"/>
          <w:bCs/>
          <w:color w:val="2E74B5" w:themeColor="accent5" w:themeShade="BF"/>
          <w:kern w:val="0"/>
          <w:sz w:val="22"/>
        </w:rPr>
        <w:t>While we agree that threshold-independent metrics like AUPRC and AUROC are the most robust indicators of overall model performance, we opted to retain the threshold-dependent metrics (such as Accuracy, F1-score, etc.) in the main figure to provide readers with a comprehensive, multi-dimensional view of how these models behave under standard operational thresholds. We have, however, ensured that AUPRC and AUROC are discussed most prominently in the main text, with 95% confidence intervals clearly reported.</w:t>
      </w:r>
    </w:p>
    <w:p w14:paraId="5D66750F" w14:textId="77777777" w:rsidR="00F72B0E" w:rsidRPr="004E2389" w:rsidRDefault="00F72B0E" w:rsidP="00F72B0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2A200EC7" w14:textId="77777777" w:rsidR="004021C9" w:rsidRPr="004E2389" w:rsidRDefault="004021C9"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3E269E81" w14:textId="6DFBFAD8"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 xml:space="preserve">*Figures: Ensure font sizes/readability; add per-allele violin/box plots for AUROC/AUPRC; show calibration plots (reliability curves) for top tools; add ablation/SHAP summary </w:t>
      </w:r>
      <w:proofErr w:type="spellStart"/>
      <w:r w:rsidRPr="004E2389">
        <w:rPr>
          <w:rFonts w:ascii="Arial" w:eastAsia="宋体" w:hAnsi="Arial" w:cs="Arial"/>
          <w:b/>
          <w:bCs/>
          <w:color w:val="000000"/>
          <w:kern w:val="0"/>
          <w:sz w:val="22"/>
        </w:rPr>
        <w:t>barplots</w:t>
      </w:r>
      <w:proofErr w:type="spellEnd"/>
      <w:r w:rsidRPr="004E2389">
        <w:rPr>
          <w:rFonts w:ascii="Arial" w:eastAsia="宋体" w:hAnsi="Arial" w:cs="Arial"/>
          <w:b/>
          <w:bCs/>
          <w:color w:val="000000"/>
          <w:kern w:val="0"/>
          <w:sz w:val="22"/>
        </w:rPr>
        <w:t xml:space="preserve"> for the case-study peptides. Consider a "traffic-light" table summarizing accuracy, compute, documentation, install friction, license.</w:t>
      </w:r>
    </w:p>
    <w:p w14:paraId="1E940237" w14:textId="5F7F24B1" w:rsidR="00C6664B" w:rsidRPr="004E2389" w:rsidRDefault="00C6664B"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lastRenderedPageBreak/>
        <w:t>NEW RESPONSE:</w:t>
      </w:r>
    </w:p>
    <w:p w14:paraId="700A0889" w14:textId="77777777" w:rsidR="00C6664B" w:rsidRPr="00C6664B" w:rsidRDefault="00C6664B" w:rsidP="00C6664B">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C6664B">
        <w:rPr>
          <w:rFonts w:ascii="Arial" w:eastAsia="宋体" w:hAnsi="Arial" w:cs="Arial"/>
          <w:color w:val="833C0B" w:themeColor="accent2" w:themeShade="80"/>
          <w:kern w:val="0"/>
          <w:sz w:val="22"/>
        </w:rPr>
        <w:t>We greatly appreciate these constructive suggestions for enhancing our visualizations. We have thoroughly addressed each point as follows:</w:t>
      </w:r>
    </w:p>
    <w:p w14:paraId="4BF65034" w14:textId="77777777" w:rsidR="00C6664B" w:rsidRPr="00C6664B" w:rsidRDefault="00C6664B" w:rsidP="00C6664B">
      <w:pPr>
        <w:widowControl/>
        <w:numPr>
          <w:ilvl w:val="0"/>
          <w:numId w:val="9"/>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C6664B">
        <w:rPr>
          <w:rFonts w:ascii="Arial" w:eastAsia="宋体" w:hAnsi="Arial" w:cs="Arial"/>
          <w:b/>
          <w:bCs/>
          <w:color w:val="833C0B" w:themeColor="accent2" w:themeShade="80"/>
          <w:kern w:val="0"/>
          <w:sz w:val="22"/>
        </w:rPr>
        <w:t>Font Sizes &amp; Readability:</w:t>
      </w:r>
      <w:r w:rsidRPr="00C6664B">
        <w:rPr>
          <w:rFonts w:ascii="Arial" w:eastAsia="宋体" w:hAnsi="Arial" w:cs="Arial"/>
          <w:color w:val="833C0B" w:themeColor="accent2" w:themeShade="80"/>
          <w:kern w:val="0"/>
          <w:sz w:val="22"/>
        </w:rPr>
        <w:t xml:space="preserve"> All main and supplementary figures have been rigorously revised to optimize font sizes, layout, and overall high-resolution readability.</w:t>
      </w:r>
    </w:p>
    <w:p w14:paraId="436FAC0A" w14:textId="77777777" w:rsidR="00C6664B" w:rsidRPr="00C6664B" w:rsidRDefault="00C6664B" w:rsidP="00C6664B">
      <w:pPr>
        <w:widowControl/>
        <w:numPr>
          <w:ilvl w:val="0"/>
          <w:numId w:val="9"/>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C6664B">
        <w:rPr>
          <w:rFonts w:ascii="Arial" w:eastAsia="宋体" w:hAnsi="Arial" w:cs="Arial"/>
          <w:b/>
          <w:bCs/>
          <w:color w:val="833C0B" w:themeColor="accent2" w:themeShade="80"/>
          <w:kern w:val="0"/>
          <w:sz w:val="22"/>
        </w:rPr>
        <w:t>Per-Allele Violin/Box Plots:</w:t>
      </w:r>
      <w:r w:rsidRPr="00C6664B">
        <w:rPr>
          <w:rFonts w:ascii="Arial" w:eastAsia="宋体" w:hAnsi="Arial" w:cs="Arial"/>
          <w:color w:val="833C0B" w:themeColor="accent2" w:themeShade="80"/>
          <w:kern w:val="0"/>
          <w:sz w:val="22"/>
        </w:rPr>
        <w:t xml:space="preserve"> As requested, we have added comprehensive violin plots (overlaid with box-and-whisker plots) that explicitly detail the AUROC and AUPRC distributions across individual alleles. These are stratified by overall performance and specific HLA loci (HLA-A, B, and C) in </w:t>
      </w:r>
      <w:r w:rsidRPr="00C6664B">
        <w:rPr>
          <w:rFonts w:ascii="Arial" w:eastAsia="宋体" w:hAnsi="Arial" w:cs="Arial"/>
          <w:b/>
          <w:bCs/>
          <w:color w:val="833C0B" w:themeColor="accent2" w:themeShade="80"/>
          <w:kern w:val="0"/>
          <w:sz w:val="22"/>
        </w:rPr>
        <w:t>Supplementary Figure S2C</w:t>
      </w:r>
      <w:r w:rsidRPr="00C6664B">
        <w:rPr>
          <w:rFonts w:ascii="Arial" w:eastAsia="宋体" w:hAnsi="Arial" w:cs="Arial"/>
          <w:color w:val="833C0B" w:themeColor="accent2" w:themeShade="80"/>
          <w:kern w:val="0"/>
          <w:sz w:val="22"/>
        </w:rPr>
        <w:t>.</w:t>
      </w:r>
    </w:p>
    <w:p w14:paraId="2E27CA9C" w14:textId="77777777" w:rsidR="00C6664B" w:rsidRPr="00C6664B" w:rsidRDefault="00C6664B" w:rsidP="00C6664B">
      <w:pPr>
        <w:widowControl/>
        <w:numPr>
          <w:ilvl w:val="0"/>
          <w:numId w:val="9"/>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C6664B">
        <w:rPr>
          <w:rFonts w:ascii="Arial" w:eastAsia="宋体" w:hAnsi="Arial" w:cs="Arial"/>
          <w:b/>
          <w:bCs/>
          <w:color w:val="833C0B" w:themeColor="accent2" w:themeShade="80"/>
          <w:kern w:val="0"/>
          <w:sz w:val="22"/>
        </w:rPr>
        <w:t>Traffic-Light Summary Table:</w:t>
      </w:r>
      <w:r w:rsidRPr="00C6664B">
        <w:rPr>
          <w:rFonts w:ascii="Arial" w:eastAsia="宋体" w:hAnsi="Arial" w:cs="Arial"/>
          <w:color w:val="833C0B" w:themeColor="accent2" w:themeShade="80"/>
          <w:kern w:val="0"/>
          <w:sz w:val="22"/>
        </w:rPr>
        <w:t xml:space="preserve"> We strongly agree with this excellent recommendation. We have constructed a highly intuitive 'traffic-light' usability matrix (</w:t>
      </w:r>
      <w:r w:rsidRPr="00C6664B">
        <w:rPr>
          <w:rFonts w:ascii="Arial" w:eastAsia="宋体" w:hAnsi="Arial" w:cs="Arial"/>
          <w:b/>
          <w:bCs/>
          <w:color w:val="833C0B" w:themeColor="accent2" w:themeShade="80"/>
          <w:kern w:val="0"/>
          <w:sz w:val="22"/>
        </w:rPr>
        <w:t>Supplementary Table S2</w:t>
      </w:r>
      <w:r w:rsidRPr="00C6664B">
        <w:rPr>
          <w:rFonts w:ascii="Arial" w:eastAsia="宋体" w:hAnsi="Arial" w:cs="Arial"/>
          <w:color w:val="833C0B" w:themeColor="accent2" w:themeShade="80"/>
          <w:kern w:val="0"/>
          <w:sz w:val="22"/>
        </w:rPr>
        <w:t>). This table qualitatively color-codes the practical deployment characteristics of all 17 tools, encompassing empirical accuracy, compute requirements, installation friction, documentation quality, and software licensing.</w:t>
      </w:r>
    </w:p>
    <w:p w14:paraId="47948762" w14:textId="77777777" w:rsidR="00C6664B" w:rsidRPr="00C6664B" w:rsidRDefault="00C6664B" w:rsidP="00C6664B">
      <w:pPr>
        <w:widowControl/>
        <w:numPr>
          <w:ilvl w:val="0"/>
          <w:numId w:val="9"/>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C6664B">
        <w:rPr>
          <w:rFonts w:ascii="Arial" w:eastAsia="宋体" w:hAnsi="Arial" w:cs="Arial"/>
          <w:b/>
          <w:bCs/>
          <w:color w:val="833C0B" w:themeColor="accent2" w:themeShade="80"/>
          <w:kern w:val="0"/>
          <w:sz w:val="22"/>
        </w:rPr>
        <w:t xml:space="preserve">Ablation &amp; SHAP Summary </w:t>
      </w:r>
      <w:proofErr w:type="spellStart"/>
      <w:r w:rsidRPr="00C6664B">
        <w:rPr>
          <w:rFonts w:ascii="Arial" w:eastAsia="宋体" w:hAnsi="Arial" w:cs="Arial"/>
          <w:b/>
          <w:bCs/>
          <w:color w:val="833C0B" w:themeColor="accent2" w:themeShade="80"/>
          <w:kern w:val="0"/>
          <w:sz w:val="22"/>
        </w:rPr>
        <w:t>Barplots</w:t>
      </w:r>
      <w:proofErr w:type="spellEnd"/>
      <w:r w:rsidRPr="00C6664B">
        <w:rPr>
          <w:rFonts w:ascii="Arial" w:eastAsia="宋体" w:hAnsi="Arial" w:cs="Arial"/>
          <w:b/>
          <w:bCs/>
          <w:color w:val="833C0B" w:themeColor="accent2" w:themeShade="80"/>
          <w:kern w:val="0"/>
          <w:sz w:val="22"/>
        </w:rPr>
        <w:t>:</w:t>
      </w:r>
      <w:r w:rsidRPr="00C6664B">
        <w:rPr>
          <w:rFonts w:ascii="Arial" w:eastAsia="宋体" w:hAnsi="Arial" w:cs="Arial"/>
          <w:color w:val="833C0B" w:themeColor="accent2" w:themeShade="80"/>
          <w:kern w:val="0"/>
          <w:sz w:val="22"/>
        </w:rPr>
        <w:t xml:space="preserve"> We completely agree that summary </w:t>
      </w:r>
      <w:proofErr w:type="spellStart"/>
      <w:r w:rsidRPr="00C6664B">
        <w:rPr>
          <w:rFonts w:ascii="Arial" w:eastAsia="宋体" w:hAnsi="Arial" w:cs="Arial"/>
          <w:color w:val="833C0B" w:themeColor="accent2" w:themeShade="80"/>
          <w:kern w:val="0"/>
          <w:sz w:val="22"/>
        </w:rPr>
        <w:t>barplots</w:t>
      </w:r>
      <w:proofErr w:type="spellEnd"/>
      <w:r w:rsidRPr="00C6664B">
        <w:rPr>
          <w:rFonts w:ascii="Arial" w:eastAsia="宋体" w:hAnsi="Arial" w:cs="Arial"/>
          <w:color w:val="833C0B" w:themeColor="accent2" w:themeShade="80"/>
          <w:kern w:val="0"/>
          <w:sz w:val="22"/>
        </w:rPr>
        <w:t xml:space="preserve"> intuitively capture positional importance. Instead of standard </w:t>
      </w:r>
      <w:r w:rsidRPr="00C6664B">
        <w:rPr>
          <w:rFonts w:ascii="Arial" w:eastAsia="宋体" w:hAnsi="Arial" w:cs="Arial"/>
          <w:i/>
          <w:iCs/>
          <w:color w:val="833C0B" w:themeColor="accent2" w:themeShade="80"/>
          <w:kern w:val="0"/>
          <w:sz w:val="22"/>
        </w:rPr>
        <w:t>in silico</w:t>
      </w:r>
      <w:r w:rsidRPr="00C6664B">
        <w:rPr>
          <w:rFonts w:ascii="Arial" w:eastAsia="宋体" w:hAnsi="Arial" w:cs="Arial"/>
          <w:color w:val="833C0B" w:themeColor="accent2" w:themeShade="80"/>
          <w:kern w:val="0"/>
          <w:sz w:val="22"/>
        </w:rPr>
        <w:t xml:space="preserve"> sequence ablation, we implemented a far more rigorous </w:t>
      </w:r>
      <w:r w:rsidRPr="00C6664B">
        <w:rPr>
          <w:rFonts w:ascii="Arial" w:eastAsia="宋体" w:hAnsi="Arial" w:cs="Arial"/>
          <w:b/>
          <w:bCs/>
          <w:color w:val="833C0B" w:themeColor="accent2" w:themeShade="80"/>
          <w:kern w:val="0"/>
          <w:sz w:val="22"/>
        </w:rPr>
        <w:t>biophysical ablation</w:t>
      </w:r>
      <w:r w:rsidRPr="00C6664B">
        <w:rPr>
          <w:rFonts w:ascii="Arial" w:eastAsia="宋体" w:hAnsi="Arial" w:cs="Arial"/>
          <w:color w:val="833C0B" w:themeColor="accent2" w:themeShade="80"/>
          <w:kern w:val="0"/>
          <w:sz w:val="22"/>
        </w:rPr>
        <w:t xml:space="preserve"> approach using our structural thermodynamic data (computational alanine scanning via </w:t>
      </w:r>
      <w:proofErr w:type="spellStart"/>
      <w:r w:rsidRPr="00C6664B">
        <w:rPr>
          <w:rFonts w:ascii="Arial" w:eastAsia="宋体" w:hAnsi="Arial" w:cs="Arial"/>
          <w:color w:val="833C0B" w:themeColor="accent2" w:themeShade="80"/>
          <w:kern w:val="0"/>
          <w:sz w:val="22"/>
        </w:rPr>
        <w:t>BAlaS</w:t>
      </w:r>
      <w:proofErr w:type="spellEnd"/>
      <w:r w:rsidRPr="00C6664B">
        <w:rPr>
          <w:rFonts w:ascii="Arial" w:eastAsia="宋体" w:hAnsi="Arial" w:cs="Arial"/>
          <w:color w:val="833C0B" w:themeColor="accent2" w:themeShade="80"/>
          <w:kern w:val="0"/>
          <w:sz w:val="22"/>
        </w:rPr>
        <w:t xml:space="preserve">, which 'ablates' side-chain interactions to calculate the exact energetic penalty). Following your suggestion, we have newly incorporated SHAP and LIME summary </w:t>
      </w:r>
      <w:proofErr w:type="spellStart"/>
      <w:r w:rsidRPr="00C6664B">
        <w:rPr>
          <w:rFonts w:ascii="Arial" w:eastAsia="宋体" w:hAnsi="Arial" w:cs="Arial"/>
          <w:color w:val="833C0B" w:themeColor="accent2" w:themeShade="80"/>
          <w:kern w:val="0"/>
          <w:sz w:val="22"/>
        </w:rPr>
        <w:t>barplots</w:t>
      </w:r>
      <w:proofErr w:type="spellEnd"/>
      <w:r w:rsidRPr="00C6664B">
        <w:rPr>
          <w:rFonts w:ascii="Arial" w:eastAsia="宋体" w:hAnsi="Arial" w:cs="Arial"/>
          <w:color w:val="833C0B" w:themeColor="accent2" w:themeShade="80"/>
          <w:kern w:val="0"/>
          <w:sz w:val="22"/>
        </w:rPr>
        <w:t xml:space="preserve"> alongside these biophysical ablation results for the case-study peptides in </w:t>
      </w:r>
      <w:r w:rsidRPr="00C6664B">
        <w:rPr>
          <w:rFonts w:ascii="Arial" w:eastAsia="宋体" w:hAnsi="Arial" w:cs="Arial"/>
          <w:b/>
          <w:bCs/>
          <w:color w:val="833C0B" w:themeColor="accent2" w:themeShade="80"/>
          <w:kern w:val="0"/>
          <w:sz w:val="22"/>
        </w:rPr>
        <w:t>Supplementary Figure S9</w:t>
      </w:r>
      <w:r w:rsidRPr="00C6664B">
        <w:rPr>
          <w:rFonts w:ascii="Arial" w:eastAsia="宋体" w:hAnsi="Arial" w:cs="Arial"/>
          <w:color w:val="833C0B" w:themeColor="accent2" w:themeShade="80"/>
          <w:kern w:val="0"/>
          <w:sz w:val="22"/>
        </w:rPr>
        <w:t>. The explicitly plotted error bars effectively illustrate the strong cross-model consensus regarding classical anchor residues.</w:t>
      </w:r>
    </w:p>
    <w:p w14:paraId="281A83BC" w14:textId="77777777" w:rsidR="00C6664B" w:rsidRPr="00C6664B" w:rsidRDefault="00C6664B" w:rsidP="00C6664B">
      <w:pPr>
        <w:widowControl/>
        <w:numPr>
          <w:ilvl w:val="0"/>
          <w:numId w:val="9"/>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C6664B">
        <w:rPr>
          <w:rFonts w:ascii="Arial" w:eastAsia="宋体" w:hAnsi="Arial" w:cs="Arial"/>
          <w:b/>
          <w:bCs/>
          <w:color w:val="833C0B" w:themeColor="accent2" w:themeShade="80"/>
          <w:kern w:val="0"/>
          <w:sz w:val="22"/>
        </w:rPr>
        <w:t>Calibration Plots (Reliability Curves):</w:t>
      </w:r>
      <w:r w:rsidRPr="00C6664B">
        <w:rPr>
          <w:rFonts w:ascii="Arial" w:eastAsia="宋体" w:hAnsi="Arial" w:cs="Arial"/>
          <w:color w:val="833C0B" w:themeColor="accent2" w:themeShade="80"/>
          <w:kern w:val="0"/>
          <w:sz w:val="22"/>
        </w:rPr>
        <w:t xml:space="preserve"> It is important to note that the evaluated predictors output highly heterogeneous, uncalibrated continuous metrics (e.g., binding affinities in </w:t>
      </w:r>
      <w:proofErr w:type="spellStart"/>
      <w:r w:rsidRPr="00C6664B">
        <w:rPr>
          <w:rFonts w:ascii="Arial" w:eastAsia="宋体" w:hAnsi="Arial" w:cs="Arial"/>
          <w:color w:val="833C0B" w:themeColor="accent2" w:themeShade="80"/>
          <w:kern w:val="0"/>
          <w:sz w:val="22"/>
        </w:rPr>
        <w:t>nM</w:t>
      </w:r>
      <w:proofErr w:type="spellEnd"/>
      <w:r w:rsidRPr="00C6664B">
        <w:rPr>
          <w:rFonts w:ascii="Arial" w:eastAsia="宋体" w:hAnsi="Arial" w:cs="Arial"/>
          <w:color w:val="833C0B" w:themeColor="accent2" w:themeShade="80"/>
          <w:kern w:val="0"/>
          <w:sz w:val="22"/>
        </w:rPr>
        <w:t xml:space="preserve">, raw logits, or proprietary presentation scores) rather than standardized probabilities. Consequently, traditional reliability curves are mathematically incompatible for a fair cross-tool benchmark. To rigorously address the underlying concern of score reliability and operational stability, we instead conducted an exhaustive threshold optimization and stability analysis. The detailed trajectories of model performance across the full continuum </w:t>
      </w:r>
      <w:r w:rsidRPr="00C6664B">
        <w:rPr>
          <w:rFonts w:ascii="Arial" w:eastAsia="宋体" w:hAnsi="Arial" w:cs="Arial"/>
          <w:color w:val="833C0B" w:themeColor="accent2" w:themeShade="80"/>
          <w:kern w:val="0"/>
          <w:sz w:val="22"/>
        </w:rPr>
        <w:lastRenderedPageBreak/>
        <w:t xml:space="preserve">of candidate thresholds, along with explicitly defined optimal operating points and stability zones, are comprehensively visualized in </w:t>
      </w:r>
      <w:r w:rsidRPr="00C6664B">
        <w:rPr>
          <w:rFonts w:ascii="Arial" w:eastAsia="宋体" w:hAnsi="Arial" w:cs="Arial"/>
          <w:b/>
          <w:bCs/>
          <w:color w:val="833C0B" w:themeColor="accent2" w:themeShade="80"/>
          <w:kern w:val="0"/>
          <w:sz w:val="22"/>
        </w:rPr>
        <w:t>Supplementary Figure S3</w:t>
      </w:r>
      <w:r w:rsidRPr="00C6664B">
        <w:rPr>
          <w:rFonts w:ascii="Arial" w:eastAsia="宋体" w:hAnsi="Arial" w:cs="Arial"/>
          <w:color w:val="833C0B" w:themeColor="accent2" w:themeShade="80"/>
          <w:kern w:val="0"/>
          <w:sz w:val="22"/>
        </w:rPr>
        <w:t xml:space="preserve"> and quantitatively detailed in </w:t>
      </w:r>
      <w:r w:rsidRPr="00C6664B">
        <w:rPr>
          <w:rFonts w:ascii="Arial" w:eastAsia="宋体" w:hAnsi="Arial" w:cs="Arial"/>
          <w:b/>
          <w:bCs/>
          <w:color w:val="833C0B" w:themeColor="accent2" w:themeShade="80"/>
          <w:kern w:val="0"/>
          <w:sz w:val="22"/>
        </w:rPr>
        <w:t>Supplementary Tables S7–S8</w:t>
      </w:r>
      <w:r w:rsidRPr="00C6664B">
        <w:rPr>
          <w:rFonts w:ascii="Arial" w:eastAsia="宋体" w:hAnsi="Arial" w:cs="Arial"/>
          <w:color w:val="833C0B" w:themeColor="accent2" w:themeShade="80"/>
          <w:kern w:val="0"/>
          <w:sz w:val="22"/>
        </w:rPr>
        <w:t>.</w:t>
      </w:r>
    </w:p>
    <w:p w14:paraId="55576058" w14:textId="77777777" w:rsidR="00C6664B" w:rsidRPr="004E2389" w:rsidRDefault="00C6664B"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602AA6BB" w14:textId="6C1F5ECE" w:rsidR="005E2BBF" w:rsidRPr="004E2389" w:rsidRDefault="00CD62EB" w:rsidP="005E2BB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color w:val="0070C0"/>
          <w:kern w:val="0"/>
          <w:sz w:val="22"/>
        </w:rPr>
        <w:t xml:space="preserve">PREVIOUS </w:t>
      </w:r>
      <w:r w:rsidR="00B64751" w:rsidRPr="004E2389">
        <w:rPr>
          <w:rFonts w:ascii="Arial" w:eastAsia="宋体" w:hAnsi="Arial" w:cs="Arial"/>
          <w:b/>
          <w:color w:val="0070C0"/>
          <w:kern w:val="0"/>
          <w:sz w:val="22"/>
        </w:rPr>
        <w:t xml:space="preserve">RESPONSE: </w:t>
      </w:r>
      <w:r w:rsidR="00B64751" w:rsidRPr="004E2389">
        <w:rPr>
          <w:rFonts w:ascii="Arial" w:eastAsia="宋体" w:hAnsi="Arial" w:cs="Arial"/>
          <w:bCs/>
          <w:color w:val="0070C0"/>
          <w:kern w:val="0"/>
          <w:sz w:val="22"/>
        </w:rPr>
        <w:t>We have carefully revised the figures to improve readability and font sizes. Following your excellent suggestion, we have incorporated a new "traffic-light" style summary table (Table X) that qualitatively evaluates each tool's accuracy, computational cost, documentation quality, installation friction, and license accessibility. Additionally, we have considered the requested visualizations and added supplementary plots</w:t>
      </w:r>
      <w:r w:rsidR="005E2BBF" w:rsidRPr="004E2389">
        <w:rPr>
          <w:rFonts w:ascii="Arial" w:eastAsia="宋体" w:hAnsi="Arial" w:cs="Arial"/>
          <w:bCs/>
          <w:color w:val="0070C0"/>
          <w:kern w:val="0"/>
          <w:sz w:val="22"/>
        </w:rPr>
        <w:t xml:space="preserve"> </w:t>
      </w:r>
      <w:r w:rsidR="00B64751" w:rsidRPr="004E2389">
        <w:rPr>
          <w:rFonts w:ascii="Arial" w:eastAsia="宋体" w:hAnsi="Arial" w:cs="Arial"/>
          <w:bCs/>
          <w:color w:val="0070C0"/>
          <w:kern w:val="0"/>
          <w:sz w:val="22"/>
        </w:rPr>
        <w:t>to further enrich the data presentation where appropriate.</w:t>
      </w:r>
      <w:r w:rsidR="005E2BBF" w:rsidRPr="004E2389">
        <w:rPr>
          <w:rFonts w:ascii="Arial" w:eastAsia="宋体" w:hAnsi="Arial" w:cs="Arial"/>
          <w:bCs/>
          <w:color w:val="0070C0"/>
          <w:kern w:val="0"/>
          <w:sz w:val="22"/>
        </w:rPr>
        <w:t xml:space="preserve"> We completely agree that summary </w:t>
      </w:r>
      <w:proofErr w:type="spellStart"/>
      <w:r w:rsidR="005E2BBF" w:rsidRPr="004E2389">
        <w:rPr>
          <w:rFonts w:ascii="Arial" w:eastAsia="宋体" w:hAnsi="Arial" w:cs="Arial"/>
          <w:bCs/>
          <w:color w:val="0070C0"/>
          <w:kern w:val="0"/>
          <w:sz w:val="22"/>
        </w:rPr>
        <w:t>barplots</w:t>
      </w:r>
      <w:proofErr w:type="spellEnd"/>
      <w:r w:rsidR="005E2BBF" w:rsidRPr="004E2389">
        <w:rPr>
          <w:rFonts w:ascii="Arial" w:eastAsia="宋体" w:hAnsi="Arial" w:cs="Arial"/>
          <w:bCs/>
          <w:color w:val="0070C0"/>
          <w:kern w:val="0"/>
          <w:sz w:val="22"/>
        </w:rPr>
        <w:t xml:space="preserve"> offer a highly intuitive and quantitative way to assess positional importance across different tools. Regarding the ablation analysis, performing exhaustive in silico sequence ablation across all evaluating tools for the dataset is computationally prohibitive. However, to rigorously address your point, we have leveraged our structural thermodynamic data as a highly accurate form of biophysical ablation (i.e., computational alanine scanning using </w:t>
      </w:r>
      <w:proofErr w:type="spellStart"/>
      <w:r w:rsidR="005E2BBF" w:rsidRPr="004E2389">
        <w:rPr>
          <w:rFonts w:ascii="Arial" w:eastAsia="宋体" w:hAnsi="Arial" w:cs="Arial"/>
          <w:bCs/>
          <w:color w:val="0070C0"/>
          <w:kern w:val="0"/>
          <w:sz w:val="22"/>
        </w:rPr>
        <w:t>BAlaS</w:t>
      </w:r>
      <w:proofErr w:type="spellEnd"/>
      <w:r w:rsidR="005E2BBF" w:rsidRPr="004E2389">
        <w:rPr>
          <w:rFonts w:ascii="Arial" w:eastAsia="宋体" w:hAnsi="Arial" w:cs="Arial"/>
          <w:bCs/>
          <w:color w:val="0070C0"/>
          <w:kern w:val="0"/>
          <w:sz w:val="22"/>
        </w:rPr>
        <w:t xml:space="preserve">, which "ablates" side-chain interactions to measure the penalty). Following your specific recommendation, we have added new SHAP Summary </w:t>
      </w:r>
      <w:proofErr w:type="spellStart"/>
      <w:r w:rsidR="005E2BBF" w:rsidRPr="004E2389">
        <w:rPr>
          <w:rFonts w:ascii="Arial" w:eastAsia="宋体" w:hAnsi="Arial" w:cs="Arial"/>
          <w:bCs/>
          <w:color w:val="0070C0"/>
          <w:kern w:val="0"/>
          <w:sz w:val="22"/>
        </w:rPr>
        <w:t>Barplots</w:t>
      </w:r>
      <w:proofErr w:type="spellEnd"/>
      <w:r w:rsidR="005E2BBF" w:rsidRPr="004E2389">
        <w:rPr>
          <w:rFonts w:ascii="Arial" w:eastAsia="宋体" w:hAnsi="Arial" w:cs="Arial"/>
          <w:bCs/>
          <w:color w:val="0070C0"/>
          <w:kern w:val="0"/>
          <w:sz w:val="22"/>
        </w:rPr>
        <w:t xml:space="preserve"> (Figure X / Supplementary Figure X) for the </w:t>
      </w:r>
      <w:proofErr w:type="gramStart"/>
      <w:r w:rsidR="005E2BBF" w:rsidRPr="004E2389">
        <w:rPr>
          <w:rFonts w:ascii="Arial" w:eastAsia="宋体" w:hAnsi="Arial" w:cs="Arial"/>
          <w:bCs/>
          <w:color w:val="0070C0"/>
          <w:kern w:val="0"/>
          <w:sz w:val="22"/>
        </w:rPr>
        <w:t>three representative</w:t>
      </w:r>
      <w:proofErr w:type="gramEnd"/>
      <w:r w:rsidR="005E2BBF" w:rsidRPr="004E2389">
        <w:rPr>
          <w:rFonts w:ascii="Arial" w:eastAsia="宋体" w:hAnsi="Arial" w:cs="Arial"/>
          <w:bCs/>
          <w:color w:val="0070C0"/>
          <w:kern w:val="0"/>
          <w:sz w:val="22"/>
        </w:rPr>
        <w:t xml:space="preserve"> case-study peptides. Instead of solely relying on heatmaps, these new </w:t>
      </w:r>
      <w:proofErr w:type="spellStart"/>
      <w:r w:rsidR="005E2BBF" w:rsidRPr="004E2389">
        <w:rPr>
          <w:rFonts w:ascii="Arial" w:eastAsia="宋体" w:hAnsi="Arial" w:cs="Arial"/>
          <w:bCs/>
          <w:color w:val="0070C0"/>
          <w:kern w:val="0"/>
          <w:sz w:val="22"/>
        </w:rPr>
        <w:t>barplots</w:t>
      </w:r>
      <w:proofErr w:type="spellEnd"/>
      <w:r w:rsidR="005E2BBF" w:rsidRPr="004E2389">
        <w:rPr>
          <w:rFonts w:ascii="Arial" w:eastAsia="宋体" w:hAnsi="Arial" w:cs="Arial"/>
          <w:bCs/>
          <w:color w:val="0070C0"/>
          <w:kern w:val="0"/>
          <w:sz w:val="22"/>
        </w:rPr>
        <w:t xml:space="preserve"> explicitly aggregate the SHAP attribution scores from the top-performing models across positions P1–P9. The error bars represent the standard deviation across these models, illustrating the high consensus of the models' internal attention toward the classical anchor residues (e.g., P2 and P9). We believe this addition perfectly complements the heatmaps, providing the clear, quantitative summary of positional importance you requested.</w:t>
      </w:r>
    </w:p>
    <w:p w14:paraId="3EA5B94F" w14:textId="77777777" w:rsidR="00F72B0E" w:rsidRPr="004E2389" w:rsidRDefault="00F72B0E" w:rsidP="00F72B0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3DECB318" w14:textId="77777777" w:rsidR="00B64751" w:rsidRPr="004E2389" w:rsidRDefault="00B64751"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71C479D0" w14:textId="0A8225B1"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*Usability assessment: Since the abstract mentions "usability", include a brief table scoring setup time, documentation quality, and failure rates (install/runtime errors) for each tool.</w:t>
      </w:r>
    </w:p>
    <w:p w14:paraId="059AE666" w14:textId="5B786B4E" w:rsidR="006E55AA" w:rsidRPr="004E2389" w:rsidRDefault="006E55AA"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2882ACCD" w14:textId="3FFFAFAE" w:rsidR="006E55AA" w:rsidRPr="004E2389" w:rsidRDefault="006E55AA"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lastRenderedPageBreak/>
        <w:t>We completely agree that a structured usability assessment provides immense practical value to the research community. To address this, we have fully integrated these metrics into our newly constructed 'traffic-light' usability matrix (</w:t>
      </w:r>
      <w:r w:rsidRPr="004E2389">
        <w:rPr>
          <w:rFonts w:ascii="Arial" w:eastAsia="宋体" w:hAnsi="Arial" w:cs="Arial"/>
          <w:b/>
          <w:bCs/>
          <w:color w:val="833C0B" w:themeColor="accent2" w:themeShade="80"/>
          <w:kern w:val="0"/>
          <w:sz w:val="22"/>
        </w:rPr>
        <w:t>Supplementary Table S2</w:t>
      </w:r>
      <w:r w:rsidRPr="004E2389">
        <w:rPr>
          <w:rFonts w:ascii="Arial" w:eastAsia="宋体" w:hAnsi="Arial" w:cs="Arial"/>
          <w:color w:val="833C0B" w:themeColor="accent2" w:themeShade="80"/>
          <w:kern w:val="0"/>
          <w:sz w:val="22"/>
        </w:rPr>
        <w:t>). As requested, this comprehensive table explicitly evaluates and scores the setup time, documentation quality, and any installation or runtime failure rates encountered during large-scale data processing for each evaluated tool.</w:t>
      </w:r>
    </w:p>
    <w:p w14:paraId="6109636C" w14:textId="77777777" w:rsidR="006E55AA" w:rsidRPr="004E2389" w:rsidRDefault="006E55AA"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599DB57E" w14:textId="114FE5C9" w:rsidR="004021C9" w:rsidRPr="004E2389" w:rsidRDefault="009A1D69"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color w:val="0070C0"/>
          <w:kern w:val="0"/>
          <w:sz w:val="22"/>
        </w:rPr>
        <w:t xml:space="preserve">PREVIOUS </w:t>
      </w:r>
      <w:r w:rsidR="00B64751" w:rsidRPr="004E2389">
        <w:rPr>
          <w:rFonts w:ascii="Arial" w:eastAsia="宋体" w:hAnsi="Arial" w:cs="Arial"/>
          <w:b/>
          <w:color w:val="0070C0"/>
          <w:kern w:val="0"/>
          <w:sz w:val="22"/>
        </w:rPr>
        <w:t>RESPONSE:</w:t>
      </w:r>
      <w:r w:rsidR="00B64751" w:rsidRPr="004E2389">
        <w:rPr>
          <w:rFonts w:ascii="Arial" w:eastAsia="宋体" w:hAnsi="Arial" w:cs="Arial"/>
          <w:bCs/>
          <w:color w:val="0070C0"/>
          <w:kern w:val="0"/>
          <w:sz w:val="22"/>
        </w:rPr>
        <w:t xml:space="preserve"> We agree that a structured usability assessment greatly benefits the community. This information has now been integrated into the aforementioned "traffic-light" table (Table X), which includes scores and specific notes on setup time, documentation quality, and any encountered installation/runtime issues for each evaluated tool.</w:t>
      </w:r>
    </w:p>
    <w:p w14:paraId="76C2E503" w14:textId="77777777" w:rsidR="00F72B0E" w:rsidRPr="004E2389" w:rsidRDefault="00F72B0E" w:rsidP="00F72B0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04F7B8ED" w14:textId="77777777" w:rsidR="00B64751" w:rsidRPr="004E2389" w:rsidRDefault="00B64751"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p>
    <w:p w14:paraId="5EBFFCD9" w14:textId="1B338AE0"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*Reproducibility &amp; Availability: Mirror the dataset on an additional stable host (</w:t>
      </w:r>
      <w:proofErr w:type="spellStart"/>
      <w:r w:rsidRPr="004E2389">
        <w:rPr>
          <w:rFonts w:ascii="Arial" w:eastAsia="宋体" w:hAnsi="Arial" w:cs="Arial"/>
          <w:b/>
          <w:bCs/>
          <w:color w:val="000000"/>
          <w:kern w:val="0"/>
          <w:sz w:val="22"/>
        </w:rPr>
        <w:t>Zenodo</w:t>
      </w:r>
      <w:proofErr w:type="spellEnd"/>
      <w:r w:rsidRPr="004E2389">
        <w:rPr>
          <w:rFonts w:ascii="Arial" w:eastAsia="宋体" w:hAnsi="Arial" w:cs="Arial"/>
          <w:b/>
          <w:bCs/>
          <w:color w:val="000000"/>
          <w:kern w:val="0"/>
          <w:sz w:val="22"/>
        </w:rPr>
        <w:t>/OSF) and include a versioned tag for the GitHub repo used for the final runs.</w:t>
      </w:r>
    </w:p>
    <w:p w14:paraId="08F66185" w14:textId="5D7EEB15" w:rsidR="00F72B0E" w:rsidRPr="004E2389" w:rsidRDefault="00F72B0E"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0BFE30A8" w14:textId="245A7FCD" w:rsidR="00F72B0E" w:rsidRPr="004E2389" w:rsidRDefault="00F72B0E"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We fully agree with the necessity of long-term reproducibility. The complete dataset—encompassing the raw, intermediate, and finalized benchmark sets—has now been permanently mirrored and assigned a DOI on</w:t>
      </w:r>
      <w:r w:rsidRPr="004E2389">
        <w:rPr>
          <w:rFonts w:ascii="Arial" w:eastAsia="宋体" w:hAnsi="Arial" w:cs="Arial"/>
          <w:b/>
          <w:bCs/>
          <w:color w:val="833C0B" w:themeColor="accent2" w:themeShade="80"/>
          <w:kern w:val="0"/>
          <w:sz w:val="22"/>
        </w:rPr>
        <w:t xml:space="preserve"> </w:t>
      </w:r>
      <w:proofErr w:type="spellStart"/>
      <w:r w:rsidRPr="004E2389">
        <w:rPr>
          <w:rFonts w:ascii="Arial" w:eastAsia="宋体" w:hAnsi="Arial" w:cs="Arial"/>
          <w:b/>
          <w:bCs/>
          <w:color w:val="833C0B" w:themeColor="accent2" w:themeShade="80"/>
          <w:kern w:val="0"/>
          <w:sz w:val="22"/>
        </w:rPr>
        <w:t>Zenodo</w:t>
      </w:r>
      <w:proofErr w:type="spellEnd"/>
      <w:r w:rsidRPr="004E2389">
        <w:rPr>
          <w:rFonts w:ascii="Arial" w:eastAsia="宋体" w:hAnsi="Arial" w:cs="Arial"/>
          <w:b/>
          <w:bCs/>
          <w:color w:val="833C0B" w:themeColor="accent2" w:themeShade="80"/>
          <w:kern w:val="0"/>
          <w:sz w:val="22"/>
        </w:rPr>
        <w:t xml:space="preserve"> [Insert DOI/Link]</w:t>
      </w:r>
      <w:r w:rsidRPr="004E2389">
        <w:rPr>
          <w:rFonts w:ascii="Arial" w:eastAsia="宋体" w:hAnsi="Arial" w:cs="Arial"/>
          <w:color w:val="833C0B" w:themeColor="accent2" w:themeShade="80"/>
          <w:kern w:val="0"/>
          <w:sz w:val="22"/>
        </w:rPr>
        <w:t xml:space="preserve">. Furthermore, we have created a </w:t>
      </w:r>
      <w:r w:rsidRPr="004E2389">
        <w:rPr>
          <w:rFonts w:ascii="Arial" w:eastAsia="宋体" w:hAnsi="Arial" w:cs="Arial"/>
          <w:b/>
          <w:bCs/>
          <w:color w:val="833C0B" w:themeColor="accent2" w:themeShade="80"/>
          <w:kern w:val="0"/>
          <w:sz w:val="22"/>
        </w:rPr>
        <w:t>versioned release tag (v1.0) on our GitHub repository</w:t>
      </w:r>
      <w:r w:rsidRPr="004E2389">
        <w:rPr>
          <w:rFonts w:ascii="Arial" w:eastAsia="宋体" w:hAnsi="Arial" w:cs="Arial"/>
          <w:color w:val="833C0B" w:themeColor="accent2" w:themeShade="80"/>
          <w:kern w:val="0"/>
          <w:sz w:val="22"/>
        </w:rPr>
        <w:t xml:space="preserve"> that strictly corresponds to the final evaluation scripts and runs presented in this revised manuscript.</w:t>
      </w:r>
    </w:p>
    <w:p w14:paraId="7BC195E9" w14:textId="77777777" w:rsidR="00F72B0E" w:rsidRPr="004E2389" w:rsidRDefault="00F72B0E"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76C9C8B1" w14:textId="5DCFD652" w:rsidR="004021C9" w:rsidRPr="004E2389" w:rsidRDefault="009A1D69"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color w:val="0070C0"/>
          <w:kern w:val="0"/>
          <w:sz w:val="22"/>
        </w:rPr>
        <w:t xml:space="preserve">PREVIOUS </w:t>
      </w:r>
      <w:r w:rsidR="009C660B" w:rsidRPr="004E2389">
        <w:rPr>
          <w:rFonts w:ascii="Arial" w:eastAsia="宋体" w:hAnsi="Arial" w:cs="Arial"/>
          <w:b/>
          <w:color w:val="0070C0"/>
          <w:kern w:val="0"/>
          <w:sz w:val="22"/>
        </w:rPr>
        <w:t xml:space="preserve">RESPONSE: </w:t>
      </w:r>
      <w:r w:rsidR="009C660B" w:rsidRPr="004E2389">
        <w:rPr>
          <w:rFonts w:ascii="Arial" w:eastAsia="宋体" w:hAnsi="Arial" w:cs="Arial"/>
          <w:bCs/>
          <w:color w:val="0070C0"/>
          <w:kern w:val="0"/>
          <w:sz w:val="22"/>
        </w:rPr>
        <w:t xml:space="preserve">Done. The complete dataset, including the raw, intermediate, and finalized benchmark sets, has been mirrored on </w:t>
      </w:r>
      <w:proofErr w:type="spellStart"/>
      <w:r w:rsidR="009C660B" w:rsidRPr="004E2389">
        <w:rPr>
          <w:rFonts w:ascii="Arial" w:eastAsia="宋体" w:hAnsi="Arial" w:cs="Arial"/>
          <w:bCs/>
          <w:color w:val="0070C0"/>
          <w:kern w:val="0"/>
          <w:sz w:val="22"/>
        </w:rPr>
        <w:t>Zenodo</w:t>
      </w:r>
      <w:proofErr w:type="spellEnd"/>
      <w:r w:rsidR="009C660B" w:rsidRPr="004E2389">
        <w:rPr>
          <w:rFonts w:ascii="Arial" w:eastAsia="宋体" w:hAnsi="Arial" w:cs="Arial"/>
          <w:bCs/>
          <w:color w:val="0070C0"/>
          <w:kern w:val="0"/>
          <w:sz w:val="22"/>
        </w:rPr>
        <w:t xml:space="preserve"> [</w:t>
      </w:r>
      <w:r w:rsidR="009C660B" w:rsidRPr="004E2389">
        <w:rPr>
          <w:rFonts w:ascii="Arial" w:eastAsia="宋体" w:hAnsi="Arial" w:cs="Arial"/>
          <w:bCs/>
          <w:color w:val="EE0000"/>
          <w:kern w:val="0"/>
          <w:sz w:val="22"/>
        </w:rPr>
        <w:t>Insert DOI/Link</w:t>
      </w:r>
      <w:r w:rsidR="009C660B" w:rsidRPr="004E2389">
        <w:rPr>
          <w:rFonts w:ascii="Arial" w:eastAsia="宋体" w:hAnsi="Arial" w:cs="Arial"/>
          <w:bCs/>
          <w:color w:val="0070C0"/>
          <w:kern w:val="0"/>
          <w:sz w:val="22"/>
        </w:rPr>
        <w:t>]. Furthermore, we have created a versioned release tag (v1.0) on our GitHub repository that strictly corresponds to the final runs presented in this manuscript.</w:t>
      </w:r>
    </w:p>
    <w:p w14:paraId="2DD891B6" w14:textId="77777777" w:rsidR="00F72B0E" w:rsidRPr="004E2389" w:rsidRDefault="00F72B0E" w:rsidP="00F72B0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58ED4EAC" w14:textId="77777777" w:rsidR="009C660B" w:rsidRPr="004E2389" w:rsidRDefault="009C660B"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5B7E3C43" w14:textId="30EEEC55"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*Writing &amp; flow: Streamline the Introduction (avoid repeating high-level claims), and tighten Discussion to separate (</w:t>
      </w:r>
      <w:proofErr w:type="spellStart"/>
      <w:r w:rsidRPr="004E2389">
        <w:rPr>
          <w:rFonts w:ascii="Arial" w:eastAsia="宋体" w:hAnsi="Arial" w:cs="Arial"/>
          <w:b/>
          <w:bCs/>
          <w:color w:val="000000"/>
          <w:kern w:val="0"/>
          <w:sz w:val="22"/>
        </w:rPr>
        <w:t>i</w:t>
      </w:r>
      <w:proofErr w:type="spellEnd"/>
      <w:r w:rsidRPr="004E2389">
        <w:rPr>
          <w:rFonts w:ascii="Arial" w:eastAsia="宋体" w:hAnsi="Arial" w:cs="Arial"/>
          <w:b/>
          <w:bCs/>
          <w:color w:val="000000"/>
          <w:kern w:val="0"/>
          <w:sz w:val="22"/>
        </w:rPr>
        <w:t>) findings, (ii) limitations, and (iii) recommendations.</w:t>
      </w:r>
    </w:p>
    <w:p w14:paraId="5C7C5487" w14:textId="6C58463D" w:rsidR="005663A0" w:rsidRDefault="00932122"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lastRenderedPageBreak/>
        <w:t xml:space="preserve">NEW RESPONSE: </w:t>
      </w:r>
    </w:p>
    <w:p w14:paraId="048F9567" w14:textId="77777777" w:rsidR="00A74FF7" w:rsidRPr="00A74FF7" w:rsidRDefault="00A74FF7" w:rsidP="00A74FF7">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A74FF7">
        <w:rPr>
          <w:rFonts w:ascii="Arial" w:eastAsia="宋体" w:hAnsi="Arial" w:cs="Arial"/>
          <w:color w:val="833C0B" w:themeColor="accent2" w:themeShade="80"/>
          <w:kern w:val="0"/>
          <w:sz w:val="22"/>
        </w:rPr>
        <w:t>We appreciate the reviewer's valuable feedback regarding the manuscript's structure and flow. We have thoroughly revised the text to improve clarity and readability.</w:t>
      </w:r>
    </w:p>
    <w:p w14:paraId="13634A7E" w14:textId="77777777" w:rsidR="00A74FF7" w:rsidRPr="00A74FF7" w:rsidRDefault="00A74FF7" w:rsidP="00A74FF7">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A74FF7">
        <w:rPr>
          <w:rFonts w:ascii="Arial" w:eastAsia="宋体" w:hAnsi="Arial" w:cs="Arial"/>
          <w:color w:val="833C0B" w:themeColor="accent2" w:themeShade="80"/>
          <w:kern w:val="0"/>
          <w:sz w:val="22"/>
        </w:rPr>
        <w:t xml:space="preserve">First, we have streamlined the Introduction to remove repetitive high-level claims, ensuring a more focused and concise background presentation. Second, as specifically requested, we have completely reorganized the </w:t>
      </w:r>
      <w:r w:rsidRPr="00A74FF7">
        <w:rPr>
          <w:rFonts w:ascii="Arial" w:eastAsia="宋体" w:hAnsi="Arial" w:cs="Arial"/>
          <w:b/>
          <w:bCs/>
          <w:color w:val="833C0B" w:themeColor="accent2" w:themeShade="80"/>
          <w:kern w:val="0"/>
          <w:sz w:val="22"/>
        </w:rPr>
        <w:t>Discussion section</w:t>
      </w:r>
      <w:r w:rsidRPr="00A74FF7">
        <w:rPr>
          <w:rFonts w:ascii="Arial" w:eastAsia="宋体" w:hAnsi="Arial" w:cs="Arial"/>
          <w:color w:val="833C0B" w:themeColor="accent2" w:themeShade="80"/>
          <w:kern w:val="0"/>
          <w:sz w:val="22"/>
        </w:rPr>
        <w:t xml:space="preserve"> into three distinct and clearly labeled subsections: (</w:t>
      </w:r>
      <w:proofErr w:type="spellStart"/>
      <w:r w:rsidRPr="00A74FF7">
        <w:rPr>
          <w:rFonts w:ascii="Arial" w:eastAsia="宋体" w:hAnsi="Arial" w:cs="Arial"/>
          <w:color w:val="833C0B" w:themeColor="accent2" w:themeShade="80"/>
          <w:kern w:val="0"/>
          <w:sz w:val="22"/>
        </w:rPr>
        <w:t>i</w:t>
      </w:r>
      <w:proofErr w:type="spellEnd"/>
      <w:r w:rsidRPr="00A74FF7">
        <w:rPr>
          <w:rFonts w:ascii="Arial" w:eastAsia="宋体" w:hAnsi="Arial" w:cs="Arial"/>
          <w:color w:val="833C0B" w:themeColor="accent2" w:themeShade="80"/>
          <w:kern w:val="0"/>
          <w:sz w:val="22"/>
        </w:rPr>
        <w:t>) Principal Findings, (ii) Limitations of Current Predictors and Benchmarking, and (iii) Future Recommendations.</w:t>
      </w:r>
    </w:p>
    <w:p w14:paraId="632D6E7B" w14:textId="77777777" w:rsidR="00A74FF7" w:rsidRPr="00A74FF7" w:rsidRDefault="00A74FF7" w:rsidP="00A74FF7">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A74FF7">
        <w:rPr>
          <w:rFonts w:ascii="Arial" w:eastAsia="宋体" w:hAnsi="Arial" w:cs="Arial"/>
          <w:color w:val="833C0B" w:themeColor="accent2" w:themeShade="80"/>
          <w:kern w:val="0"/>
          <w:sz w:val="22"/>
        </w:rPr>
        <w:t>We believe these structural refinements have significantly enhanced the logical flow and overall quality of the manuscript. Please refer to the revised manuscript for these specific organizational improvements.</w:t>
      </w:r>
    </w:p>
    <w:p w14:paraId="30C5DF31" w14:textId="77777777" w:rsidR="00076467" w:rsidRPr="00A74FF7" w:rsidRDefault="00076467"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hint="eastAsia"/>
          <w:b/>
          <w:bCs/>
          <w:color w:val="833C0B" w:themeColor="accent2" w:themeShade="80"/>
          <w:kern w:val="0"/>
          <w:sz w:val="22"/>
        </w:rPr>
      </w:pPr>
    </w:p>
    <w:p w14:paraId="4F45DA31" w14:textId="77777777" w:rsidR="00932122" w:rsidRPr="004E2389" w:rsidRDefault="00932122" w:rsidP="0093212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6D96DA69" w14:textId="77777777" w:rsidR="00932122" w:rsidRPr="004E2389" w:rsidRDefault="00932122"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p>
    <w:p w14:paraId="7E399FE6" w14:textId="1AC6ECEF"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Specific Suggestions to Improve the XAI Section</w:t>
      </w:r>
      <w:r w:rsidRPr="004E2389">
        <w:rPr>
          <w:rFonts w:ascii="Arial" w:eastAsia="宋体" w:hAnsi="Arial" w:cs="Arial"/>
          <w:b/>
          <w:bCs/>
          <w:color w:val="000000"/>
          <w:kern w:val="0"/>
          <w:sz w:val="22"/>
        </w:rPr>
        <w:br/>
        <w:t>*Where LIME and SHAP disagree (e.g., P9 effects), quantify agreement (Kendall/Spearman across positions) and add peptide-level examples illustrating when each method fails.</w:t>
      </w:r>
    </w:p>
    <w:p w14:paraId="4E46213D" w14:textId="246ECAA1" w:rsidR="004D2A05" w:rsidRPr="004E2389" w:rsidRDefault="004D2A05" w:rsidP="004D2A0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558EA60B" w14:textId="20FABD8A" w:rsidR="004D2A05" w:rsidRPr="004D2A05" w:rsidRDefault="004D2A05" w:rsidP="004D2A0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D2A05">
        <w:rPr>
          <w:rFonts w:ascii="Arial" w:eastAsia="宋体" w:hAnsi="Arial" w:cs="Arial"/>
          <w:color w:val="833C0B" w:themeColor="accent2" w:themeShade="80"/>
          <w:kern w:val="0"/>
          <w:sz w:val="22"/>
        </w:rPr>
        <w:t xml:space="preserve">We completely agree with this valuable suggestion. To rigorously quantify the agreement between SHAP and LIME, we calculated the Spearman's rank correlation coefficient across positional attribution scores for all evaluated predictors. This global correlation analysis is now visualized in the newly added </w:t>
      </w:r>
      <w:r w:rsidRPr="004D2A05">
        <w:rPr>
          <w:rFonts w:ascii="Arial" w:eastAsia="宋体" w:hAnsi="Arial" w:cs="Arial"/>
          <w:b/>
          <w:bCs/>
          <w:color w:val="833C0B" w:themeColor="accent2" w:themeShade="80"/>
          <w:kern w:val="0"/>
          <w:sz w:val="22"/>
        </w:rPr>
        <w:t>Supplementary Figure S8A</w:t>
      </w:r>
      <w:r w:rsidRPr="004D2A05">
        <w:rPr>
          <w:rFonts w:ascii="Arial" w:eastAsia="宋体" w:hAnsi="Arial" w:cs="Arial"/>
          <w:color w:val="833C0B" w:themeColor="accent2" w:themeShade="80"/>
          <w:kern w:val="0"/>
          <w:sz w:val="22"/>
        </w:rPr>
        <w:t>.</w:t>
      </w:r>
    </w:p>
    <w:p w14:paraId="6D2D0E25" w14:textId="76A7F856" w:rsidR="004D2A05" w:rsidRPr="004E2389" w:rsidRDefault="004D2A05"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D2A05">
        <w:rPr>
          <w:rFonts w:ascii="Arial" w:eastAsia="宋体" w:hAnsi="Arial" w:cs="Arial"/>
          <w:color w:val="833C0B" w:themeColor="accent2" w:themeShade="80"/>
          <w:kern w:val="0"/>
          <w:sz w:val="22"/>
        </w:rPr>
        <w:t xml:space="preserve">Furthermore, to directly address the request for case studies on attribution divergence, we have highlighted eight specific peptide-level examples demonstrating the strongest disagreement (e.g., conflicting attributions at the P9 anchor position). These specific cases are plotted in </w:t>
      </w:r>
      <w:r w:rsidRPr="004D2A05">
        <w:rPr>
          <w:rFonts w:ascii="Arial" w:eastAsia="宋体" w:hAnsi="Arial" w:cs="Arial"/>
          <w:b/>
          <w:bCs/>
          <w:color w:val="833C0B" w:themeColor="accent2" w:themeShade="80"/>
          <w:kern w:val="0"/>
          <w:sz w:val="22"/>
        </w:rPr>
        <w:t>Supplementary Figure S8B</w:t>
      </w:r>
      <w:r w:rsidRPr="004D2A05">
        <w:rPr>
          <w:rFonts w:ascii="Arial" w:eastAsia="宋体" w:hAnsi="Arial" w:cs="Arial"/>
          <w:color w:val="833C0B" w:themeColor="accent2" w:themeShade="80"/>
          <w:kern w:val="0"/>
          <w:sz w:val="22"/>
        </w:rPr>
        <w:t>. We have also expanded our discussion in the Supplementary text to explore why these methodologies (perturbation-based LIME versus game-theoretic SHAP) occasionally diverge, thereby providing a more transparent view of XAI limitations.</w:t>
      </w:r>
    </w:p>
    <w:p w14:paraId="1B463637" w14:textId="77777777" w:rsidR="004D2A05" w:rsidRPr="004E2389" w:rsidRDefault="004D2A05"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42A61146" w14:textId="1F6F72DC" w:rsidR="004021C9" w:rsidRPr="004E2389" w:rsidRDefault="009A7EEE"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color w:val="0070C0"/>
          <w:kern w:val="0"/>
          <w:sz w:val="22"/>
        </w:rPr>
        <w:t xml:space="preserve">PREVIOUS </w:t>
      </w:r>
      <w:r w:rsidR="005663A0" w:rsidRPr="004E2389">
        <w:rPr>
          <w:rFonts w:ascii="Arial" w:eastAsia="宋体" w:hAnsi="Arial" w:cs="Arial"/>
          <w:b/>
          <w:color w:val="0070C0"/>
          <w:kern w:val="0"/>
          <w:sz w:val="22"/>
        </w:rPr>
        <w:t xml:space="preserve">RESPONSE: </w:t>
      </w:r>
      <w:r w:rsidR="005663A0" w:rsidRPr="004E2389">
        <w:rPr>
          <w:rFonts w:ascii="Arial" w:eastAsia="宋体" w:hAnsi="Arial" w:cs="Arial"/>
          <w:bCs/>
          <w:color w:val="0070C0"/>
          <w:kern w:val="0"/>
          <w:sz w:val="22"/>
        </w:rPr>
        <w:t>This is a valuable suggestion. We have added a new subsection in the Supplementary Material detailing instances where LIME and SHAP attributions diverge. We have included specific peptide-level case studies (Supplementary Figure X) illustrating these discrepancies and discussed potential reasons for these failures or disagreements based on the underlying mechanisms of the respective XAI algorithms.</w:t>
      </w:r>
    </w:p>
    <w:p w14:paraId="7EE37993" w14:textId="77777777" w:rsidR="00DC26B7" w:rsidRPr="004E2389" w:rsidRDefault="00DC26B7" w:rsidP="00DC26B7">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7E6FD9A3" w14:textId="77777777" w:rsidR="005663A0" w:rsidRPr="004E2389" w:rsidRDefault="005663A0"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48E6F0B7" w14:textId="49427C8A" w:rsidR="004021C9"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*Report attribution stability across random seeds and model initializations. Provide code to reproduce attribution plots from raw predictions.</w:t>
      </w:r>
    </w:p>
    <w:p w14:paraId="0E40519A" w14:textId="29043D15" w:rsidR="00D3515F" w:rsidRPr="004E2389" w:rsidRDefault="00D3515F" w:rsidP="00D3515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6CEB660B" w14:textId="3D57153E" w:rsidR="00D3515F" w:rsidRPr="00D3515F" w:rsidRDefault="00D3515F" w:rsidP="00D3515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D3515F">
        <w:rPr>
          <w:rFonts w:ascii="Arial" w:eastAsia="宋体" w:hAnsi="Arial" w:cs="Arial"/>
          <w:color w:val="833C0B" w:themeColor="accent2" w:themeShade="80"/>
          <w:kern w:val="0"/>
          <w:sz w:val="22"/>
        </w:rPr>
        <w:t xml:space="preserve">We appreciate this rigorous suggestion. As requested, the complete codebase utilized for our SHAP and LIME analyses—which builds upon the framework developed by </w:t>
      </w:r>
      <w:proofErr w:type="spellStart"/>
      <w:r w:rsidRPr="00D3515F">
        <w:rPr>
          <w:rFonts w:ascii="Arial" w:eastAsia="宋体" w:hAnsi="Arial" w:cs="Arial"/>
          <w:color w:val="833C0B" w:themeColor="accent2" w:themeShade="80"/>
          <w:kern w:val="0"/>
          <w:sz w:val="22"/>
        </w:rPr>
        <w:t>Borole</w:t>
      </w:r>
      <w:proofErr w:type="spellEnd"/>
      <w:r w:rsidRPr="00D3515F">
        <w:rPr>
          <w:rFonts w:ascii="Arial" w:eastAsia="宋体" w:hAnsi="Arial" w:cs="Arial"/>
          <w:color w:val="833C0B" w:themeColor="accent2" w:themeShade="80"/>
          <w:kern w:val="0"/>
          <w:sz w:val="22"/>
        </w:rPr>
        <w:t xml:space="preserve"> et al. (2024)—has been made fully publicly available to ensure the reproducibility of our attribution plots.</w:t>
      </w:r>
      <w:r w:rsidRPr="004E2389">
        <w:rPr>
          <w:rFonts w:ascii="Arial" w:eastAsia="宋体" w:hAnsi="Arial" w:cs="Arial"/>
          <w:color w:val="833C0B" w:themeColor="accent2" w:themeShade="80"/>
          <w:kern w:val="0"/>
          <w:sz w:val="22"/>
        </w:rPr>
        <w:t xml:space="preserve"> </w:t>
      </w:r>
      <w:r w:rsidRPr="00D3515F">
        <w:rPr>
          <w:rFonts w:ascii="Arial" w:eastAsia="宋体" w:hAnsi="Arial" w:cs="Arial"/>
          <w:color w:val="833C0B" w:themeColor="accent2" w:themeShade="80"/>
          <w:kern w:val="0"/>
          <w:sz w:val="22"/>
        </w:rPr>
        <w:t xml:space="preserve">Regarding the evaluation of attribution stability across random seeds and model initializations, we respectfully note a fundamental technical constraint. Executing these perturbation- and game-theory-based XAI algorithms across eight structurally distinct, pre-trained deep-learning architectures is exceptionally resource-intensive. Computing the baseline SHAP and LIME values for the </w:t>
      </w:r>
      <w:proofErr w:type="gramStart"/>
      <w:r w:rsidRPr="00D3515F">
        <w:rPr>
          <w:rFonts w:ascii="Arial" w:eastAsia="宋体" w:hAnsi="Arial" w:cs="Arial"/>
          <w:color w:val="833C0B" w:themeColor="accent2" w:themeShade="80"/>
          <w:kern w:val="0"/>
          <w:sz w:val="22"/>
        </w:rPr>
        <w:t>300 representative</w:t>
      </w:r>
      <w:proofErr w:type="gramEnd"/>
      <w:r w:rsidRPr="00D3515F">
        <w:rPr>
          <w:rFonts w:ascii="Arial" w:eastAsia="宋体" w:hAnsi="Arial" w:cs="Arial"/>
          <w:color w:val="833C0B" w:themeColor="accent2" w:themeShade="80"/>
          <w:kern w:val="0"/>
          <w:sz w:val="22"/>
        </w:rPr>
        <w:t xml:space="preserve"> peptide-MHC complexes alone required immense computational cluster resources. Furthermore, because we are benchmarking heterogeneous, independent tools, the core XAI implementation lacks a universal mechanism to enforce a global random seed or dynamically control internal model initializations across the entire pipeline.</w:t>
      </w:r>
      <w:r w:rsidRPr="004E2389">
        <w:rPr>
          <w:rFonts w:ascii="Arial" w:eastAsia="宋体" w:hAnsi="Arial" w:cs="Arial"/>
          <w:color w:val="833C0B" w:themeColor="accent2" w:themeShade="80"/>
          <w:kern w:val="0"/>
          <w:sz w:val="22"/>
        </w:rPr>
        <w:t xml:space="preserve"> </w:t>
      </w:r>
      <w:r w:rsidRPr="00D3515F">
        <w:rPr>
          <w:rFonts w:ascii="Arial" w:eastAsia="宋体" w:hAnsi="Arial" w:cs="Arial"/>
          <w:color w:val="833C0B" w:themeColor="accent2" w:themeShade="80"/>
          <w:kern w:val="0"/>
          <w:sz w:val="22"/>
        </w:rPr>
        <w:t xml:space="preserve">Consequently, recalculating this massive attribution matrix across multiple random initializations is computationally prohibitive and falls outside the current scope of this benchmark. However, to guarantee absolute transparency and facilitate the exact reproduction of our downstream analyses and visualizations, we have provided the precise, raw SHAP and LIME values for all 300 tested peptide-MHC pairs in </w:t>
      </w:r>
      <w:r w:rsidRPr="00D3515F">
        <w:rPr>
          <w:rFonts w:ascii="Arial" w:eastAsia="宋体" w:hAnsi="Arial" w:cs="Arial"/>
          <w:b/>
          <w:bCs/>
          <w:color w:val="833C0B" w:themeColor="accent2" w:themeShade="80"/>
          <w:kern w:val="0"/>
          <w:sz w:val="22"/>
        </w:rPr>
        <w:t>Supplementary Table S15</w:t>
      </w:r>
      <w:r w:rsidRPr="00D3515F">
        <w:rPr>
          <w:rFonts w:ascii="Arial" w:eastAsia="宋体" w:hAnsi="Arial" w:cs="Arial"/>
          <w:color w:val="833C0B" w:themeColor="accent2" w:themeShade="80"/>
          <w:kern w:val="0"/>
          <w:sz w:val="22"/>
        </w:rPr>
        <w:t>.</w:t>
      </w:r>
    </w:p>
    <w:p w14:paraId="1222A4E9" w14:textId="77777777" w:rsidR="00DC26B7" w:rsidRPr="004E2389" w:rsidRDefault="00DC26B7"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3D40A95D" w14:textId="2665EDC8" w:rsidR="005663A0" w:rsidRPr="004E2389" w:rsidRDefault="009A7EEE" w:rsidP="005663A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color w:val="0070C0"/>
          <w:kern w:val="0"/>
          <w:sz w:val="22"/>
        </w:rPr>
        <w:lastRenderedPageBreak/>
        <w:t xml:space="preserve">PREVIOUS </w:t>
      </w:r>
      <w:r w:rsidR="005663A0" w:rsidRPr="004E2389">
        <w:rPr>
          <w:rFonts w:ascii="Arial" w:eastAsia="宋体" w:hAnsi="Arial" w:cs="Arial"/>
          <w:b/>
          <w:color w:val="0070C0"/>
          <w:kern w:val="0"/>
          <w:sz w:val="22"/>
        </w:rPr>
        <w:t xml:space="preserve">RESPONSE: </w:t>
      </w:r>
      <w:r w:rsidR="005663A0" w:rsidRPr="004E2389">
        <w:rPr>
          <w:rFonts w:ascii="Arial" w:eastAsia="宋体" w:hAnsi="Arial" w:cs="Arial"/>
          <w:bCs/>
          <w:color w:val="0070C0"/>
          <w:kern w:val="0"/>
          <w:sz w:val="22"/>
        </w:rPr>
        <w:t xml:space="preserve">We have provided the complete code utilized for our SHAP and LIME analyses, which builds upon the framework developed by </w:t>
      </w:r>
      <w:proofErr w:type="spellStart"/>
      <w:r w:rsidR="005663A0" w:rsidRPr="004E2389">
        <w:rPr>
          <w:rFonts w:ascii="Arial" w:eastAsia="宋体" w:hAnsi="Arial" w:cs="Arial"/>
          <w:bCs/>
          <w:color w:val="0070C0"/>
          <w:kern w:val="0"/>
          <w:sz w:val="22"/>
        </w:rPr>
        <w:t>Borole</w:t>
      </w:r>
      <w:proofErr w:type="spellEnd"/>
      <w:r w:rsidR="005663A0" w:rsidRPr="004E2389">
        <w:rPr>
          <w:rFonts w:ascii="Arial" w:eastAsia="宋体" w:hAnsi="Arial" w:cs="Arial"/>
          <w:bCs/>
          <w:color w:val="0070C0"/>
          <w:kern w:val="0"/>
          <w:sz w:val="22"/>
        </w:rPr>
        <w:t xml:space="preserve"> et al. (2024). Regarding attribution stability across random seeds, we must respectfully clarify a technical limitation. The integration of these computationally heavy XAI methods across multiple different deep-learning architectures is exceptionally resource-intensive. Computing the SHAP/LIME values for the 300 selected peptide-MHC complexes required significant computational time and cluster resources.</w:t>
      </w:r>
    </w:p>
    <w:p w14:paraId="74AE2D0C" w14:textId="77777777" w:rsidR="005663A0" w:rsidRPr="004E2389" w:rsidRDefault="005663A0" w:rsidP="005663A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Furthermore, the core XAI implementation adapted for this multi-tool pipeline does not inherently support a global seed setting that traverses all evaluated predictive models uniformly. Due to these immense computational constraints, recalculating the entire matrix across multiple random initializations is currently unfeasible. However, to guarantee transparency and reproducibility of our downstream analysis, we have provided the raw SHAP and LIME values for all 300 tested peptide-MHC pairs in our repository.</w:t>
      </w:r>
    </w:p>
    <w:p w14:paraId="5FF2A179" w14:textId="77777777" w:rsidR="00BA573C" w:rsidRPr="004E2389" w:rsidRDefault="00BA573C" w:rsidP="00BA573C">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r w:rsidRPr="004E2389">
        <w:rPr>
          <w:rFonts w:ascii="Arial" w:eastAsia="宋体" w:hAnsi="Arial" w:cs="Arial"/>
          <w:color w:val="000000"/>
          <w:kern w:val="0"/>
          <w:sz w:val="22"/>
        </w:rPr>
        <w:t>#--------------------------------------------------------</w:t>
      </w:r>
    </w:p>
    <w:p w14:paraId="432747C1" w14:textId="77777777" w:rsidR="004021C9" w:rsidRPr="004E2389" w:rsidRDefault="004021C9"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717285F7" w14:textId="16B09459" w:rsidR="006D7532" w:rsidRPr="004E2389" w:rsidRDefault="00F2594F"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*Tie attributions to motif PWMs by measuring correlation between position-wise attributions and PWM information content.</w:t>
      </w:r>
    </w:p>
    <w:p w14:paraId="2EE55A20" w14:textId="28C8659B" w:rsidR="00F3193F" w:rsidRPr="004E2389" w:rsidRDefault="00F3193F" w:rsidP="00F3193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4657786B" w14:textId="6C7DBDC0" w:rsidR="00F3193F" w:rsidRPr="00F3193F" w:rsidRDefault="00F3193F" w:rsidP="00F3193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F3193F">
        <w:rPr>
          <w:rFonts w:ascii="Arial" w:eastAsia="宋体" w:hAnsi="Arial" w:cs="Arial"/>
          <w:color w:val="833C0B" w:themeColor="accent2" w:themeShade="80"/>
          <w:kern w:val="0"/>
          <w:sz w:val="22"/>
        </w:rPr>
        <w:t>We sincerely thank the reviewer for this excellent methodological insight. We completely agree that directly tying XAI attributions to established biological motifs provides a highly compelling validation of the models' internal logic.</w:t>
      </w:r>
    </w:p>
    <w:p w14:paraId="24B38487" w14:textId="77777777" w:rsidR="00F3193F" w:rsidRPr="00F3193F" w:rsidRDefault="00F3193F" w:rsidP="00F3193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F3193F">
        <w:rPr>
          <w:rFonts w:ascii="Arial" w:eastAsia="宋体" w:hAnsi="Arial" w:cs="Arial"/>
          <w:color w:val="833C0B" w:themeColor="accent2" w:themeShade="80"/>
          <w:kern w:val="0"/>
          <w:sz w:val="22"/>
        </w:rPr>
        <w:t xml:space="preserve">Following your specific suggestion, we calculated the Position Weight Matrix (PWM) information content (measured in bits) for naturally presented peptides across the evaluated alleles (detailed in </w:t>
      </w:r>
      <w:r w:rsidRPr="00F3193F">
        <w:rPr>
          <w:rFonts w:ascii="Arial" w:eastAsia="宋体" w:hAnsi="Arial" w:cs="Arial"/>
          <w:b/>
          <w:bCs/>
          <w:color w:val="833C0B" w:themeColor="accent2" w:themeShade="80"/>
          <w:kern w:val="0"/>
          <w:sz w:val="22"/>
        </w:rPr>
        <w:t>Supplementary Table S14</w:t>
      </w:r>
      <w:r w:rsidRPr="00F3193F">
        <w:rPr>
          <w:rFonts w:ascii="Arial" w:eastAsia="宋体" w:hAnsi="Arial" w:cs="Arial"/>
          <w:color w:val="833C0B" w:themeColor="accent2" w:themeShade="80"/>
          <w:kern w:val="0"/>
          <w:sz w:val="22"/>
        </w:rPr>
        <w:t>). We then systematically mapped the mean absolute attribution scores from both SHAP and LIME against this positional information content for the 300 tested peptide-MHC complexes.</w:t>
      </w:r>
    </w:p>
    <w:p w14:paraId="15EFF8DA" w14:textId="77777777" w:rsidR="00F3193F" w:rsidRPr="00F3193F" w:rsidRDefault="00F3193F" w:rsidP="00F3193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F3193F">
        <w:rPr>
          <w:rFonts w:ascii="Arial" w:eastAsia="宋体" w:hAnsi="Arial" w:cs="Arial"/>
          <w:color w:val="833C0B" w:themeColor="accent2" w:themeShade="80"/>
          <w:kern w:val="0"/>
          <w:sz w:val="22"/>
        </w:rPr>
        <w:t>As explicitly visualized in the newly added scatter plots (</w:t>
      </w:r>
      <w:r w:rsidRPr="00F3193F">
        <w:rPr>
          <w:rFonts w:ascii="Arial" w:eastAsia="宋体" w:hAnsi="Arial" w:cs="Arial"/>
          <w:b/>
          <w:bCs/>
          <w:color w:val="833C0B" w:themeColor="accent2" w:themeShade="80"/>
          <w:kern w:val="0"/>
          <w:sz w:val="22"/>
        </w:rPr>
        <w:t>Supplementary Figure S7</w:t>
      </w:r>
      <w:r w:rsidRPr="00F3193F">
        <w:rPr>
          <w:rFonts w:ascii="Arial" w:eastAsia="宋体" w:hAnsi="Arial" w:cs="Arial"/>
          <w:color w:val="833C0B" w:themeColor="accent2" w:themeShade="80"/>
          <w:kern w:val="0"/>
          <w:sz w:val="22"/>
        </w:rPr>
        <w:t xml:space="preserve">), we quantified this relationship using Spearman's rank correlation. The results demonstrate a clear, statistically robust positive correlation across the predictors. This elegant analysis confirms that the positions assigned the highest feature importance by the models (i.e., the classical </w:t>
      </w:r>
      <w:r w:rsidRPr="00F3193F">
        <w:rPr>
          <w:rFonts w:ascii="Arial" w:eastAsia="宋体" w:hAnsi="Arial" w:cs="Arial"/>
          <w:color w:val="833C0B" w:themeColor="accent2" w:themeShade="80"/>
          <w:kern w:val="0"/>
          <w:sz w:val="22"/>
        </w:rPr>
        <w:lastRenderedPageBreak/>
        <w:t>anchor residues) correspond directly to the positions with the highest information content in natural binding motifs, successfully bridging the models' 'black-box' attention with recognized biological reality.</w:t>
      </w:r>
    </w:p>
    <w:p w14:paraId="52F36779" w14:textId="77777777" w:rsidR="00BA573C" w:rsidRPr="004E2389" w:rsidRDefault="00BA573C" w:rsidP="00F86DF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298B3CAB" w14:textId="5BB8D28B" w:rsidR="005663A0" w:rsidRPr="004E2389" w:rsidRDefault="00E52ADF" w:rsidP="005663A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
          <w:color w:val="0070C0"/>
          <w:kern w:val="0"/>
          <w:sz w:val="22"/>
        </w:rPr>
        <w:t xml:space="preserve">PREVIOUS </w:t>
      </w:r>
      <w:r w:rsidR="005663A0" w:rsidRPr="004E2389">
        <w:rPr>
          <w:rFonts w:ascii="Arial" w:eastAsia="宋体" w:hAnsi="Arial" w:cs="Arial"/>
          <w:b/>
          <w:color w:val="0070C0"/>
          <w:kern w:val="0"/>
          <w:sz w:val="22"/>
        </w:rPr>
        <w:t xml:space="preserve">RESPONSE: </w:t>
      </w:r>
      <w:r w:rsidR="005663A0" w:rsidRPr="004E2389">
        <w:rPr>
          <w:rFonts w:ascii="Arial" w:eastAsia="宋体" w:hAnsi="Arial" w:cs="Arial"/>
          <w:bCs/>
          <w:color w:val="0070C0"/>
          <w:kern w:val="0"/>
          <w:sz w:val="22"/>
        </w:rPr>
        <w:t>This is an excellent methodological insight. We did, in fact, generate sequence motifs for the binding peptides of each evaluated MHC allele to identify the amino acid frequencies at each position. In the revised manuscript, we have leveraged the SHAP/LIME values from the 300 tested peptide-MHC complexes and mapped them directly against the Position Weight Matrices (PWMs) of their respective MHC motifs.</w:t>
      </w:r>
    </w:p>
    <w:p w14:paraId="5DA3310E" w14:textId="77777777" w:rsidR="005663A0" w:rsidRPr="004E2389" w:rsidRDefault="005663A0" w:rsidP="005663A0">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Cs/>
          <w:color w:val="0070C0"/>
          <w:kern w:val="0"/>
          <w:sz w:val="22"/>
        </w:rPr>
      </w:pPr>
      <w:r w:rsidRPr="004E2389">
        <w:rPr>
          <w:rFonts w:ascii="Arial" w:eastAsia="宋体" w:hAnsi="Arial" w:cs="Arial"/>
          <w:bCs/>
          <w:color w:val="0070C0"/>
          <w:kern w:val="0"/>
          <w:sz w:val="22"/>
        </w:rPr>
        <w:t>We added a new analysis (Figure X / Lines XX-XX) demonstrating the correspondence between the positions that models assign the highest XAI attribution weights and the positions with the highest information content in the natural motifs (e.g., classical anchor residues). This analysis elegantly ties the models' internal logic back to recognized biological patterns.</w:t>
      </w:r>
    </w:p>
    <w:p w14:paraId="3E819301" w14:textId="561BB592" w:rsidR="004021C9" w:rsidRPr="004E2389" w:rsidRDefault="00BA573C" w:rsidP="00B9217C">
      <w:pPr>
        <w:widowControl/>
        <w:jc w:val="left"/>
        <w:rPr>
          <w:rFonts w:ascii="Arial" w:eastAsia="宋体" w:hAnsi="Arial" w:cs="Arial"/>
          <w:b/>
          <w:bCs/>
          <w:color w:val="000000"/>
          <w:kern w:val="0"/>
          <w:sz w:val="22"/>
          <w:u w:val="single"/>
        </w:rPr>
      </w:pPr>
      <w:r w:rsidRPr="004E2389">
        <w:rPr>
          <w:rFonts w:ascii="Arial" w:eastAsia="宋体" w:hAnsi="Arial" w:cs="Arial"/>
          <w:b/>
          <w:bCs/>
          <w:color w:val="000000"/>
          <w:kern w:val="0"/>
          <w:sz w:val="22"/>
          <w:u w:val="single"/>
        </w:rPr>
        <w:br w:type="page"/>
      </w:r>
    </w:p>
    <w:p w14:paraId="2E96C62C" w14:textId="77777777" w:rsidR="004021C9" w:rsidRPr="004E2389" w:rsidRDefault="00F2594F" w:rsidP="000A7DB3">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Arial" w:eastAsia="宋体" w:hAnsi="Arial" w:cs="Arial"/>
          <w:b/>
          <w:bCs/>
          <w:color w:val="EE0000"/>
          <w:kern w:val="0"/>
          <w:sz w:val="22"/>
          <w:u w:val="single"/>
        </w:rPr>
      </w:pPr>
      <w:r w:rsidRPr="004E2389">
        <w:rPr>
          <w:rFonts w:ascii="Arial" w:eastAsia="宋体" w:hAnsi="Arial" w:cs="Arial"/>
          <w:b/>
          <w:bCs/>
          <w:color w:val="EE0000"/>
          <w:kern w:val="0"/>
          <w:sz w:val="22"/>
          <w:u w:val="single"/>
        </w:rPr>
        <w:lastRenderedPageBreak/>
        <w:t>Reviewer #2:</w:t>
      </w:r>
    </w:p>
    <w:p w14:paraId="3241C6FB" w14:textId="77777777" w:rsidR="004021C9" w:rsidRPr="004E2389"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 xml:space="preserve">1. In the Introduction section, the authors indicate that the peptides bound to HLA-I molecules are typically 8-12 amino acids in length. However, in the Results section, only peptides ranging from 8 to 11 </w:t>
      </w:r>
      <w:proofErr w:type="spellStart"/>
      <w:r w:rsidRPr="004E2389">
        <w:rPr>
          <w:rFonts w:ascii="Arial" w:eastAsia="宋体" w:hAnsi="Arial" w:cs="Arial"/>
          <w:b/>
          <w:bCs/>
          <w:color w:val="000000"/>
          <w:kern w:val="0"/>
          <w:sz w:val="22"/>
        </w:rPr>
        <w:t>mer</w:t>
      </w:r>
      <w:proofErr w:type="spellEnd"/>
      <w:r w:rsidRPr="004E2389">
        <w:rPr>
          <w:rFonts w:ascii="Arial" w:eastAsia="宋体" w:hAnsi="Arial" w:cs="Arial"/>
          <w:b/>
          <w:bCs/>
          <w:color w:val="000000"/>
          <w:kern w:val="0"/>
          <w:sz w:val="22"/>
        </w:rPr>
        <w:t xml:space="preserve"> are discussed. Please clarify the reason for excluding 12-mer peptides from the analysis?</w:t>
      </w:r>
    </w:p>
    <w:p w14:paraId="090452EC" w14:textId="67FAAC19" w:rsidR="00FC33F5" w:rsidRPr="004E2389" w:rsidRDefault="00FC33F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39A92BED" w14:textId="77777777" w:rsidR="00FC33F5" w:rsidRPr="00FC33F5" w:rsidRDefault="00FC33F5" w:rsidP="00FC33F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FC33F5">
        <w:rPr>
          <w:rFonts w:ascii="Arial" w:eastAsia="宋体" w:hAnsi="Arial" w:cs="Arial"/>
          <w:color w:val="833C0B" w:themeColor="accent2" w:themeShade="80"/>
          <w:kern w:val="0"/>
          <w:sz w:val="22"/>
        </w:rPr>
        <w:t xml:space="preserve">We sincerely thank the reviewer for pointing out this apparent discrepancy. The reviewer is absolutely correct that naturally presented HLA-I peptides can extend to 12 amino acids and beyond. However, we deliberately restricted our rigorous benchmarking analysis to 8–11 </w:t>
      </w:r>
      <w:proofErr w:type="spellStart"/>
      <w:r w:rsidRPr="00FC33F5">
        <w:rPr>
          <w:rFonts w:ascii="Arial" w:eastAsia="宋体" w:hAnsi="Arial" w:cs="Arial"/>
          <w:color w:val="833C0B" w:themeColor="accent2" w:themeShade="80"/>
          <w:kern w:val="0"/>
          <w:sz w:val="22"/>
        </w:rPr>
        <w:t>mer</w:t>
      </w:r>
      <w:proofErr w:type="spellEnd"/>
      <w:r w:rsidRPr="00FC33F5">
        <w:rPr>
          <w:rFonts w:ascii="Arial" w:eastAsia="宋体" w:hAnsi="Arial" w:cs="Arial"/>
          <w:color w:val="833C0B" w:themeColor="accent2" w:themeShade="80"/>
          <w:kern w:val="0"/>
          <w:sz w:val="22"/>
        </w:rPr>
        <w:t xml:space="preserve"> peptides for two critical practical and statistical reasons:</w:t>
      </w:r>
    </w:p>
    <w:p w14:paraId="2A06FF69" w14:textId="77777777" w:rsidR="00FC33F5" w:rsidRPr="00FC33F5" w:rsidRDefault="00FC33F5" w:rsidP="00FC33F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FC33F5">
        <w:rPr>
          <w:rFonts w:ascii="Arial" w:eastAsia="宋体" w:hAnsi="Arial" w:cs="Arial"/>
          <w:color w:val="833C0B" w:themeColor="accent2" w:themeShade="80"/>
          <w:kern w:val="0"/>
          <w:sz w:val="22"/>
        </w:rPr>
        <w:t xml:space="preserve">First, several key predictive algorithms evaluated in our study (such as ACME and </w:t>
      </w:r>
      <w:proofErr w:type="spellStart"/>
      <w:r w:rsidRPr="00FC33F5">
        <w:rPr>
          <w:rFonts w:ascii="Arial" w:eastAsia="宋体" w:hAnsi="Arial" w:cs="Arial"/>
          <w:color w:val="833C0B" w:themeColor="accent2" w:themeShade="80"/>
          <w:kern w:val="0"/>
          <w:sz w:val="22"/>
        </w:rPr>
        <w:t>DeepNetBim</w:t>
      </w:r>
      <w:proofErr w:type="spellEnd"/>
      <w:r w:rsidRPr="00FC33F5">
        <w:rPr>
          <w:rFonts w:ascii="Arial" w:eastAsia="宋体" w:hAnsi="Arial" w:cs="Arial"/>
          <w:color w:val="833C0B" w:themeColor="accent2" w:themeShade="80"/>
          <w:kern w:val="0"/>
          <w:sz w:val="22"/>
        </w:rPr>
        <w:t>) possess hardcoded architectural limitations and do not support predictions for 12-mer peptides. Including 12-mers would have disrupted the paired, uniform cross-tool comparison that is central to this benchmark.</w:t>
      </w:r>
    </w:p>
    <w:p w14:paraId="69813097" w14:textId="250A7959" w:rsidR="00FC33F5" w:rsidRPr="00FC33F5" w:rsidRDefault="00FC33F5" w:rsidP="00FC33F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FC33F5">
        <w:rPr>
          <w:rFonts w:ascii="Arial" w:eastAsia="宋体" w:hAnsi="Arial" w:cs="Arial"/>
          <w:color w:val="833C0B" w:themeColor="accent2" w:themeShade="80"/>
          <w:kern w:val="0"/>
          <w:sz w:val="22"/>
        </w:rPr>
        <w:t>Second, 12-mer peptides represent a negligible fraction (approximately 3%) of the overall curated positive dataset. As explicitly visualized in our length distribution analysis (</w:t>
      </w:r>
      <w:r w:rsidRPr="00FC33F5">
        <w:rPr>
          <w:rFonts w:ascii="Arial" w:eastAsia="宋体" w:hAnsi="Arial" w:cs="Arial"/>
          <w:b/>
          <w:bCs/>
          <w:color w:val="833C0B" w:themeColor="accent2" w:themeShade="80"/>
          <w:kern w:val="0"/>
          <w:sz w:val="22"/>
        </w:rPr>
        <w:t>Supplementary Figure S1A</w:t>
      </w:r>
      <w:r w:rsidRPr="00FC33F5">
        <w:rPr>
          <w:rFonts w:ascii="Arial" w:eastAsia="宋体" w:hAnsi="Arial" w:cs="Arial"/>
          <w:color w:val="833C0B" w:themeColor="accent2" w:themeShade="80"/>
          <w:kern w:val="0"/>
          <w:sz w:val="22"/>
        </w:rPr>
        <w:t xml:space="preserve"> and </w:t>
      </w:r>
      <w:r w:rsidRPr="00FC33F5">
        <w:rPr>
          <w:rFonts w:ascii="Arial" w:eastAsia="宋体" w:hAnsi="Arial" w:cs="Arial"/>
          <w:b/>
          <w:bCs/>
          <w:color w:val="833C0B" w:themeColor="accent2" w:themeShade="80"/>
          <w:kern w:val="0"/>
          <w:sz w:val="22"/>
        </w:rPr>
        <w:t>S1F</w:t>
      </w:r>
      <w:r w:rsidRPr="00FC33F5">
        <w:rPr>
          <w:rFonts w:ascii="Arial" w:eastAsia="宋体" w:hAnsi="Arial" w:cs="Arial"/>
          <w:color w:val="833C0B" w:themeColor="accent2" w:themeShade="80"/>
          <w:kern w:val="0"/>
          <w:sz w:val="22"/>
        </w:rPr>
        <w:t xml:space="preserve">), when stratifying 12-mers across the 44 evaluated HLA-I alleles, the vast majority of alleles failed to meet our strict minimum sample size threshold (20 positive peptides per allele) required for robust statistical evaluation. Therefore, to ensure a highly standardized and statistically powered benchmark, 12-mers were excluded from the final testing dataset. We have clarified this rationale in the </w:t>
      </w:r>
      <w:r w:rsidRPr="00FC33F5">
        <w:rPr>
          <w:rFonts w:ascii="Arial" w:eastAsia="宋体" w:hAnsi="Arial" w:cs="Arial"/>
          <w:b/>
          <w:bCs/>
          <w:color w:val="833C0B" w:themeColor="accent2" w:themeShade="80"/>
          <w:kern w:val="0"/>
          <w:sz w:val="22"/>
        </w:rPr>
        <w:t>revised Methods section</w:t>
      </w:r>
      <w:r w:rsidRPr="004E2389">
        <w:rPr>
          <w:rFonts w:ascii="Arial" w:eastAsia="宋体" w:hAnsi="Arial" w:cs="Arial"/>
          <w:color w:val="833C0B" w:themeColor="accent2" w:themeShade="80"/>
          <w:kern w:val="0"/>
          <w:sz w:val="22"/>
        </w:rPr>
        <w:t>.</w:t>
      </w:r>
    </w:p>
    <w:p w14:paraId="47411584" w14:textId="77777777" w:rsidR="00FC33F5" w:rsidRPr="004E2389" w:rsidRDefault="00FC33F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41DC4F23" w14:textId="65A0F730" w:rsidR="006C509E" w:rsidRPr="004E2389" w:rsidRDefault="00FC33F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color w:val="0070C0"/>
          <w:kern w:val="0"/>
          <w:sz w:val="22"/>
        </w:rPr>
        <w:t xml:space="preserve">PREVIOUSE </w:t>
      </w:r>
      <w:r w:rsidR="006C509E" w:rsidRPr="004E2389">
        <w:rPr>
          <w:rFonts w:ascii="Arial" w:eastAsia="宋体" w:hAnsi="Arial" w:cs="Arial"/>
          <w:b/>
          <w:color w:val="0070C0"/>
          <w:kern w:val="0"/>
          <w:sz w:val="22"/>
        </w:rPr>
        <w:t>RESPONSE:</w:t>
      </w:r>
      <w:r w:rsidR="006C509E" w:rsidRPr="004E2389">
        <w:rPr>
          <w:rFonts w:ascii="Arial" w:eastAsia="宋体" w:hAnsi="Arial" w:cs="Arial"/>
          <w:color w:val="0070C0"/>
          <w:kern w:val="0"/>
          <w:sz w:val="22"/>
        </w:rPr>
        <w:t xml:space="preserve"> We thank the reviewer for the valuable comment. Indeed, as the reviewer pointed out, our validation dataset excluded 12-mer peptides. The primary reason is that several key algorithms used in our benchmark (e.g., </w:t>
      </w:r>
      <w:r w:rsidR="009138C3" w:rsidRPr="004E2389">
        <w:rPr>
          <w:rFonts w:ascii="Arial" w:eastAsia="宋体" w:hAnsi="Arial" w:cs="Arial"/>
          <w:b/>
          <w:bCs/>
          <w:color w:val="0070C0"/>
          <w:kern w:val="0"/>
          <w:sz w:val="22"/>
        </w:rPr>
        <w:t>ACME</w:t>
      </w:r>
      <w:r w:rsidR="00CA56EB" w:rsidRPr="004E2389">
        <w:rPr>
          <w:rFonts w:ascii="Arial" w:eastAsia="宋体" w:hAnsi="Arial" w:cs="Arial"/>
          <w:b/>
          <w:bCs/>
          <w:color w:val="0070C0"/>
          <w:kern w:val="0"/>
          <w:sz w:val="22"/>
        </w:rPr>
        <w:t xml:space="preserve">, </w:t>
      </w:r>
      <w:proofErr w:type="spellStart"/>
      <w:r w:rsidR="00CA56EB" w:rsidRPr="004E2389">
        <w:rPr>
          <w:rFonts w:ascii="Arial" w:eastAsia="宋体" w:hAnsi="Arial" w:cs="Arial"/>
          <w:b/>
          <w:bCs/>
          <w:color w:val="0070C0"/>
          <w:kern w:val="0"/>
          <w:sz w:val="22"/>
        </w:rPr>
        <w:t>DeepNetBim</w:t>
      </w:r>
      <w:proofErr w:type="spellEnd"/>
      <w:r w:rsidR="006C509E" w:rsidRPr="004E2389">
        <w:rPr>
          <w:rFonts w:ascii="Arial" w:eastAsia="宋体" w:hAnsi="Arial" w:cs="Arial"/>
          <w:color w:val="0070C0"/>
          <w:kern w:val="0"/>
          <w:sz w:val="22"/>
        </w:rPr>
        <w:t xml:space="preserve">) do not support predictions for 12-mer peptides. Furthermore, in our positive dataset, 12-mer peptides constitute only </w:t>
      </w:r>
      <w:r w:rsidR="00120FF9" w:rsidRPr="004E2389">
        <w:rPr>
          <w:rFonts w:ascii="Arial" w:eastAsia="宋体" w:hAnsi="Arial" w:cs="Arial"/>
          <w:color w:val="0070C0"/>
          <w:kern w:val="0"/>
          <w:sz w:val="22"/>
        </w:rPr>
        <w:t>3</w:t>
      </w:r>
      <w:r w:rsidR="006C509E" w:rsidRPr="004E2389">
        <w:rPr>
          <w:rFonts w:ascii="Arial" w:eastAsia="宋体" w:hAnsi="Arial" w:cs="Arial"/>
          <w:color w:val="0070C0"/>
          <w:kern w:val="0"/>
          <w:sz w:val="22"/>
        </w:rPr>
        <w:t>%, a proportion too low to ensure robust statistical evaluation and reliable accuracy assessment. To maintain consistency and comparability across all methods in the analysis, we focused on peptides of 8-11 residues in length.</w:t>
      </w:r>
    </w:p>
    <w:p w14:paraId="42FB5162" w14:textId="1DDE2001" w:rsidR="00FC33F5" w:rsidRPr="004E2389" w:rsidRDefault="00FC33F5">
      <w:pPr>
        <w:widowControl/>
        <w:jc w:val="left"/>
        <w:rPr>
          <w:rFonts w:ascii="Arial" w:eastAsia="宋体" w:hAnsi="Arial" w:cs="Arial"/>
          <w:color w:val="0070C0"/>
          <w:kern w:val="0"/>
          <w:sz w:val="22"/>
        </w:rPr>
      </w:pPr>
      <w:r w:rsidRPr="004E2389">
        <w:rPr>
          <w:rFonts w:ascii="Arial" w:eastAsia="宋体" w:hAnsi="Arial" w:cs="Arial"/>
          <w:color w:val="0070C0"/>
          <w:kern w:val="0"/>
          <w:sz w:val="22"/>
        </w:rPr>
        <w:br w:type="page"/>
      </w:r>
    </w:p>
    <w:p w14:paraId="490DD913" w14:textId="606FFCFF" w:rsidR="004021C9" w:rsidRPr="004E2389"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kern w:val="0"/>
          <w:sz w:val="22"/>
        </w:rPr>
      </w:pPr>
      <w:r w:rsidRPr="004E2389">
        <w:rPr>
          <w:rFonts w:ascii="Arial" w:eastAsia="宋体" w:hAnsi="Arial" w:cs="Arial"/>
          <w:b/>
          <w:bCs/>
          <w:kern w:val="0"/>
          <w:sz w:val="22"/>
        </w:rPr>
        <w:lastRenderedPageBreak/>
        <w:t>2. In the benchmark validation, the authors employed only a 1:1 positive-to-negative sample ratio. However, as noted in the manuscript, in reality only about 1% and even fewer peptides are genuinely bound. It is therefore recommended that the authors incorporate performance evaluations under more realistic and challenging positive-to-negative ratios (e.g., 1:99 or even higher imbalances) and include the Positive Predictive Value (PPV) as an essential additional metric. Such an extension would significantly improve the practical relevance of the evaluation and provide a more rigorous assessment of the model's robustness and predictive accuracy under highly imbalanced data conditions resembling real-world applications.</w:t>
      </w:r>
    </w:p>
    <w:p w14:paraId="60A0C1DD" w14:textId="631C2A81" w:rsidR="00871011" w:rsidRPr="004E2389" w:rsidRDefault="00871011" w:rsidP="00871011">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7631D410" w14:textId="3733FDEA" w:rsidR="00871011" w:rsidRPr="00871011" w:rsidRDefault="00871011" w:rsidP="00871011">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871011">
        <w:rPr>
          <w:rFonts w:ascii="Arial" w:eastAsia="宋体" w:hAnsi="Arial" w:cs="Arial"/>
          <w:color w:val="833C0B" w:themeColor="accent2" w:themeShade="80"/>
          <w:kern w:val="0"/>
          <w:sz w:val="22"/>
        </w:rPr>
        <w:t>We sincerely thank the reviewer for this highly insightful and challenging suggestion. We completely agree that while a 1:1 ratio is the historical standard for benchmarking to ensure a balanced mathematical comparison, real-world biological prevalence is highly skewed.</w:t>
      </w:r>
    </w:p>
    <w:p w14:paraId="70A1722E" w14:textId="77777777" w:rsidR="00871011" w:rsidRPr="00871011" w:rsidRDefault="00871011" w:rsidP="00871011">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871011">
        <w:rPr>
          <w:rFonts w:ascii="Arial" w:eastAsia="宋体" w:hAnsi="Arial" w:cs="Arial"/>
          <w:color w:val="833C0B" w:themeColor="accent2" w:themeShade="80"/>
          <w:kern w:val="0"/>
          <w:sz w:val="22"/>
        </w:rPr>
        <w:t xml:space="preserve">To rigorously address this, we have massively expanded our evaluation. We evaluated the predictors across a spectrum of increasingly imbalanced positive-to-negative ratios: 1:1, 1:4, 1:9, and an extreme 1:99 scenario. Furthermore, as explicitly requested, we have incorporated Positive Predictive Value (PPV)—which is mathematically equivalent to Precision in our metrics—as an essential evaluation criterion. The detailed performance shifts, including the expected decline in AUPRC and PPV under severe imbalance, are now comprehensively visualized in </w:t>
      </w:r>
      <w:r w:rsidRPr="00871011">
        <w:rPr>
          <w:rFonts w:ascii="Arial" w:eastAsia="宋体" w:hAnsi="Arial" w:cs="Arial"/>
          <w:b/>
          <w:bCs/>
          <w:color w:val="833C0B" w:themeColor="accent2" w:themeShade="80"/>
          <w:kern w:val="0"/>
          <w:sz w:val="22"/>
        </w:rPr>
        <w:t>Figure 2B, 2D</w:t>
      </w:r>
      <w:r w:rsidRPr="00871011">
        <w:rPr>
          <w:rFonts w:ascii="Arial" w:eastAsia="宋体" w:hAnsi="Arial" w:cs="Arial"/>
          <w:color w:val="833C0B" w:themeColor="accent2" w:themeShade="80"/>
          <w:kern w:val="0"/>
          <w:sz w:val="22"/>
        </w:rPr>
        <w:t xml:space="preserve"> and </w:t>
      </w:r>
      <w:r w:rsidRPr="00871011">
        <w:rPr>
          <w:rFonts w:ascii="Arial" w:eastAsia="宋体" w:hAnsi="Arial" w:cs="Arial"/>
          <w:b/>
          <w:bCs/>
          <w:color w:val="833C0B" w:themeColor="accent2" w:themeShade="80"/>
          <w:kern w:val="0"/>
          <w:sz w:val="22"/>
        </w:rPr>
        <w:t>Supplementary Figure S4</w:t>
      </w:r>
      <w:r w:rsidRPr="00871011">
        <w:rPr>
          <w:rFonts w:ascii="Arial" w:eastAsia="宋体" w:hAnsi="Arial" w:cs="Arial"/>
          <w:color w:val="833C0B" w:themeColor="accent2" w:themeShade="80"/>
          <w:kern w:val="0"/>
          <w:sz w:val="22"/>
        </w:rPr>
        <w:t xml:space="preserve">, and fully tabulated in </w:t>
      </w:r>
      <w:r w:rsidRPr="00871011">
        <w:rPr>
          <w:rFonts w:ascii="Arial" w:eastAsia="宋体" w:hAnsi="Arial" w:cs="Arial"/>
          <w:b/>
          <w:bCs/>
          <w:color w:val="833C0B" w:themeColor="accent2" w:themeShade="80"/>
          <w:kern w:val="0"/>
          <w:sz w:val="22"/>
        </w:rPr>
        <w:t>Supplementary Tables S9 and S10</w:t>
      </w:r>
      <w:r w:rsidRPr="00871011">
        <w:rPr>
          <w:rFonts w:ascii="Arial" w:eastAsia="宋体" w:hAnsi="Arial" w:cs="Arial"/>
          <w:color w:val="833C0B" w:themeColor="accent2" w:themeShade="80"/>
          <w:kern w:val="0"/>
          <w:sz w:val="22"/>
        </w:rPr>
        <w:t>. Importantly, despite the drop in prevalence-dependent metrics, AUROC and the relative performance rankings of the predictors remained remarkably stable, confirming that the conclusions drawn from the primary benchmark are highly robust.</w:t>
      </w:r>
    </w:p>
    <w:p w14:paraId="7CA63F06" w14:textId="77777777" w:rsidR="00871011" w:rsidRPr="00871011" w:rsidRDefault="00871011" w:rsidP="00871011">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871011">
        <w:rPr>
          <w:rFonts w:ascii="Arial" w:eastAsia="宋体" w:hAnsi="Arial" w:cs="Arial"/>
          <w:color w:val="833C0B" w:themeColor="accent2" w:themeShade="80"/>
          <w:kern w:val="0"/>
          <w:sz w:val="22"/>
        </w:rPr>
        <w:t>We also wish to respectfully provide additional context regarding why we capped the extreme imbalance at 1:99, rather than pushing it further.</w:t>
      </w:r>
    </w:p>
    <w:p w14:paraId="10CCD42D" w14:textId="77777777" w:rsidR="00871011" w:rsidRPr="00871011" w:rsidRDefault="00871011" w:rsidP="00871011">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871011">
        <w:rPr>
          <w:rFonts w:ascii="Arial" w:eastAsia="宋体" w:hAnsi="Arial" w:cs="Arial"/>
          <w:color w:val="833C0B" w:themeColor="accent2" w:themeShade="80"/>
          <w:kern w:val="0"/>
          <w:sz w:val="22"/>
        </w:rPr>
        <w:t xml:space="preserve">First, while biological prevalence is exceptionally low, </w:t>
      </w:r>
      <w:r w:rsidRPr="00871011">
        <w:rPr>
          <w:rFonts w:ascii="Arial" w:eastAsia="宋体" w:hAnsi="Arial" w:cs="Arial"/>
          <w:b/>
          <w:bCs/>
          <w:color w:val="833C0B" w:themeColor="accent2" w:themeShade="80"/>
          <w:kern w:val="0"/>
          <w:sz w:val="22"/>
        </w:rPr>
        <w:t>the original training datasets for almost all evaluated predictors are not.</w:t>
      </w:r>
      <w:r w:rsidRPr="00871011">
        <w:rPr>
          <w:rFonts w:ascii="Arial" w:eastAsia="宋体" w:hAnsi="Arial" w:cs="Arial"/>
          <w:color w:val="833C0B" w:themeColor="accent2" w:themeShade="80"/>
          <w:kern w:val="0"/>
          <w:sz w:val="22"/>
        </w:rPr>
        <w:t xml:space="preserve"> We audited the training data compositions of the evaluated tools (summarized in the table below). With the exception of </w:t>
      </w:r>
      <w:proofErr w:type="spellStart"/>
      <w:r w:rsidRPr="00871011">
        <w:rPr>
          <w:rFonts w:ascii="Arial" w:eastAsia="宋体" w:hAnsi="Arial" w:cs="Arial"/>
          <w:color w:val="833C0B" w:themeColor="accent2" w:themeShade="80"/>
          <w:kern w:val="0"/>
          <w:sz w:val="22"/>
        </w:rPr>
        <w:t>BigMHC</w:t>
      </w:r>
      <w:proofErr w:type="spellEnd"/>
      <w:r w:rsidRPr="00871011">
        <w:rPr>
          <w:rFonts w:ascii="Arial" w:eastAsia="宋体" w:hAnsi="Arial" w:cs="Arial"/>
          <w:color w:val="833C0B" w:themeColor="accent2" w:themeShade="80"/>
          <w:kern w:val="0"/>
          <w:sz w:val="22"/>
        </w:rPr>
        <w:t xml:space="preserve">, the vast majority of models were natively trained on relatively balanced datasets (positive ratios ranging from ~0.35 to 1.0). Therefore, testing them on a 1:99 ratio already heavily penalizes </w:t>
      </w:r>
      <w:r w:rsidRPr="00871011">
        <w:rPr>
          <w:rFonts w:ascii="Arial" w:eastAsia="宋体" w:hAnsi="Arial" w:cs="Arial"/>
          <w:color w:val="833C0B" w:themeColor="accent2" w:themeShade="80"/>
          <w:kern w:val="0"/>
          <w:sz w:val="22"/>
        </w:rPr>
        <w:lastRenderedPageBreak/>
        <w:t>these models by exposing them to a distribution far outside their training priors. Pushing the imbalance further would not meaningfully alter the relative rankings, but rather uniformly degrade their precision scores.</w:t>
      </w:r>
    </w:p>
    <w:tbl>
      <w:tblPr>
        <w:tblStyle w:val="af8"/>
        <w:tblW w:w="5000" w:type="pct"/>
        <w:tblLook w:val="04A0" w:firstRow="1" w:lastRow="0" w:firstColumn="1" w:lastColumn="0" w:noHBand="0" w:noVBand="1"/>
      </w:tblPr>
      <w:tblGrid>
        <w:gridCol w:w="2636"/>
        <w:gridCol w:w="1467"/>
        <w:gridCol w:w="1707"/>
        <w:gridCol w:w="1791"/>
        <w:gridCol w:w="1415"/>
      </w:tblGrid>
      <w:tr w:rsidR="00871011" w:rsidRPr="004E2389" w14:paraId="77E8F58F" w14:textId="77777777" w:rsidTr="00871011">
        <w:trPr>
          <w:trHeight w:val="239"/>
        </w:trPr>
        <w:tc>
          <w:tcPr>
            <w:tcW w:w="1462" w:type="pct"/>
            <w:noWrap/>
            <w:hideMark/>
          </w:tcPr>
          <w:p w14:paraId="425C49A3"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Tool</w:t>
            </w:r>
          </w:p>
        </w:tc>
        <w:tc>
          <w:tcPr>
            <w:tcW w:w="814" w:type="pct"/>
            <w:noWrap/>
            <w:hideMark/>
          </w:tcPr>
          <w:p w14:paraId="6981C6A8"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Total_Samples</w:t>
            </w:r>
            <w:proofErr w:type="spellEnd"/>
          </w:p>
        </w:tc>
        <w:tc>
          <w:tcPr>
            <w:tcW w:w="947" w:type="pct"/>
            <w:noWrap/>
            <w:hideMark/>
          </w:tcPr>
          <w:p w14:paraId="32AF1012"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Positive_Samples</w:t>
            </w:r>
            <w:proofErr w:type="spellEnd"/>
          </w:p>
        </w:tc>
        <w:tc>
          <w:tcPr>
            <w:tcW w:w="993" w:type="pct"/>
            <w:noWrap/>
            <w:hideMark/>
          </w:tcPr>
          <w:p w14:paraId="010851BE"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Negative_Samples</w:t>
            </w:r>
            <w:proofErr w:type="spellEnd"/>
          </w:p>
        </w:tc>
        <w:tc>
          <w:tcPr>
            <w:tcW w:w="785" w:type="pct"/>
            <w:noWrap/>
            <w:hideMark/>
          </w:tcPr>
          <w:p w14:paraId="37349946"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Positive_Ratio</w:t>
            </w:r>
            <w:proofErr w:type="spellEnd"/>
          </w:p>
        </w:tc>
      </w:tr>
      <w:tr w:rsidR="00871011" w:rsidRPr="004E2389" w14:paraId="23BBE620" w14:textId="77777777" w:rsidTr="00871011">
        <w:trPr>
          <w:trHeight w:val="239"/>
        </w:trPr>
        <w:tc>
          <w:tcPr>
            <w:tcW w:w="1462" w:type="pct"/>
            <w:noWrap/>
            <w:hideMark/>
          </w:tcPr>
          <w:p w14:paraId="3F21602B"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ACME</w:t>
            </w:r>
          </w:p>
        </w:tc>
        <w:tc>
          <w:tcPr>
            <w:tcW w:w="814" w:type="pct"/>
            <w:noWrap/>
            <w:hideMark/>
          </w:tcPr>
          <w:p w14:paraId="7E7316C7"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185656</w:t>
            </w:r>
          </w:p>
        </w:tc>
        <w:tc>
          <w:tcPr>
            <w:tcW w:w="947" w:type="pct"/>
            <w:noWrap/>
            <w:hideMark/>
          </w:tcPr>
          <w:p w14:paraId="203DC33C"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76497</w:t>
            </w:r>
          </w:p>
        </w:tc>
        <w:tc>
          <w:tcPr>
            <w:tcW w:w="993" w:type="pct"/>
            <w:noWrap/>
            <w:hideMark/>
          </w:tcPr>
          <w:p w14:paraId="7C77A0D9"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109159</w:t>
            </w:r>
          </w:p>
        </w:tc>
        <w:tc>
          <w:tcPr>
            <w:tcW w:w="785" w:type="pct"/>
            <w:noWrap/>
            <w:hideMark/>
          </w:tcPr>
          <w:p w14:paraId="14628CB0"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0.7008</w:t>
            </w:r>
          </w:p>
        </w:tc>
      </w:tr>
      <w:tr w:rsidR="00871011" w:rsidRPr="004E2389" w14:paraId="094B308B" w14:textId="77777777" w:rsidTr="00871011">
        <w:trPr>
          <w:trHeight w:val="239"/>
        </w:trPr>
        <w:tc>
          <w:tcPr>
            <w:tcW w:w="1462" w:type="pct"/>
            <w:noWrap/>
            <w:hideMark/>
          </w:tcPr>
          <w:p w14:paraId="7A781736"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CapsNet</w:t>
            </w:r>
            <w:proofErr w:type="spellEnd"/>
            <w:r w:rsidRPr="004E2389">
              <w:rPr>
                <w:rFonts w:ascii="Arial" w:eastAsia="宋体" w:hAnsi="Arial" w:cs="Arial"/>
                <w:color w:val="833C0B" w:themeColor="accent2" w:themeShade="80"/>
                <w:kern w:val="0"/>
                <w:sz w:val="22"/>
              </w:rPr>
              <w:t>-MHC</w:t>
            </w:r>
          </w:p>
        </w:tc>
        <w:tc>
          <w:tcPr>
            <w:tcW w:w="814" w:type="pct"/>
            <w:noWrap/>
            <w:hideMark/>
          </w:tcPr>
          <w:p w14:paraId="6C1F7EA8"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659694</w:t>
            </w:r>
          </w:p>
        </w:tc>
        <w:tc>
          <w:tcPr>
            <w:tcW w:w="947" w:type="pct"/>
            <w:noWrap/>
            <w:hideMark/>
          </w:tcPr>
          <w:p w14:paraId="0F4ADF9B"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190781</w:t>
            </w:r>
          </w:p>
        </w:tc>
        <w:tc>
          <w:tcPr>
            <w:tcW w:w="993" w:type="pct"/>
            <w:noWrap/>
            <w:hideMark/>
          </w:tcPr>
          <w:p w14:paraId="4670F86D"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468913</w:t>
            </w:r>
          </w:p>
        </w:tc>
        <w:tc>
          <w:tcPr>
            <w:tcW w:w="785" w:type="pct"/>
            <w:noWrap/>
            <w:hideMark/>
          </w:tcPr>
          <w:p w14:paraId="76F7537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0.4069</w:t>
            </w:r>
          </w:p>
        </w:tc>
      </w:tr>
      <w:tr w:rsidR="00871011" w:rsidRPr="004E2389" w14:paraId="10869D1F" w14:textId="77777777" w:rsidTr="00871011">
        <w:trPr>
          <w:trHeight w:val="239"/>
        </w:trPr>
        <w:tc>
          <w:tcPr>
            <w:tcW w:w="1462" w:type="pct"/>
            <w:noWrap/>
            <w:hideMark/>
          </w:tcPr>
          <w:p w14:paraId="2491EC49"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DeepAttentionPan</w:t>
            </w:r>
            <w:proofErr w:type="spellEnd"/>
          </w:p>
        </w:tc>
        <w:tc>
          <w:tcPr>
            <w:tcW w:w="814" w:type="pct"/>
            <w:noWrap/>
            <w:hideMark/>
          </w:tcPr>
          <w:p w14:paraId="0D22714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156844</w:t>
            </w:r>
          </w:p>
        </w:tc>
        <w:tc>
          <w:tcPr>
            <w:tcW w:w="947" w:type="pct"/>
            <w:noWrap/>
            <w:hideMark/>
          </w:tcPr>
          <w:p w14:paraId="7D618D6E"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40867</w:t>
            </w:r>
          </w:p>
        </w:tc>
        <w:tc>
          <w:tcPr>
            <w:tcW w:w="993" w:type="pct"/>
            <w:noWrap/>
            <w:hideMark/>
          </w:tcPr>
          <w:p w14:paraId="227BBBD6"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115977</w:t>
            </w:r>
          </w:p>
        </w:tc>
        <w:tc>
          <w:tcPr>
            <w:tcW w:w="785" w:type="pct"/>
            <w:noWrap/>
            <w:hideMark/>
          </w:tcPr>
          <w:p w14:paraId="7FE1B26B"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0.3524</w:t>
            </w:r>
          </w:p>
        </w:tc>
      </w:tr>
      <w:tr w:rsidR="00871011" w:rsidRPr="004E2389" w14:paraId="19658DBC" w14:textId="77777777" w:rsidTr="00871011">
        <w:trPr>
          <w:trHeight w:val="239"/>
        </w:trPr>
        <w:tc>
          <w:tcPr>
            <w:tcW w:w="1462" w:type="pct"/>
            <w:noWrap/>
            <w:hideMark/>
          </w:tcPr>
          <w:p w14:paraId="1746779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DeepHLApan</w:t>
            </w:r>
            <w:proofErr w:type="spellEnd"/>
          </w:p>
        </w:tc>
        <w:tc>
          <w:tcPr>
            <w:tcW w:w="814" w:type="pct"/>
            <w:noWrap/>
            <w:hideMark/>
          </w:tcPr>
          <w:p w14:paraId="0567BB93"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475214</w:t>
            </w:r>
          </w:p>
        </w:tc>
        <w:tc>
          <w:tcPr>
            <w:tcW w:w="947" w:type="pct"/>
            <w:noWrap/>
            <w:hideMark/>
          </w:tcPr>
          <w:p w14:paraId="77939B57"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239450</w:t>
            </w:r>
          </w:p>
        </w:tc>
        <w:tc>
          <w:tcPr>
            <w:tcW w:w="993" w:type="pct"/>
            <w:noWrap/>
            <w:hideMark/>
          </w:tcPr>
          <w:p w14:paraId="74BB477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235764</w:t>
            </w:r>
          </w:p>
        </w:tc>
        <w:tc>
          <w:tcPr>
            <w:tcW w:w="785" w:type="pct"/>
            <w:noWrap/>
            <w:hideMark/>
          </w:tcPr>
          <w:p w14:paraId="4FB2CCB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1.0156</w:t>
            </w:r>
          </w:p>
        </w:tc>
      </w:tr>
      <w:tr w:rsidR="00871011" w:rsidRPr="004E2389" w14:paraId="5B04AB76" w14:textId="77777777" w:rsidTr="00871011">
        <w:trPr>
          <w:trHeight w:val="239"/>
        </w:trPr>
        <w:tc>
          <w:tcPr>
            <w:tcW w:w="1462" w:type="pct"/>
            <w:noWrap/>
            <w:hideMark/>
          </w:tcPr>
          <w:p w14:paraId="67FB30AC"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DeepNetBim</w:t>
            </w:r>
            <w:proofErr w:type="spellEnd"/>
          </w:p>
        </w:tc>
        <w:tc>
          <w:tcPr>
            <w:tcW w:w="814" w:type="pct"/>
            <w:noWrap/>
            <w:hideMark/>
          </w:tcPr>
          <w:p w14:paraId="2A872C59"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89475</w:t>
            </w:r>
          </w:p>
        </w:tc>
        <w:tc>
          <w:tcPr>
            <w:tcW w:w="947" w:type="pct"/>
            <w:noWrap/>
            <w:hideMark/>
          </w:tcPr>
          <w:p w14:paraId="1EBD2175"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34725</w:t>
            </w:r>
          </w:p>
        </w:tc>
        <w:tc>
          <w:tcPr>
            <w:tcW w:w="993" w:type="pct"/>
            <w:noWrap/>
            <w:hideMark/>
          </w:tcPr>
          <w:p w14:paraId="58B95826"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54750</w:t>
            </w:r>
          </w:p>
        </w:tc>
        <w:tc>
          <w:tcPr>
            <w:tcW w:w="785" w:type="pct"/>
            <w:noWrap/>
            <w:hideMark/>
          </w:tcPr>
          <w:p w14:paraId="5977910E"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0.6342</w:t>
            </w:r>
          </w:p>
        </w:tc>
      </w:tr>
      <w:tr w:rsidR="00871011" w:rsidRPr="004E2389" w14:paraId="2A60A21C" w14:textId="77777777" w:rsidTr="00871011">
        <w:trPr>
          <w:trHeight w:val="239"/>
        </w:trPr>
        <w:tc>
          <w:tcPr>
            <w:tcW w:w="1462" w:type="pct"/>
            <w:noWrap/>
            <w:hideMark/>
          </w:tcPr>
          <w:p w14:paraId="5D32C4DA"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MHCI_mhcibinding20130222</w:t>
            </w:r>
          </w:p>
        </w:tc>
        <w:tc>
          <w:tcPr>
            <w:tcW w:w="814" w:type="pct"/>
            <w:noWrap/>
            <w:hideMark/>
          </w:tcPr>
          <w:p w14:paraId="7FB6CA1D"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191009</w:t>
            </w:r>
          </w:p>
        </w:tc>
        <w:tc>
          <w:tcPr>
            <w:tcW w:w="947" w:type="pct"/>
            <w:noWrap/>
            <w:hideMark/>
          </w:tcPr>
          <w:p w14:paraId="2274C275"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51808</w:t>
            </w:r>
          </w:p>
        </w:tc>
        <w:tc>
          <w:tcPr>
            <w:tcW w:w="993" w:type="pct"/>
            <w:noWrap/>
            <w:hideMark/>
          </w:tcPr>
          <w:p w14:paraId="7454C929"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139201</w:t>
            </w:r>
          </w:p>
        </w:tc>
        <w:tc>
          <w:tcPr>
            <w:tcW w:w="785" w:type="pct"/>
            <w:noWrap/>
            <w:hideMark/>
          </w:tcPr>
          <w:p w14:paraId="73B60EB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0.3722</w:t>
            </w:r>
          </w:p>
        </w:tc>
      </w:tr>
      <w:tr w:rsidR="00871011" w:rsidRPr="004E2389" w14:paraId="43DBF8A1" w14:textId="77777777" w:rsidTr="00871011">
        <w:trPr>
          <w:trHeight w:val="239"/>
        </w:trPr>
        <w:tc>
          <w:tcPr>
            <w:tcW w:w="1462" w:type="pct"/>
            <w:noWrap/>
            <w:hideMark/>
          </w:tcPr>
          <w:p w14:paraId="5837D53A"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MHCflurry</w:t>
            </w:r>
            <w:proofErr w:type="spellEnd"/>
            <w:r w:rsidRPr="004E2389">
              <w:rPr>
                <w:rFonts w:ascii="Arial" w:eastAsia="宋体" w:hAnsi="Arial" w:cs="Arial"/>
                <w:color w:val="833C0B" w:themeColor="accent2" w:themeShade="80"/>
                <w:kern w:val="0"/>
                <w:sz w:val="22"/>
              </w:rPr>
              <w:t xml:space="preserve"> 2.0</w:t>
            </w:r>
          </w:p>
        </w:tc>
        <w:tc>
          <w:tcPr>
            <w:tcW w:w="814" w:type="pct"/>
            <w:noWrap/>
            <w:hideMark/>
          </w:tcPr>
          <w:p w14:paraId="70FBEFBA"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1194516</w:t>
            </w:r>
          </w:p>
        </w:tc>
        <w:tc>
          <w:tcPr>
            <w:tcW w:w="947" w:type="pct"/>
            <w:noWrap/>
            <w:hideMark/>
          </w:tcPr>
          <w:p w14:paraId="0C28B4B9"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450572</w:t>
            </w:r>
          </w:p>
        </w:tc>
        <w:tc>
          <w:tcPr>
            <w:tcW w:w="993" w:type="pct"/>
            <w:noWrap/>
            <w:hideMark/>
          </w:tcPr>
          <w:p w14:paraId="10A9E451"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743944</w:t>
            </w:r>
          </w:p>
        </w:tc>
        <w:tc>
          <w:tcPr>
            <w:tcW w:w="785" w:type="pct"/>
            <w:noWrap/>
            <w:hideMark/>
          </w:tcPr>
          <w:p w14:paraId="60A8B95C"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0.6057</w:t>
            </w:r>
          </w:p>
        </w:tc>
      </w:tr>
      <w:tr w:rsidR="00871011" w:rsidRPr="004E2389" w14:paraId="5DD4D983" w14:textId="77777777" w:rsidTr="00871011">
        <w:trPr>
          <w:trHeight w:val="239"/>
        </w:trPr>
        <w:tc>
          <w:tcPr>
            <w:tcW w:w="1462" w:type="pct"/>
            <w:noWrap/>
            <w:hideMark/>
          </w:tcPr>
          <w:p w14:paraId="68DE1C24"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STMHCpan</w:t>
            </w:r>
            <w:proofErr w:type="spellEnd"/>
          </w:p>
        </w:tc>
        <w:tc>
          <w:tcPr>
            <w:tcW w:w="814" w:type="pct"/>
            <w:noWrap/>
            <w:hideMark/>
          </w:tcPr>
          <w:p w14:paraId="2BEA813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649037</w:t>
            </w:r>
          </w:p>
        </w:tc>
        <w:tc>
          <w:tcPr>
            <w:tcW w:w="947" w:type="pct"/>
            <w:noWrap/>
            <w:hideMark/>
          </w:tcPr>
          <w:p w14:paraId="5E6D2481"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239110</w:t>
            </w:r>
          </w:p>
        </w:tc>
        <w:tc>
          <w:tcPr>
            <w:tcW w:w="993" w:type="pct"/>
            <w:noWrap/>
            <w:hideMark/>
          </w:tcPr>
          <w:p w14:paraId="1C1E41CE"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409927</w:t>
            </w:r>
          </w:p>
        </w:tc>
        <w:tc>
          <w:tcPr>
            <w:tcW w:w="785" w:type="pct"/>
            <w:noWrap/>
            <w:hideMark/>
          </w:tcPr>
          <w:p w14:paraId="4FCF469D"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0.5833</w:t>
            </w:r>
          </w:p>
        </w:tc>
      </w:tr>
      <w:tr w:rsidR="00871011" w:rsidRPr="004E2389" w14:paraId="01064A5B" w14:textId="77777777" w:rsidTr="00871011">
        <w:trPr>
          <w:trHeight w:val="239"/>
        </w:trPr>
        <w:tc>
          <w:tcPr>
            <w:tcW w:w="1462" w:type="pct"/>
            <w:noWrap/>
            <w:hideMark/>
          </w:tcPr>
          <w:p w14:paraId="49A966A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TransPHLA</w:t>
            </w:r>
            <w:proofErr w:type="spellEnd"/>
          </w:p>
        </w:tc>
        <w:tc>
          <w:tcPr>
            <w:tcW w:w="814" w:type="pct"/>
            <w:noWrap/>
            <w:hideMark/>
          </w:tcPr>
          <w:p w14:paraId="02D5173A"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2150698</w:t>
            </w:r>
          </w:p>
        </w:tc>
        <w:tc>
          <w:tcPr>
            <w:tcW w:w="947" w:type="pct"/>
            <w:noWrap/>
            <w:hideMark/>
          </w:tcPr>
          <w:p w14:paraId="43E8C2C5"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228907</w:t>
            </w:r>
          </w:p>
        </w:tc>
        <w:tc>
          <w:tcPr>
            <w:tcW w:w="993" w:type="pct"/>
            <w:noWrap/>
            <w:hideMark/>
          </w:tcPr>
          <w:p w14:paraId="5384C9F9"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1921791</w:t>
            </w:r>
          </w:p>
        </w:tc>
        <w:tc>
          <w:tcPr>
            <w:tcW w:w="785" w:type="pct"/>
            <w:noWrap/>
            <w:hideMark/>
          </w:tcPr>
          <w:p w14:paraId="28452E19"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0.1191</w:t>
            </w:r>
          </w:p>
        </w:tc>
      </w:tr>
      <w:tr w:rsidR="00871011" w:rsidRPr="004E2389" w14:paraId="1AD6A2E5" w14:textId="77777777" w:rsidTr="00871011">
        <w:trPr>
          <w:trHeight w:val="239"/>
        </w:trPr>
        <w:tc>
          <w:tcPr>
            <w:tcW w:w="1462" w:type="pct"/>
            <w:noWrap/>
            <w:hideMark/>
          </w:tcPr>
          <w:p w14:paraId="695F2D4B"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roofErr w:type="spellStart"/>
            <w:r w:rsidRPr="004E2389">
              <w:rPr>
                <w:rFonts w:ascii="Arial" w:eastAsia="宋体" w:hAnsi="Arial" w:cs="Arial"/>
                <w:color w:val="833C0B" w:themeColor="accent2" w:themeShade="80"/>
                <w:kern w:val="0"/>
                <w:sz w:val="22"/>
              </w:rPr>
              <w:t>BigMHC</w:t>
            </w:r>
            <w:proofErr w:type="spellEnd"/>
          </w:p>
        </w:tc>
        <w:tc>
          <w:tcPr>
            <w:tcW w:w="814" w:type="pct"/>
            <w:noWrap/>
            <w:hideMark/>
          </w:tcPr>
          <w:p w14:paraId="035984D8"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15324585</w:t>
            </w:r>
          </w:p>
        </w:tc>
        <w:tc>
          <w:tcPr>
            <w:tcW w:w="947" w:type="pct"/>
            <w:noWrap/>
            <w:hideMark/>
          </w:tcPr>
          <w:p w14:paraId="1C4A154F"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259298</w:t>
            </w:r>
          </w:p>
        </w:tc>
        <w:tc>
          <w:tcPr>
            <w:tcW w:w="993" w:type="pct"/>
            <w:noWrap/>
            <w:hideMark/>
          </w:tcPr>
          <w:p w14:paraId="61202C13"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15065287</w:t>
            </w:r>
          </w:p>
        </w:tc>
        <w:tc>
          <w:tcPr>
            <w:tcW w:w="785" w:type="pct"/>
            <w:noWrap/>
            <w:hideMark/>
          </w:tcPr>
          <w:p w14:paraId="2A47AD78" w14:textId="77777777" w:rsidR="00871011" w:rsidRPr="004E2389" w:rsidRDefault="00871011" w:rsidP="00006EC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E2389">
              <w:rPr>
                <w:rFonts w:ascii="Arial" w:eastAsia="宋体" w:hAnsi="Arial" w:cs="Arial"/>
                <w:color w:val="833C0B" w:themeColor="accent2" w:themeShade="80"/>
                <w:kern w:val="0"/>
                <w:sz w:val="22"/>
              </w:rPr>
              <w:t>0.0172</w:t>
            </w:r>
          </w:p>
        </w:tc>
      </w:tr>
    </w:tbl>
    <w:p w14:paraId="1DC3B582" w14:textId="10DBEF7F" w:rsidR="00FC33F5" w:rsidRPr="004E2389" w:rsidRDefault="00871011"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871011">
        <w:rPr>
          <w:rFonts w:ascii="Arial" w:eastAsia="宋体" w:hAnsi="Arial" w:cs="Arial"/>
          <w:color w:val="833C0B" w:themeColor="accent2" w:themeShade="80"/>
          <w:kern w:val="0"/>
          <w:sz w:val="22"/>
        </w:rPr>
        <w:t xml:space="preserve">Second, the computational resource consumption for the 1:99 scenario was exceptionally severe. Due to extreme memory and runtime bottlenecks, several legacy or web-server-dependent tools (specifically consensus, </w:t>
      </w:r>
      <w:proofErr w:type="spellStart"/>
      <w:r w:rsidRPr="00871011">
        <w:rPr>
          <w:rFonts w:ascii="Arial" w:eastAsia="宋体" w:hAnsi="Arial" w:cs="Arial"/>
          <w:color w:val="833C0B" w:themeColor="accent2" w:themeShade="80"/>
          <w:kern w:val="0"/>
          <w:sz w:val="22"/>
        </w:rPr>
        <w:t>deepnetbim</w:t>
      </w:r>
      <w:proofErr w:type="spellEnd"/>
      <w:r w:rsidRPr="00871011">
        <w:rPr>
          <w:rFonts w:ascii="Arial" w:eastAsia="宋体" w:hAnsi="Arial" w:cs="Arial"/>
          <w:color w:val="833C0B" w:themeColor="accent2" w:themeShade="80"/>
          <w:kern w:val="0"/>
          <w:sz w:val="22"/>
        </w:rPr>
        <w:t xml:space="preserve">, </w:t>
      </w:r>
      <w:proofErr w:type="spellStart"/>
      <w:r w:rsidRPr="00871011">
        <w:rPr>
          <w:rFonts w:ascii="Arial" w:eastAsia="宋体" w:hAnsi="Arial" w:cs="Arial"/>
          <w:color w:val="833C0B" w:themeColor="accent2" w:themeShade="80"/>
          <w:kern w:val="0"/>
          <w:sz w:val="22"/>
        </w:rPr>
        <w:t>netmhccons</w:t>
      </w:r>
      <w:proofErr w:type="spellEnd"/>
      <w:r w:rsidRPr="00871011">
        <w:rPr>
          <w:rFonts w:ascii="Arial" w:eastAsia="宋体" w:hAnsi="Arial" w:cs="Arial"/>
          <w:color w:val="833C0B" w:themeColor="accent2" w:themeShade="80"/>
          <w:kern w:val="0"/>
          <w:sz w:val="22"/>
        </w:rPr>
        <w:t xml:space="preserve">, </w:t>
      </w:r>
      <w:proofErr w:type="spellStart"/>
      <w:r w:rsidRPr="00871011">
        <w:rPr>
          <w:rFonts w:ascii="Arial" w:eastAsia="宋体" w:hAnsi="Arial" w:cs="Arial"/>
          <w:color w:val="833C0B" w:themeColor="accent2" w:themeShade="80"/>
          <w:kern w:val="0"/>
          <w:sz w:val="22"/>
        </w:rPr>
        <w:t>netmhcpan_ba</w:t>
      </w:r>
      <w:proofErr w:type="spellEnd"/>
      <w:r w:rsidRPr="00871011">
        <w:rPr>
          <w:rFonts w:ascii="Arial" w:eastAsia="宋体" w:hAnsi="Arial" w:cs="Arial"/>
          <w:color w:val="833C0B" w:themeColor="accent2" w:themeShade="80"/>
          <w:kern w:val="0"/>
          <w:sz w:val="22"/>
        </w:rPr>
        <w:t xml:space="preserve">, </w:t>
      </w:r>
      <w:proofErr w:type="spellStart"/>
      <w:r w:rsidRPr="00871011">
        <w:rPr>
          <w:rFonts w:ascii="Arial" w:eastAsia="宋体" w:hAnsi="Arial" w:cs="Arial"/>
          <w:color w:val="833C0B" w:themeColor="accent2" w:themeShade="80"/>
          <w:kern w:val="0"/>
          <w:sz w:val="22"/>
        </w:rPr>
        <w:t>netmhcpan_el</w:t>
      </w:r>
      <w:proofErr w:type="spellEnd"/>
      <w:r w:rsidRPr="00871011">
        <w:rPr>
          <w:rFonts w:ascii="Arial" w:eastAsia="宋体" w:hAnsi="Arial" w:cs="Arial"/>
          <w:color w:val="833C0B" w:themeColor="accent2" w:themeShade="80"/>
          <w:kern w:val="0"/>
          <w:sz w:val="22"/>
        </w:rPr>
        <w:t xml:space="preserve">, and </w:t>
      </w:r>
      <w:proofErr w:type="spellStart"/>
      <w:r w:rsidRPr="00871011">
        <w:rPr>
          <w:rFonts w:ascii="Arial" w:eastAsia="宋体" w:hAnsi="Arial" w:cs="Arial"/>
          <w:color w:val="833C0B" w:themeColor="accent2" w:themeShade="80"/>
          <w:kern w:val="0"/>
          <w:sz w:val="22"/>
        </w:rPr>
        <w:t>netmhcstabpan</w:t>
      </w:r>
      <w:proofErr w:type="spellEnd"/>
      <w:r w:rsidRPr="00871011">
        <w:rPr>
          <w:rFonts w:ascii="Arial" w:eastAsia="宋体" w:hAnsi="Arial" w:cs="Arial"/>
          <w:color w:val="833C0B" w:themeColor="accent2" w:themeShade="80"/>
          <w:kern w:val="0"/>
          <w:sz w:val="22"/>
        </w:rPr>
        <w:t xml:space="preserve">) could not process the sheer volume of the standard 1:99 dataset. To ensure these tools were still evaluated under the exact same 1:99 imbalance severity, we employed a mathematically equivalent </w:t>
      </w:r>
      <w:proofErr w:type="spellStart"/>
      <w:r w:rsidRPr="00871011">
        <w:rPr>
          <w:rFonts w:ascii="Arial" w:eastAsia="宋体" w:hAnsi="Arial" w:cs="Arial"/>
          <w:color w:val="833C0B" w:themeColor="accent2" w:themeShade="80"/>
          <w:kern w:val="0"/>
          <w:sz w:val="22"/>
        </w:rPr>
        <w:t>downsampling</w:t>
      </w:r>
      <w:proofErr w:type="spellEnd"/>
      <w:r w:rsidRPr="00871011">
        <w:rPr>
          <w:rFonts w:ascii="Arial" w:eastAsia="宋体" w:hAnsi="Arial" w:cs="Arial"/>
          <w:color w:val="833C0B" w:themeColor="accent2" w:themeShade="80"/>
          <w:kern w:val="0"/>
          <w:sz w:val="22"/>
        </w:rPr>
        <w:t xml:space="preserve"> strategy: we compressed the positive sample base by a factor of 11 and matched it with negatives to maintain the strict 1:99 ratio. This adaptation allowed us to complete the benchmark without encountering fatal out-of-memory errors.</w:t>
      </w:r>
      <w:r w:rsidRPr="004E2389">
        <w:rPr>
          <w:rFonts w:ascii="Arial" w:eastAsia="宋体" w:hAnsi="Arial" w:cs="Arial"/>
          <w:color w:val="833C0B" w:themeColor="accent2" w:themeShade="80"/>
          <w:kern w:val="0"/>
          <w:sz w:val="22"/>
        </w:rPr>
        <w:t xml:space="preserve"> </w:t>
      </w:r>
      <w:r w:rsidRPr="00871011">
        <w:rPr>
          <w:rFonts w:ascii="Arial" w:eastAsia="宋体" w:hAnsi="Arial" w:cs="Arial"/>
          <w:color w:val="833C0B" w:themeColor="accent2" w:themeShade="80"/>
          <w:kern w:val="0"/>
          <w:sz w:val="22"/>
        </w:rPr>
        <w:t>We believe that this extensive multi-ratio evaluation, combined with the context of the models' original training priors, provides a highly rigorous, realistic, and fair assessment of their true capabilities.</w:t>
      </w:r>
    </w:p>
    <w:p w14:paraId="1A2CDC16" w14:textId="77777777" w:rsidR="00871011" w:rsidRPr="004E2389" w:rsidRDefault="00871011" w:rsidP="000C63D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kern w:val="0"/>
          <w:sz w:val="22"/>
        </w:rPr>
      </w:pPr>
    </w:p>
    <w:p w14:paraId="443669BA" w14:textId="5E07EDBF" w:rsidR="000C63D6" w:rsidRPr="004E2389" w:rsidRDefault="00871011" w:rsidP="000C63D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color w:val="0070C0"/>
          <w:kern w:val="0"/>
          <w:sz w:val="22"/>
        </w:rPr>
        <w:lastRenderedPageBreak/>
        <w:t>PREVIOUS R</w:t>
      </w:r>
      <w:r w:rsidR="00B70902" w:rsidRPr="004E2389">
        <w:rPr>
          <w:rFonts w:ascii="Arial" w:eastAsia="宋体" w:hAnsi="Arial" w:cs="Arial"/>
          <w:b/>
          <w:color w:val="0070C0"/>
          <w:kern w:val="0"/>
          <w:sz w:val="22"/>
        </w:rPr>
        <w:t>ESPONSE:</w:t>
      </w:r>
      <w:r w:rsidR="00B70902" w:rsidRPr="004E2389">
        <w:rPr>
          <w:rFonts w:ascii="Arial" w:eastAsia="宋体" w:hAnsi="Arial" w:cs="Arial"/>
          <w:color w:val="0070C0"/>
          <w:kern w:val="0"/>
          <w:sz w:val="22"/>
        </w:rPr>
        <w:t xml:space="preserve"> </w:t>
      </w:r>
      <w:r w:rsidR="000C63D6" w:rsidRPr="004E2389">
        <w:rPr>
          <w:rFonts w:ascii="Arial" w:eastAsia="宋体" w:hAnsi="Arial" w:cs="Arial"/>
          <w:color w:val="0070C0"/>
          <w:kern w:val="0"/>
          <w:sz w:val="22"/>
        </w:rPr>
        <w:t>We thank the reviewer for this valuable suggestion. In the primary benchmark, we used a 1:1 positive-to-negative ratio, which is a commonly adopted setting in predictor benchmarking to ensure fair comparison across tools. However, we agree that real-world applications involve much more imbalanced data distributions. To address this concern, we extended our evaluation by constructing additional validation datasets with 1:4, 1:9, and 1:99 positive-to-negative ratios, while keeping the positive set unchanged. As suggested by the reviewer, we also explicitly report Positive Predictive Value (PPV), which is equivalent to Precision, to better reflect predictive performance under highly imbalanced conditions.</w:t>
      </w:r>
    </w:p>
    <w:p w14:paraId="7682EC91" w14:textId="2CE783DF" w:rsidR="000C63D6" w:rsidRPr="004E2389" w:rsidRDefault="000C63D6" w:rsidP="000C63D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As expected, AUPRC and PPV decreased with increasing class imbalance, whereas AUROC remained largely stable across different ratios. Importantly, the relative performance ranking of the evaluated predictors remained largely consistent, indicating that the comparative conclusions derived from the primary 1:1 benchmark are robust under more imbalanced and biologically realistic conditions. </w:t>
      </w:r>
      <w:proofErr w:type="spellStart"/>
      <w:r w:rsidRPr="004E2389">
        <w:rPr>
          <w:rFonts w:ascii="Arial" w:eastAsia="宋体" w:hAnsi="Arial" w:cs="Arial"/>
          <w:color w:val="0070C0"/>
          <w:kern w:val="0"/>
          <w:sz w:val="22"/>
        </w:rPr>
        <w:t>STMHCpan</w:t>
      </w:r>
      <w:proofErr w:type="spellEnd"/>
      <w:r w:rsidRPr="004E2389">
        <w:rPr>
          <w:rFonts w:ascii="Arial" w:eastAsia="宋体" w:hAnsi="Arial" w:cs="Arial"/>
          <w:color w:val="0070C0"/>
          <w:kern w:val="0"/>
          <w:sz w:val="22"/>
        </w:rPr>
        <w:t xml:space="preserve"> consistently demonstrated the best predictive performance, followed by other top-performing models (</w:t>
      </w:r>
      <w:r w:rsidRPr="004E2389">
        <w:rPr>
          <w:rFonts w:ascii="Arial" w:eastAsia="宋体" w:hAnsi="Arial" w:cs="Arial"/>
          <w:b/>
          <w:bCs/>
          <w:color w:val="0070C0"/>
          <w:kern w:val="0"/>
          <w:sz w:val="22"/>
        </w:rPr>
        <w:t>Lines</w:t>
      </w:r>
      <w:r w:rsidRPr="004E2389">
        <w:rPr>
          <w:rFonts w:ascii="Arial" w:eastAsia="宋体" w:hAnsi="Arial" w:cs="Arial"/>
          <w:color w:val="0070C0"/>
          <w:kern w:val="0"/>
          <w:sz w:val="22"/>
        </w:rPr>
        <w:t xml:space="preserve"> </w:t>
      </w:r>
      <w:r w:rsidRPr="004E2389">
        <w:rPr>
          <w:rFonts w:ascii="Arial" w:eastAsia="宋体" w:hAnsi="Arial" w:cs="Arial"/>
          <w:b/>
          <w:bCs/>
          <w:color w:val="0070C0"/>
          <w:kern w:val="0"/>
          <w:sz w:val="22"/>
        </w:rPr>
        <w:t>148–154 and Lines</w:t>
      </w:r>
      <w:r w:rsidRPr="004E2389">
        <w:rPr>
          <w:rFonts w:ascii="Arial" w:eastAsia="宋体" w:hAnsi="Arial" w:cs="Arial"/>
          <w:color w:val="0070C0"/>
          <w:kern w:val="0"/>
          <w:sz w:val="22"/>
        </w:rPr>
        <w:t xml:space="preserve"> </w:t>
      </w:r>
      <w:r w:rsidRPr="004E2389">
        <w:rPr>
          <w:rFonts w:ascii="Arial" w:eastAsia="宋体" w:hAnsi="Arial" w:cs="Arial"/>
          <w:b/>
          <w:bCs/>
          <w:color w:val="0070C0"/>
          <w:kern w:val="0"/>
          <w:sz w:val="22"/>
        </w:rPr>
        <w:t>395–405</w:t>
      </w:r>
      <w:r w:rsidRPr="004E2389">
        <w:rPr>
          <w:rFonts w:ascii="Arial" w:eastAsia="宋体" w:hAnsi="Arial" w:cs="Arial"/>
          <w:color w:val="0070C0"/>
          <w:kern w:val="0"/>
          <w:sz w:val="22"/>
        </w:rPr>
        <w:t>).</w:t>
      </w:r>
    </w:p>
    <w:p w14:paraId="17BA7B60" w14:textId="40E47B62" w:rsidR="000C63D6" w:rsidRPr="004E2389" w:rsidRDefault="000C63D6" w:rsidP="000C63D6">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Detailed results are provided in Supplementary Figure S</w:t>
      </w:r>
      <w:r w:rsidR="00851C48" w:rsidRPr="004E2389">
        <w:rPr>
          <w:rFonts w:ascii="Arial" w:eastAsia="宋体" w:hAnsi="Arial" w:cs="Arial"/>
          <w:color w:val="0070C0"/>
          <w:kern w:val="0"/>
          <w:sz w:val="22"/>
        </w:rPr>
        <w:t>1</w:t>
      </w:r>
      <w:r w:rsidRPr="004E2389">
        <w:rPr>
          <w:rFonts w:ascii="Arial" w:eastAsia="宋体" w:hAnsi="Arial" w:cs="Arial"/>
          <w:color w:val="0070C0"/>
          <w:kern w:val="0"/>
          <w:sz w:val="22"/>
        </w:rPr>
        <w:t>.</w:t>
      </w:r>
    </w:p>
    <w:p w14:paraId="6A00897C" w14:textId="10765F9D" w:rsidR="008908FA" w:rsidRPr="004E2389" w:rsidRDefault="008908FA"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051A306E" w14:textId="77777777" w:rsidR="000B3D11" w:rsidRPr="004E2389" w:rsidRDefault="000B3D11">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1840889F" w14:textId="3A024B94" w:rsidR="004021C9" w:rsidRPr="004E2389"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lastRenderedPageBreak/>
        <w:t xml:space="preserve">3. Line258-262, the description of the relationship between attribution scores and false negative (FN) ratios appears potentially problematic. For instance, while it is noted that </w:t>
      </w:r>
      <w:proofErr w:type="spellStart"/>
      <w:r w:rsidRPr="004E2389">
        <w:rPr>
          <w:rFonts w:ascii="Arial" w:eastAsia="宋体" w:hAnsi="Arial" w:cs="Arial"/>
          <w:b/>
          <w:bCs/>
          <w:color w:val="000000"/>
          <w:kern w:val="0"/>
          <w:sz w:val="22"/>
        </w:rPr>
        <w:t>STMHCpan</w:t>
      </w:r>
      <w:proofErr w:type="spellEnd"/>
      <w:r w:rsidRPr="004E2389">
        <w:rPr>
          <w:rFonts w:ascii="Arial" w:eastAsia="宋体" w:hAnsi="Arial" w:cs="Arial"/>
          <w:b/>
          <w:bCs/>
          <w:color w:val="000000"/>
          <w:kern w:val="0"/>
          <w:sz w:val="22"/>
        </w:rPr>
        <w:t xml:space="preserve">, </w:t>
      </w:r>
      <w:proofErr w:type="spellStart"/>
      <w:r w:rsidRPr="004E2389">
        <w:rPr>
          <w:rFonts w:ascii="Arial" w:eastAsia="宋体" w:hAnsi="Arial" w:cs="Arial"/>
          <w:b/>
          <w:bCs/>
          <w:color w:val="000000"/>
          <w:kern w:val="0"/>
          <w:sz w:val="22"/>
        </w:rPr>
        <w:t>CapsNet</w:t>
      </w:r>
      <w:proofErr w:type="spellEnd"/>
      <w:r w:rsidRPr="004E2389">
        <w:rPr>
          <w:rFonts w:ascii="Arial" w:eastAsia="宋体" w:hAnsi="Arial" w:cs="Arial"/>
          <w:b/>
          <w:bCs/>
          <w:color w:val="000000"/>
          <w:kern w:val="0"/>
          <w:sz w:val="22"/>
        </w:rPr>
        <w:t xml:space="preserve">-MHC_AN, and MHCflurry2.0_PS exhibited higher attribution scores at P9 and correspondingly lower FN ratios, and that </w:t>
      </w:r>
      <w:proofErr w:type="spellStart"/>
      <w:r w:rsidRPr="004E2389">
        <w:rPr>
          <w:rFonts w:ascii="Arial" w:eastAsia="宋体" w:hAnsi="Arial" w:cs="Arial"/>
          <w:b/>
          <w:bCs/>
          <w:color w:val="000000"/>
          <w:kern w:val="0"/>
          <w:sz w:val="22"/>
        </w:rPr>
        <w:t>TransPHLA</w:t>
      </w:r>
      <w:proofErr w:type="spellEnd"/>
      <w:r w:rsidRPr="004E2389">
        <w:rPr>
          <w:rFonts w:ascii="Arial" w:eastAsia="宋体" w:hAnsi="Arial" w:cs="Arial"/>
          <w:b/>
          <w:bCs/>
          <w:color w:val="000000"/>
          <w:kern w:val="0"/>
          <w:sz w:val="22"/>
        </w:rPr>
        <w:t xml:space="preserve"> showed a negative attribution at P2 along with a higher FN ratio, this interpretation may imply a direct causal link without sufficient statistical or experimental validation. Attribution scores from methods like SHAP reflect feature importance within the model's internal logic but do not necessarily represent biophysical causality. It is recommended that the authors either provide additional evidence—such as statistical correlation analysis—to support this implied relationship, or moderate the language to indicate a plausible association rather than a definitive contribution.</w:t>
      </w:r>
    </w:p>
    <w:p w14:paraId="028A7BD8" w14:textId="38EC29AE" w:rsidR="0095597E" w:rsidRPr="004E2389" w:rsidRDefault="0095597E" w:rsidP="0095597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 xml:space="preserve">NEW RESPONSE: </w:t>
      </w:r>
    </w:p>
    <w:p w14:paraId="3E48CAFA" w14:textId="5F3154AE" w:rsidR="0095597E" w:rsidRPr="0095597E" w:rsidRDefault="0095597E" w:rsidP="0095597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95597E">
        <w:rPr>
          <w:rFonts w:ascii="Arial" w:eastAsia="宋体" w:hAnsi="Arial" w:cs="Arial"/>
          <w:color w:val="833C0B" w:themeColor="accent2" w:themeShade="80"/>
          <w:kern w:val="0"/>
          <w:sz w:val="22"/>
        </w:rPr>
        <w:t>We sincerely thank the reviewer for pointing out this critical and highly perceptive distinction. We completely agree that attribution scores derived from XAI methods (such as SHAP and LIME) strictly reflect the internal feature importance learned by the models' hidden layers, and do not inherently equate to direct biophysical causality. We acknowledge that our original phrasing in Lines 258–262 inadvertently overstated this relationship by implying a direct causal link.</w:t>
      </w:r>
    </w:p>
    <w:p w14:paraId="099FAF97" w14:textId="77777777" w:rsidR="0095597E" w:rsidRPr="0095597E" w:rsidRDefault="0095597E" w:rsidP="0095597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95597E">
        <w:rPr>
          <w:rFonts w:ascii="Arial" w:eastAsia="宋体" w:hAnsi="Arial" w:cs="Arial"/>
          <w:color w:val="833C0B" w:themeColor="accent2" w:themeShade="80"/>
          <w:kern w:val="0"/>
          <w:sz w:val="22"/>
        </w:rPr>
        <w:t>To provide context for this specific analysis, computing SHAP and LIME values across multiple deep-learning models for the entire test dataset (comprising tens of thousands of peptides) is computationally prohibitive. Therefore, we implemented a rigorous greedy sampling algorithm to select a highly representative subset of 100 9-mer peptides for each of the three dominant alleles (300 peptides in total). This algorithm was meticulously designed to minimize the Euclidean distance between the Position Weight Matrices (PWMs) of the subset and the global dataset, ensuring canonical binding motifs were faithfully preserved (</w:t>
      </w:r>
      <w:r w:rsidRPr="0095597E">
        <w:rPr>
          <w:rFonts w:ascii="Arial" w:eastAsia="宋体" w:hAnsi="Arial" w:cs="Arial"/>
          <w:b/>
          <w:bCs/>
          <w:color w:val="833C0B" w:themeColor="accent2" w:themeShade="80"/>
          <w:kern w:val="0"/>
          <w:sz w:val="22"/>
        </w:rPr>
        <w:t>Supplementary Figure S6A-C</w:t>
      </w:r>
      <w:r w:rsidRPr="0095597E">
        <w:rPr>
          <w:rFonts w:ascii="Arial" w:eastAsia="宋体" w:hAnsi="Arial" w:cs="Arial"/>
          <w:color w:val="833C0B" w:themeColor="accent2" w:themeShade="80"/>
          <w:kern w:val="0"/>
          <w:sz w:val="22"/>
        </w:rPr>
        <w:t>). Furthermore, we verified that the False Negative (FN) ratio profiles of the evaluated tools within this 300-peptide subset closely approximate their global performance trends (</w:t>
      </w:r>
      <w:r w:rsidRPr="0095597E">
        <w:rPr>
          <w:rFonts w:ascii="Arial" w:eastAsia="宋体" w:hAnsi="Arial" w:cs="Arial"/>
          <w:b/>
          <w:bCs/>
          <w:color w:val="833C0B" w:themeColor="accent2" w:themeShade="80"/>
          <w:kern w:val="0"/>
          <w:sz w:val="22"/>
        </w:rPr>
        <w:t>Supplementary Figure S6D-F</w:t>
      </w:r>
      <w:r w:rsidRPr="0095597E">
        <w:rPr>
          <w:rFonts w:ascii="Arial" w:eastAsia="宋体" w:hAnsi="Arial" w:cs="Arial"/>
          <w:color w:val="833C0B" w:themeColor="accent2" w:themeShade="80"/>
          <w:kern w:val="0"/>
          <w:sz w:val="22"/>
        </w:rPr>
        <w:t>).</w:t>
      </w:r>
    </w:p>
    <w:p w14:paraId="4E1FF45E" w14:textId="77777777" w:rsidR="0095597E" w:rsidRPr="0095597E" w:rsidRDefault="0095597E" w:rsidP="0095597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95597E">
        <w:rPr>
          <w:rFonts w:ascii="Arial" w:eastAsia="宋体" w:hAnsi="Arial" w:cs="Arial"/>
          <w:color w:val="833C0B" w:themeColor="accent2" w:themeShade="80"/>
          <w:kern w:val="0"/>
          <w:sz w:val="22"/>
        </w:rPr>
        <w:lastRenderedPageBreak/>
        <w:t>Based on this validated subset, our intention was to highlight that tools with superior overall performance (i.e., lower FN ratios) tend to allocate their internal computational attention to biologically critical anchor positions (such as P9).</w:t>
      </w:r>
    </w:p>
    <w:p w14:paraId="3AEEA30C" w14:textId="77777777" w:rsidR="0095597E" w:rsidRPr="0095597E" w:rsidRDefault="0095597E" w:rsidP="0095597E">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95597E">
        <w:rPr>
          <w:rFonts w:ascii="Arial" w:eastAsia="宋体" w:hAnsi="Arial" w:cs="Arial"/>
          <w:color w:val="833C0B" w:themeColor="accent2" w:themeShade="80"/>
          <w:kern w:val="0"/>
          <w:sz w:val="22"/>
        </w:rPr>
        <w:t xml:space="preserve">Following your highly constructive recommendation, we have carefully moderated the language throughout this section (Lines XX–XX) to remove any implication of definitive causality. We now accurately frame these observations as </w:t>
      </w:r>
      <w:r w:rsidRPr="0095597E">
        <w:rPr>
          <w:rFonts w:ascii="Arial" w:eastAsia="宋体" w:hAnsi="Arial" w:cs="Arial"/>
          <w:b/>
          <w:bCs/>
          <w:color w:val="833C0B" w:themeColor="accent2" w:themeShade="80"/>
          <w:kern w:val="0"/>
          <w:sz w:val="22"/>
        </w:rPr>
        <w:t>plausible associations</w:t>
      </w:r>
      <w:r w:rsidRPr="0095597E">
        <w:rPr>
          <w:rFonts w:ascii="Arial" w:eastAsia="宋体" w:hAnsi="Arial" w:cs="Arial"/>
          <w:color w:val="833C0B" w:themeColor="accent2" w:themeShade="80"/>
          <w:kern w:val="0"/>
          <w:sz w:val="22"/>
        </w:rPr>
        <w:t>—specifically highlighting instances where the internal logic of certain top-performing models appears to align more closely with recognized biophysical patterns.</w:t>
      </w:r>
    </w:p>
    <w:p w14:paraId="23810B7C" w14:textId="77777777" w:rsidR="000B3D11" w:rsidRPr="004E2389" w:rsidRDefault="000B3D11"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45F6BEAC" w14:textId="750843BF" w:rsidR="007C73C2" w:rsidRPr="004E2389" w:rsidRDefault="0095597E" w:rsidP="007C73C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bCs/>
          <w:color w:val="0070C0"/>
          <w:kern w:val="0"/>
          <w:sz w:val="22"/>
        </w:rPr>
        <w:t xml:space="preserve">PREVIOUS </w:t>
      </w:r>
      <w:r w:rsidR="007C73C2" w:rsidRPr="004E2389">
        <w:rPr>
          <w:rFonts w:ascii="Arial" w:eastAsia="宋体" w:hAnsi="Arial" w:cs="Arial"/>
          <w:b/>
          <w:bCs/>
          <w:color w:val="0070C0"/>
          <w:kern w:val="0"/>
          <w:sz w:val="22"/>
        </w:rPr>
        <w:t>RESPONSE:</w:t>
      </w:r>
      <w:r w:rsidR="007C73C2" w:rsidRPr="004E2389">
        <w:rPr>
          <w:rFonts w:ascii="Arial" w:eastAsia="宋体" w:hAnsi="Arial" w:cs="Arial"/>
          <w:color w:val="0070C0"/>
          <w:kern w:val="0"/>
          <w:sz w:val="22"/>
        </w:rPr>
        <w:t xml:space="preserve"> We sincerely thank the reviewer for pointing out this critical distinction. We completely agree that attribution scores derived from XAI methods (such as SHAP and LIME) reflect the internal feature importance learned by the models and do not directly equate to biophysical causality. We acknowledge that our original phrasing in Lines 258–262 inadvertently implied a direct causal link, which was overstated.</w:t>
      </w:r>
    </w:p>
    <w:p w14:paraId="25FDAD25" w14:textId="77777777" w:rsidR="007C73C2" w:rsidRPr="004E2389" w:rsidRDefault="007C73C2" w:rsidP="007C73C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To provide context for our analysis, we would like to clarify our computational methodology. Computing SHAP and LIME values across multiple deep-learning models for the entire test dataset (comprising tens of thousands of peptides) is computationally prohibitive. To conduct a robust XAI analysis within feasible computational limits, we implemented a rigorous greedy sampling algorithm to select a highly representative subset of 100 9-mer peptides for each of the three dominant alleles (300 peptides in total). This algorithm was specifically designed to minimize the Euclidean distance between the Position Weight Matrices (PWMs) of the subset and the global dataset, ensuring that the canonical binding motifs were faithfully preserved. Furthermore, we verified that the False Negative (FN) ratio profiles of the evaluated tools in this 300-peptide subset closely approximated their global performance trends.</w:t>
      </w:r>
    </w:p>
    <w:p w14:paraId="0FE8240F" w14:textId="77777777" w:rsidR="007C73C2" w:rsidRPr="004E2389" w:rsidRDefault="007C73C2" w:rsidP="007C73C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Based on this representative subset, our original intention was to highlight a plausible association: tools that demonstrate better overall performance (e.g., lower FN ratios) tend to allocate their internal computational attention (higher attribution scores) to biologically critical anchor positions (such as P9).</w:t>
      </w:r>
    </w:p>
    <w:p w14:paraId="57BC0F17" w14:textId="77777777" w:rsidR="007C73C2" w:rsidRPr="004E2389" w:rsidRDefault="007C73C2" w:rsidP="007C73C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Following your highly constructive recommendation, we have moderated the language throughout this section to remove any implication of direct causality. We now frame these </w:t>
      </w:r>
      <w:r w:rsidRPr="004E2389">
        <w:rPr>
          <w:rFonts w:ascii="Arial" w:eastAsia="宋体" w:hAnsi="Arial" w:cs="Arial"/>
          <w:color w:val="0070C0"/>
          <w:kern w:val="0"/>
          <w:sz w:val="22"/>
        </w:rPr>
        <w:lastRenderedPageBreak/>
        <w:t>observations as plausible associations where the internal logic of certain models aligns more closely with recognized biophysical patterns.</w:t>
      </w:r>
    </w:p>
    <w:p w14:paraId="4F895C6E" w14:textId="77777777" w:rsidR="004021C9" w:rsidRPr="004E2389" w:rsidRDefault="004021C9"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1F654350" w14:textId="77777777" w:rsidR="00DF4375" w:rsidRPr="004E2389" w:rsidRDefault="00DF4375">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2A65A614" w14:textId="22833A6E" w:rsidR="004021C9" w:rsidRPr="004E2389"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lastRenderedPageBreak/>
        <w:t xml:space="preserve">4. The selection of the three specific peptides—NAAERRGPL (HLA-A*02:01), HVEKLARTL (HLA-B*15:02), and SLIARLERL (HLA-C*05:01)—requires clearer justification. For example: </w:t>
      </w:r>
      <w:proofErr w:type="gramStart"/>
      <w:r w:rsidRPr="004E2389">
        <w:rPr>
          <w:rFonts w:ascii="Arial" w:eastAsia="宋体" w:hAnsi="Arial" w:cs="Arial"/>
          <w:b/>
          <w:bCs/>
          <w:color w:val="000000"/>
          <w:kern w:val="0"/>
          <w:sz w:val="22"/>
        </w:rPr>
        <w:t>1)Were</w:t>
      </w:r>
      <w:proofErr w:type="gramEnd"/>
      <w:r w:rsidRPr="004E2389">
        <w:rPr>
          <w:rFonts w:ascii="Arial" w:eastAsia="宋体" w:hAnsi="Arial" w:cs="Arial"/>
          <w:b/>
          <w:bCs/>
          <w:color w:val="000000"/>
          <w:kern w:val="0"/>
          <w:sz w:val="22"/>
        </w:rPr>
        <w:t xml:space="preserve"> they selected to exemplify canonical vs. non-canonical binding motifs? 2)Were they chosen specifically because their computational ΔΔG values could be robustly calculated, providing a clear benchmark for the XAI methods?</w:t>
      </w:r>
    </w:p>
    <w:p w14:paraId="71D150BA" w14:textId="79DCE5B7" w:rsidR="004021C9" w:rsidRPr="004E2389"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t>The term "representative" is too vague without explicit criteria. The manuscript would be significantly strengthened by clarifying the selection rationale, ensuring these peptides are not merely illustrative examples but are indeed emblematic of broader, defined trends or challenges in HLA-peptide binding prediction.</w:t>
      </w:r>
    </w:p>
    <w:p w14:paraId="7C46C30E" w14:textId="355CE968" w:rsidR="000A5129" w:rsidRPr="004E2389" w:rsidRDefault="000A5129"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E2389">
        <w:rPr>
          <w:rFonts w:ascii="Arial" w:eastAsia="宋体" w:hAnsi="Arial" w:cs="Arial"/>
          <w:b/>
          <w:bCs/>
          <w:color w:val="833C0B" w:themeColor="accent2" w:themeShade="80"/>
          <w:kern w:val="0"/>
          <w:sz w:val="22"/>
        </w:rPr>
        <w:t>NEW RESPONSE:</w:t>
      </w:r>
    </w:p>
    <w:p w14:paraId="2386D3C3" w14:textId="77777777" w:rsidR="000A5129" w:rsidRPr="000A5129" w:rsidRDefault="000A5129" w:rsidP="000A512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0A5129">
        <w:rPr>
          <w:rFonts w:ascii="Arial" w:eastAsia="宋体" w:hAnsi="Arial" w:cs="Arial"/>
          <w:color w:val="833C0B" w:themeColor="accent2" w:themeShade="80"/>
          <w:kern w:val="0"/>
          <w:sz w:val="22"/>
        </w:rPr>
        <w:t>We sincerely thank the reviewer for this sharp and constructive critique. We fully agree that the standalone term 'representative' was overly vague and failed to convey the rigorous selection rationale behind these three specific peptides. We appreciate the opportunity to explicitly clarify our criteria.</w:t>
      </w:r>
    </w:p>
    <w:p w14:paraId="06769352" w14:textId="77777777" w:rsidR="000A5129" w:rsidRPr="000A5129" w:rsidRDefault="000A5129" w:rsidP="000A512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0A5129">
        <w:rPr>
          <w:rFonts w:ascii="Arial" w:eastAsia="宋体" w:hAnsi="Arial" w:cs="Arial"/>
          <w:color w:val="833C0B" w:themeColor="accent2" w:themeShade="80"/>
          <w:kern w:val="0"/>
          <w:sz w:val="22"/>
        </w:rPr>
        <w:t>To directly answer your questions: these peptides were not chosen randomly, nor were they selected merely because their computational values were robust or easy to calculate. Rather, they were deliberately extracted from our meticulously constructed 300-peptide subset (which, as detailed previously, was mathematically sampled to mirror global PWM distributions). Specifically, these three peptides were pinpointed based on the intersection of two strict extremes:</w:t>
      </w:r>
    </w:p>
    <w:p w14:paraId="0DFE5C1A" w14:textId="77777777" w:rsidR="000A5129" w:rsidRPr="000A5129" w:rsidRDefault="000A5129" w:rsidP="000A5129">
      <w:pPr>
        <w:widowControl/>
        <w:numPr>
          <w:ilvl w:val="0"/>
          <w:numId w:val="10"/>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0A5129">
        <w:rPr>
          <w:rFonts w:ascii="Arial" w:eastAsia="宋体" w:hAnsi="Arial" w:cs="Arial"/>
          <w:b/>
          <w:bCs/>
          <w:color w:val="833C0B" w:themeColor="accent2" w:themeShade="80"/>
          <w:kern w:val="0"/>
          <w:sz w:val="22"/>
        </w:rPr>
        <w:t>High Canonical Conformity:</w:t>
      </w:r>
      <w:r w:rsidRPr="000A5129">
        <w:rPr>
          <w:rFonts w:ascii="Arial" w:eastAsia="宋体" w:hAnsi="Arial" w:cs="Arial"/>
          <w:color w:val="833C0B" w:themeColor="accent2" w:themeShade="80"/>
          <w:kern w:val="0"/>
          <w:sz w:val="22"/>
        </w:rPr>
        <w:t xml:space="preserve"> They perfectly exemplify the classical, canonical binding motifs (the biological 'ground truth') of their respective alleles (HLA-A*02:01, HLA-B*15:02, and HLA-C*05:01).</w:t>
      </w:r>
    </w:p>
    <w:p w14:paraId="72200478" w14:textId="77777777" w:rsidR="000A5129" w:rsidRPr="000A5129" w:rsidRDefault="000A5129" w:rsidP="000A5129">
      <w:pPr>
        <w:widowControl/>
        <w:numPr>
          <w:ilvl w:val="0"/>
          <w:numId w:val="10"/>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0A5129">
        <w:rPr>
          <w:rFonts w:ascii="Arial" w:eastAsia="宋体" w:hAnsi="Arial" w:cs="Arial"/>
          <w:b/>
          <w:bCs/>
          <w:color w:val="833C0B" w:themeColor="accent2" w:themeShade="80"/>
          <w:kern w:val="0"/>
          <w:sz w:val="22"/>
        </w:rPr>
        <w:t>Maximum Inter-tool Discordance:</w:t>
      </w:r>
      <w:r w:rsidRPr="000A5129">
        <w:rPr>
          <w:rFonts w:ascii="Arial" w:eastAsia="宋体" w:hAnsi="Arial" w:cs="Arial"/>
          <w:color w:val="833C0B" w:themeColor="accent2" w:themeShade="80"/>
          <w:kern w:val="0"/>
          <w:sz w:val="22"/>
        </w:rPr>
        <w:t xml:space="preserve"> Despite their highly canonical nature, these specific sequences provoked the highest variance in prediction outcomes across the evaluated tools (e.g., confidently predicted as strong binders by some tools, yet completely missed as false negatives by others).</w:t>
      </w:r>
    </w:p>
    <w:p w14:paraId="5158642E" w14:textId="77777777" w:rsidR="000A5129" w:rsidRPr="000A5129" w:rsidRDefault="000A5129" w:rsidP="000A512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0A5129">
        <w:rPr>
          <w:rFonts w:ascii="Arial" w:eastAsia="宋体" w:hAnsi="Arial" w:cs="Arial"/>
          <w:b/>
          <w:bCs/>
          <w:color w:val="833C0B" w:themeColor="accent2" w:themeShade="80"/>
          <w:kern w:val="0"/>
          <w:sz w:val="22"/>
        </w:rPr>
        <w:t>The Rationale:</w:t>
      </w:r>
      <w:r w:rsidRPr="000A5129">
        <w:rPr>
          <w:rFonts w:ascii="Arial" w:eastAsia="宋体" w:hAnsi="Arial" w:cs="Arial"/>
          <w:color w:val="833C0B" w:themeColor="accent2" w:themeShade="80"/>
          <w:kern w:val="0"/>
          <w:sz w:val="22"/>
        </w:rPr>
        <w:t xml:space="preserve"> This unique combination—perfectly canonical structures coupled with high model disagreement—transforms these peptides from mere illustrative examples into ideal </w:t>
      </w:r>
      <w:r w:rsidRPr="000A5129">
        <w:rPr>
          <w:rFonts w:ascii="Arial" w:eastAsia="宋体" w:hAnsi="Arial" w:cs="Arial"/>
          <w:b/>
          <w:bCs/>
          <w:color w:val="833C0B" w:themeColor="accent2" w:themeShade="80"/>
          <w:kern w:val="0"/>
          <w:sz w:val="22"/>
        </w:rPr>
        <w:lastRenderedPageBreak/>
        <w:t>'diagnostic targets.'</w:t>
      </w:r>
      <w:r w:rsidRPr="000A5129">
        <w:rPr>
          <w:rFonts w:ascii="Arial" w:eastAsia="宋体" w:hAnsi="Arial" w:cs="Arial"/>
          <w:color w:val="833C0B" w:themeColor="accent2" w:themeShade="80"/>
          <w:kern w:val="0"/>
          <w:sz w:val="22"/>
        </w:rPr>
        <w:t xml:space="preserve"> They are emblematic of a major challenge in current HLA-peptide prediction: </w:t>
      </w:r>
      <w:r w:rsidRPr="000A5129">
        <w:rPr>
          <w:rFonts w:ascii="Arial" w:eastAsia="宋体" w:hAnsi="Arial" w:cs="Arial"/>
          <w:i/>
          <w:iCs/>
          <w:color w:val="833C0B" w:themeColor="accent2" w:themeShade="80"/>
          <w:kern w:val="0"/>
          <w:sz w:val="22"/>
        </w:rPr>
        <w:t>Why do advanced predictors sometimes fail to recognize textbook binding features?</w:t>
      </w:r>
      <w:r w:rsidRPr="000A5129">
        <w:rPr>
          <w:rFonts w:ascii="Arial" w:eastAsia="宋体" w:hAnsi="Arial" w:cs="Arial"/>
          <w:color w:val="833C0B" w:themeColor="accent2" w:themeShade="80"/>
          <w:kern w:val="0"/>
          <w:sz w:val="22"/>
        </w:rPr>
        <w:t xml:space="preserve"> Our integrated pipeline allows us to precisely diagnose this. By mapping internal model attention via XAI (</w:t>
      </w:r>
      <w:r w:rsidRPr="000A5129">
        <w:rPr>
          <w:rFonts w:ascii="Arial" w:eastAsia="宋体" w:hAnsi="Arial" w:cs="Arial"/>
          <w:b/>
          <w:bCs/>
          <w:color w:val="833C0B" w:themeColor="accent2" w:themeShade="80"/>
          <w:kern w:val="0"/>
          <w:sz w:val="22"/>
        </w:rPr>
        <w:t>Supplementary Table S15</w:t>
      </w:r>
      <w:r w:rsidRPr="000A5129">
        <w:rPr>
          <w:rFonts w:ascii="Arial" w:eastAsia="宋体" w:hAnsi="Arial" w:cs="Arial"/>
          <w:color w:val="833C0B" w:themeColor="accent2" w:themeShade="80"/>
          <w:kern w:val="0"/>
          <w:sz w:val="22"/>
        </w:rPr>
        <w:t xml:space="preserve">) and establishing the empirical thermodynamic baseline via APE-Gen2.0 and </w:t>
      </w:r>
      <w:proofErr w:type="spellStart"/>
      <w:r w:rsidRPr="000A5129">
        <w:rPr>
          <w:rFonts w:ascii="Arial" w:eastAsia="宋体" w:hAnsi="Arial" w:cs="Arial"/>
          <w:color w:val="833C0B" w:themeColor="accent2" w:themeShade="80"/>
          <w:kern w:val="0"/>
          <w:sz w:val="22"/>
        </w:rPr>
        <w:t>BAlaS</w:t>
      </w:r>
      <w:proofErr w:type="spellEnd"/>
      <w:r w:rsidRPr="000A5129">
        <w:rPr>
          <w:rFonts w:ascii="Arial" w:eastAsia="宋体" w:hAnsi="Arial" w:cs="Arial"/>
          <w:color w:val="833C0B" w:themeColor="accent2" w:themeShade="80"/>
          <w:kern w:val="0"/>
          <w:sz w:val="22"/>
        </w:rPr>
        <w:t xml:space="preserve"> (</w:t>
      </w:r>
      <w:r w:rsidRPr="000A5129">
        <w:rPr>
          <w:rFonts w:ascii="Arial" w:eastAsia="宋体" w:hAnsi="Arial" w:cs="Arial"/>
          <w:b/>
          <w:bCs/>
          <w:color w:val="833C0B" w:themeColor="accent2" w:themeShade="80"/>
          <w:kern w:val="0"/>
          <w:sz w:val="22"/>
        </w:rPr>
        <w:t>Supplementary Table S16</w:t>
      </w:r>
      <w:r w:rsidRPr="000A5129">
        <w:rPr>
          <w:rFonts w:ascii="Arial" w:eastAsia="宋体" w:hAnsi="Arial" w:cs="Arial"/>
          <w:color w:val="833C0B" w:themeColor="accent2" w:themeShade="80"/>
          <w:kern w:val="0"/>
          <w:sz w:val="22"/>
        </w:rPr>
        <w:t>), we can explicitly demonstrate whether a failing tool systematically ignored a high-energy anchor residue that drove the binding.</w:t>
      </w:r>
    </w:p>
    <w:p w14:paraId="47082AD4" w14:textId="77777777" w:rsidR="000A5129" w:rsidRPr="000A5129" w:rsidRDefault="000A5129" w:rsidP="000A512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0A5129">
        <w:rPr>
          <w:rFonts w:ascii="Arial" w:eastAsia="宋体" w:hAnsi="Arial" w:cs="Arial"/>
          <w:color w:val="833C0B" w:themeColor="accent2" w:themeShade="80"/>
          <w:kern w:val="0"/>
          <w:sz w:val="22"/>
        </w:rPr>
        <w:t>While exhaustively mapping canonical versus non-canonical binding rules across all 44 alleles falls outside the scope of this specific benchmarking study, highlighting these diagnostic targets effectively validates our proposed pipeline as a robust, transparent blueprint for future tool developers to debug 'black-box' models.</w:t>
      </w:r>
    </w:p>
    <w:p w14:paraId="72D139C6" w14:textId="77777777" w:rsidR="00515212" w:rsidRPr="004E2389" w:rsidRDefault="00515212"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756F9BC9" w14:textId="35025DA2" w:rsidR="00993E04" w:rsidRPr="004E2389" w:rsidRDefault="00657DE7" w:rsidP="00993E0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bCs/>
          <w:color w:val="0070C0"/>
          <w:kern w:val="0"/>
          <w:sz w:val="22"/>
        </w:rPr>
        <w:t xml:space="preserve">PREVIOUS </w:t>
      </w:r>
      <w:r w:rsidR="00993E04" w:rsidRPr="004E2389">
        <w:rPr>
          <w:rFonts w:ascii="Arial" w:eastAsia="宋体" w:hAnsi="Arial" w:cs="Arial"/>
          <w:b/>
          <w:bCs/>
          <w:color w:val="0070C0"/>
          <w:kern w:val="0"/>
          <w:sz w:val="22"/>
        </w:rPr>
        <w:t xml:space="preserve">RESPONSE: </w:t>
      </w:r>
      <w:r w:rsidR="00993E04" w:rsidRPr="004E2389">
        <w:rPr>
          <w:rFonts w:ascii="Arial" w:eastAsia="宋体" w:hAnsi="Arial" w:cs="Arial"/>
          <w:color w:val="0070C0"/>
          <w:kern w:val="0"/>
          <w:sz w:val="22"/>
        </w:rPr>
        <w:t>We sincerely thank the reviewer for this constructive comment. We completely agree that the term "representative" was overly vague and did not do justice to the rigorous selection rationale behind these three specific peptides. We appreciate the opportunity to clarify this.</w:t>
      </w:r>
    </w:p>
    <w:p w14:paraId="55B85B30" w14:textId="05222E9C" w:rsidR="00993E04" w:rsidRPr="004E2389" w:rsidRDefault="00993E04" w:rsidP="00993E0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To address your specific questions: these peptides were not chosen randomly, nor were they chosen merely because their ΔΔG values were easy to calculate. Rather, they were deliberately selected from our highly curated HLA-A, -B, and -C subsets based on the intersection of two strict criteria:</w:t>
      </w:r>
    </w:p>
    <w:p w14:paraId="1C8F334E" w14:textId="77777777" w:rsidR="00993E04" w:rsidRPr="004E2389" w:rsidRDefault="00993E04" w:rsidP="00993E04">
      <w:pPr>
        <w:widowControl/>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High Canonical Conformity: We specifically selected positive peptides that most perfectly align with the classical, canonical binding motifs (the "ground truth") of their respective alleles.</w:t>
      </w:r>
    </w:p>
    <w:p w14:paraId="3CAFFC45" w14:textId="77777777" w:rsidR="00993E04" w:rsidRPr="004E2389" w:rsidRDefault="00993E04" w:rsidP="00993E04">
      <w:pPr>
        <w:widowControl/>
        <w:numPr>
          <w:ilvl w:val="0"/>
          <w:numId w:val="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High Inter-tool Discordance: Despite possessing highly canonical motifs, these specific peptides exhibited the maximum variance in prediction outcomes across the evaluated tools (e.g., predicted as strong binders by some tools, but completely missed as false negatives by others).</w:t>
      </w:r>
    </w:p>
    <w:p w14:paraId="466DC11A" w14:textId="356343C1" w:rsidR="00993E04" w:rsidRPr="004E2389" w:rsidRDefault="00993E04" w:rsidP="00993E0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The Rationale: This combination (canonical structure + high model disagreement) makes them emblematic of a major challenge in HLA-peptide prediction. If a peptide is perfectly canonical but a predictor still fails to recognize it, it provides an ideal "diagnostic target." Our integrated </w:t>
      </w:r>
      <w:r w:rsidRPr="004E2389">
        <w:rPr>
          <w:rFonts w:ascii="Arial" w:eastAsia="宋体" w:hAnsi="Arial" w:cs="Arial"/>
          <w:color w:val="0070C0"/>
          <w:kern w:val="0"/>
          <w:sz w:val="22"/>
        </w:rPr>
        <w:lastRenderedPageBreak/>
        <w:t xml:space="preserve">pipeline—using XAI to map internal model attention, followed by APE-Gen2.0 and </w:t>
      </w:r>
      <w:proofErr w:type="spellStart"/>
      <w:r w:rsidRPr="004E2389">
        <w:rPr>
          <w:rFonts w:ascii="Arial" w:eastAsia="宋体" w:hAnsi="Arial" w:cs="Arial"/>
          <w:color w:val="0070C0"/>
          <w:kern w:val="0"/>
          <w:sz w:val="22"/>
        </w:rPr>
        <w:t>BAlaS</w:t>
      </w:r>
      <w:proofErr w:type="spellEnd"/>
      <w:r w:rsidRPr="004E2389">
        <w:rPr>
          <w:rFonts w:ascii="Arial" w:eastAsia="宋体" w:hAnsi="Arial" w:cs="Arial"/>
          <w:color w:val="0070C0"/>
          <w:kern w:val="0"/>
          <w:sz w:val="22"/>
        </w:rPr>
        <w:t xml:space="preserve"> to compute empirical ΔΔG baseline—can thus precisely diagnose why a specific tool failed. For instance, it allows us to see if a failing tool systematically ignored a high-energy anchor residue that it should have recognized.</w:t>
      </w:r>
    </w:p>
    <w:p w14:paraId="7B95DAB5" w14:textId="77777777" w:rsidR="00993E04" w:rsidRPr="004E2389" w:rsidRDefault="00993E04" w:rsidP="00993E0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Furthermore, we would like to clarify the broader scope of this analysis. The primary objective of this section is to propose and demonstrate a novel, integrated methodological pipeline that bridges sequence-based prediction, XAI, structural modeling, and thermodynamic scanning. While these three specific peptides effectively validate the utility of this framework, exhaustively mapping out all canonical vs. non-canonical binding rules across all alleles is beyond the current scope. Instead, our goal is to provide this established pipeline as a robust, transparent blueprint for the community and future tool developers to debug and interpret their models.</w:t>
      </w:r>
    </w:p>
    <w:p w14:paraId="3EF450E8" w14:textId="5C454929" w:rsidR="00993E04" w:rsidRPr="004E2389" w:rsidRDefault="00993E04" w:rsidP="00993E0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bCs/>
          <w:color w:val="0070C0"/>
          <w:kern w:val="0"/>
          <w:sz w:val="22"/>
        </w:rPr>
        <w:t xml:space="preserve">Modifications in the manuscript: </w:t>
      </w:r>
      <w:r w:rsidRPr="004E2389">
        <w:rPr>
          <w:rFonts w:ascii="Arial" w:eastAsia="宋体" w:hAnsi="Arial" w:cs="Arial"/>
          <w:color w:val="0070C0"/>
          <w:kern w:val="0"/>
          <w:sz w:val="22"/>
        </w:rPr>
        <w:t xml:space="preserve">To ensure this rationale is clear to all readers, we have explicitly expanded the justification in the Results section. The revised text now reads: "To better understand the underlying reasons for divergent peptide binding predictions, we conducted a detailed analysis of three specific peptides: NAAERRGPL (HLA-A*02:01), HVEKLARTL (HLA-B*15:02), and SLIARLERL (HLA-C*05:01). These peptides were deliberately selected from the test subsets because they represent the intersection of two critical extremes: they possess highly canonical binding motifs for their respective alleles, yet they exhibited significant prediction discordance across the evaluated tools. This combination makes them ideal diagnostic targets to demonstrate our proposed interpretability pipeline, allowing us to utilize XAI and computational </w:t>
      </w:r>
      <w:r w:rsidR="00F44DA8" w:rsidRPr="004E2389">
        <w:rPr>
          <w:rFonts w:ascii="Arial" w:eastAsia="宋体" w:hAnsi="Arial" w:cs="Arial"/>
          <w:color w:val="0070C0"/>
          <w:kern w:val="0"/>
          <w:sz w:val="22"/>
        </w:rPr>
        <w:t xml:space="preserve">ΔΔG </w:t>
      </w:r>
      <w:r w:rsidRPr="004E2389">
        <w:rPr>
          <w:rFonts w:ascii="Arial" w:eastAsia="宋体" w:hAnsi="Arial" w:cs="Arial"/>
          <w:color w:val="0070C0"/>
          <w:kern w:val="0"/>
          <w:sz w:val="22"/>
        </w:rPr>
        <w:t>scanning to pinpoint exactly how and why certain models fail to recognize classical binding features." (Lines XX–XX).</w:t>
      </w:r>
    </w:p>
    <w:p w14:paraId="179DA86A" w14:textId="77777777" w:rsidR="004021C9" w:rsidRPr="004E2389" w:rsidRDefault="004021C9"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0514F515" w14:textId="77777777" w:rsidR="00DF4375" w:rsidRPr="004E2389" w:rsidRDefault="00DF4375">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032E6BC9" w14:textId="0AD41421" w:rsidR="004021C9" w:rsidRPr="004E2389"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E2389">
        <w:rPr>
          <w:rFonts w:ascii="Arial" w:eastAsia="宋体" w:hAnsi="Arial" w:cs="Arial"/>
          <w:b/>
          <w:bCs/>
          <w:color w:val="000000"/>
          <w:kern w:val="0"/>
          <w:sz w:val="22"/>
        </w:rPr>
        <w:lastRenderedPageBreak/>
        <w:t>5. The authors rely on computationally predicted structures (via APE-Gen2.0) for interpreting model explainability, rather than utilizing experimentally determined HLA-peptide complexes from the Protein Data Bank (PDB). The use of existing crystal structures from the PDB would provide a more objective and biophysically reliable ground truth for validation. The authors should clarify their rationale for not incorporating available experimental structures.</w:t>
      </w:r>
    </w:p>
    <w:p w14:paraId="16570B51" w14:textId="77777777" w:rsidR="00657DE7" w:rsidRPr="00657DE7" w:rsidRDefault="00657DE7" w:rsidP="00657DE7">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657DE7">
        <w:rPr>
          <w:rFonts w:ascii="Arial" w:eastAsia="宋体" w:hAnsi="Arial" w:cs="Arial"/>
          <w:b/>
          <w:bCs/>
          <w:color w:val="833C0B" w:themeColor="accent2" w:themeShade="80"/>
          <w:kern w:val="0"/>
          <w:sz w:val="22"/>
        </w:rPr>
        <w:t>NEW RESPONSE:</w:t>
      </w:r>
    </w:p>
    <w:p w14:paraId="2459D741" w14:textId="32E5BA2F" w:rsidR="00657DE7" w:rsidRPr="00657DE7" w:rsidRDefault="00657DE7" w:rsidP="00657DE7">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657DE7">
        <w:rPr>
          <w:rFonts w:ascii="Arial" w:eastAsia="宋体" w:hAnsi="Arial" w:cs="Arial"/>
          <w:color w:val="833C0B" w:themeColor="accent2" w:themeShade="80"/>
          <w:kern w:val="0"/>
          <w:sz w:val="22"/>
        </w:rPr>
        <w:t>We sincerely thank the reviewer for this insightful comment. We completely agree that experimentally determined structures from the Protein Data Bank (PDB) represent the absolute gold standard for biophysical accuracy. However, relying on PDB structures for our XAI validation was methodologically unfeasible due to two critical constraints inherent to rigorous machine learning benchmarking:</w:t>
      </w:r>
    </w:p>
    <w:p w14:paraId="25A38E44" w14:textId="5DA1649B" w:rsidR="00657DE7" w:rsidRPr="00657DE7" w:rsidRDefault="00657DE7" w:rsidP="00657DE7">
      <w:pPr>
        <w:widowControl/>
        <w:numPr>
          <w:ilvl w:val="0"/>
          <w:numId w:val="11"/>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657DE7">
        <w:rPr>
          <w:rFonts w:ascii="Arial" w:eastAsia="宋体" w:hAnsi="Arial" w:cs="Arial"/>
          <w:b/>
          <w:bCs/>
          <w:color w:val="833C0B" w:themeColor="accent2" w:themeShade="80"/>
          <w:kern w:val="0"/>
          <w:sz w:val="22"/>
        </w:rPr>
        <w:t>Prevention of Data Leakage:</w:t>
      </w:r>
      <w:r w:rsidRPr="00657DE7">
        <w:rPr>
          <w:rFonts w:ascii="Arial" w:eastAsia="宋体" w:hAnsi="Arial" w:cs="Arial"/>
          <w:color w:val="833C0B" w:themeColor="accent2" w:themeShade="80"/>
          <w:kern w:val="0"/>
          <w:sz w:val="22"/>
        </w:rPr>
        <w:t xml:space="preserve"> This is the most fundamental limitation. The experimentally validated peptide-HLA complexes in the PDB have almost certainly been ingested into the training datasets of the evaluated tools. As detailed in our methodology, ensuring a strictly zero-leakage test set was paramount. Evaluating XAI on PDB structures would simply test the models' ability to 'memorize' training data rather than their true interpretability and generalization on novel, unseen sequences.</w:t>
      </w:r>
    </w:p>
    <w:p w14:paraId="0E957C48" w14:textId="77777777" w:rsidR="00657DE7" w:rsidRPr="00657DE7" w:rsidRDefault="00657DE7" w:rsidP="00657DE7">
      <w:pPr>
        <w:widowControl/>
        <w:numPr>
          <w:ilvl w:val="0"/>
          <w:numId w:val="11"/>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657DE7">
        <w:rPr>
          <w:rFonts w:ascii="Arial" w:eastAsia="宋体" w:hAnsi="Arial" w:cs="Arial"/>
          <w:b/>
          <w:bCs/>
          <w:color w:val="833C0B" w:themeColor="accent2" w:themeShade="80"/>
          <w:kern w:val="0"/>
          <w:sz w:val="22"/>
        </w:rPr>
        <w:t>Coverage Limits and Extreme Selection Bias:</w:t>
      </w:r>
      <w:r w:rsidRPr="00657DE7">
        <w:rPr>
          <w:rFonts w:ascii="Arial" w:eastAsia="宋体" w:hAnsi="Arial" w:cs="Arial"/>
          <w:color w:val="833C0B" w:themeColor="accent2" w:themeShade="80"/>
          <w:kern w:val="0"/>
          <w:sz w:val="22"/>
        </w:rPr>
        <w:t xml:space="preserve"> Our comprehensive benchmark spans 44 diverse HLA alleles and multiple peptide lengths (8–11 </w:t>
      </w:r>
      <w:proofErr w:type="spellStart"/>
      <w:r w:rsidRPr="00657DE7">
        <w:rPr>
          <w:rFonts w:ascii="Arial" w:eastAsia="宋体" w:hAnsi="Arial" w:cs="Arial"/>
          <w:color w:val="833C0B" w:themeColor="accent2" w:themeShade="80"/>
          <w:kern w:val="0"/>
          <w:sz w:val="22"/>
        </w:rPr>
        <w:t>mers</w:t>
      </w:r>
      <w:proofErr w:type="spellEnd"/>
      <w:r w:rsidRPr="00657DE7">
        <w:rPr>
          <w:rFonts w:ascii="Arial" w:eastAsia="宋体" w:hAnsi="Arial" w:cs="Arial"/>
          <w:color w:val="833C0B" w:themeColor="accent2" w:themeShade="80"/>
          <w:kern w:val="0"/>
          <w:sz w:val="22"/>
        </w:rPr>
        <w:t>), whereas the PDB is heavily skewed toward a few widely studied alleles (e.g., HLA-A*02:01 9-mers) and exclusively contains high-affinity 'true positive' binders. To rigorously stress-test these tools, we deliberately selected 300 highly representative peptides (</w:t>
      </w:r>
      <w:r w:rsidRPr="00657DE7">
        <w:rPr>
          <w:rFonts w:ascii="Arial" w:eastAsia="宋体" w:hAnsi="Arial" w:cs="Arial"/>
          <w:b/>
          <w:bCs/>
          <w:color w:val="833C0B" w:themeColor="accent2" w:themeShade="80"/>
          <w:kern w:val="0"/>
          <w:sz w:val="22"/>
        </w:rPr>
        <w:t>Supplementary Table S15</w:t>
      </w:r>
      <w:r w:rsidRPr="00657DE7">
        <w:rPr>
          <w:rFonts w:ascii="Arial" w:eastAsia="宋体" w:hAnsi="Arial" w:cs="Arial"/>
          <w:color w:val="833C0B" w:themeColor="accent2" w:themeShade="80"/>
          <w:kern w:val="0"/>
          <w:sz w:val="22"/>
        </w:rPr>
        <w:t>) and specific 'diagnostic targets' that provoked massive prediction discordance across tools (</w:t>
      </w:r>
      <w:r w:rsidRPr="00657DE7">
        <w:rPr>
          <w:rFonts w:ascii="Arial" w:eastAsia="宋体" w:hAnsi="Arial" w:cs="Arial"/>
          <w:b/>
          <w:bCs/>
          <w:color w:val="833C0B" w:themeColor="accent2" w:themeShade="80"/>
          <w:kern w:val="0"/>
          <w:sz w:val="22"/>
        </w:rPr>
        <w:t>Figure 4</w:t>
      </w:r>
      <w:r w:rsidRPr="00657DE7">
        <w:rPr>
          <w:rFonts w:ascii="Arial" w:eastAsia="宋体" w:hAnsi="Arial" w:cs="Arial"/>
          <w:color w:val="833C0B" w:themeColor="accent2" w:themeShade="80"/>
          <w:kern w:val="0"/>
          <w:sz w:val="22"/>
        </w:rPr>
        <w:t xml:space="preserve"> and </w:t>
      </w:r>
      <w:r w:rsidRPr="00657DE7">
        <w:rPr>
          <w:rFonts w:ascii="Arial" w:eastAsia="宋体" w:hAnsi="Arial" w:cs="Arial"/>
          <w:b/>
          <w:bCs/>
          <w:color w:val="833C0B" w:themeColor="accent2" w:themeShade="80"/>
          <w:kern w:val="0"/>
          <w:sz w:val="22"/>
        </w:rPr>
        <w:t>Supplementary Table S16</w:t>
      </w:r>
      <w:r w:rsidRPr="00657DE7">
        <w:rPr>
          <w:rFonts w:ascii="Arial" w:eastAsia="宋体" w:hAnsi="Arial" w:cs="Arial"/>
          <w:color w:val="833C0B" w:themeColor="accent2" w:themeShade="80"/>
          <w:kern w:val="0"/>
          <w:sz w:val="22"/>
        </w:rPr>
        <w:t>). By definition, these deeply problematic or false-negative-prone sequences are absent from the PDB.</w:t>
      </w:r>
    </w:p>
    <w:p w14:paraId="17CD84C4" w14:textId="32247258" w:rsidR="00657DE7" w:rsidRPr="00657DE7" w:rsidRDefault="00657DE7" w:rsidP="00657DE7">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657DE7">
        <w:rPr>
          <w:rFonts w:ascii="Arial" w:eastAsia="宋体" w:hAnsi="Arial" w:cs="Arial"/>
          <w:color w:val="833C0B" w:themeColor="accent2" w:themeShade="80"/>
          <w:kern w:val="0"/>
          <w:sz w:val="22"/>
        </w:rPr>
        <w:t>Therefore, while the PDB is the ultimate physical ground truth, employing a highly accurate structural modeling tool (APE-Gen2.0) combined with thermodynamic scanning (</w:t>
      </w:r>
      <w:proofErr w:type="spellStart"/>
      <w:r w:rsidRPr="00657DE7">
        <w:rPr>
          <w:rFonts w:ascii="Arial" w:eastAsia="宋体" w:hAnsi="Arial" w:cs="Arial"/>
          <w:color w:val="833C0B" w:themeColor="accent2" w:themeShade="80"/>
          <w:kern w:val="0"/>
          <w:sz w:val="22"/>
        </w:rPr>
        <w:t>BAlaS</w:t>
      </w:r>
      <w:proofErr w:type="spellEnd"/>
      <w:r w:rsidRPr="00657DE7">
        <w:rPr>
          <w:rFonts w:ascii="Arial" w:eastAsia="宋体" w:hAnsi="Arial" w:cs="Arial"/>
          <w:color w:val="833C0B" w:themeColor="accent2" w:themeShade="80"/>
          <w:kern w:val="0"/>
          <w:sz w:val="22"/>
        </w:rPr>
        <w:t xml:space="preserve">) was strictly necessary. This approach provided the only scalable, unbiased, and standardized in </w:t>
      </w:r>
      <w:r w:rsidRPr="00657DE7">
        <w:rPr>
          <w:rFonts w:ascii="Arial" w:eastAsia="宋体" w:hAnsi="Arial" w:cs="Arial"/>
          <w:color w:val="833C0B" w:themeColor="accent2" w:themeShade="80"/>
          <w:kern w:val="0"/>
          <w:sz w:val="22"/>
        </w:rPr>
        <w:lastRenderedPageBreak/>
        <w:t>silico baseline capable of mapping structural energetics across our rigorously filtered, zero-leakage testing dataset without compromising the integrity of the benchmark.</w:t>
      </w:r>
    </w:p>
    <w:p w14:paraId="0E209E74" w14:textId="77777777" w:rsidR="00E10BB7" w:rsidRPr="004E2389" w:rsidRDefault="00E10BB7"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7911B330" w14:textId="5A6C8D78" w:rsidR="00173169" w:rsidRPr="004E2389" w:rsidRDefault="00657DE7" w:rsidP="0017316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bCs/>
          <w:color w:val="0070C0"/>
          <w:kern w:val="0"/>
          <w:sz w:val="22"/>
        </w:rPr>
        <w:t xml:space="preserve">PREVIOUS </w:t>
      </w:r>
      <w:r w:rsidR="00173169" w:rsidRPr="004E2389">
        <w:rPr>
          <w:rFonts w:ascii="Arial" w:eastAsia="宋体" w:hAnsi="Arial" w:cs="Arial"/>
          <w:b/>
          <w:bCs/>
          <w:color w:val="0070C0"/>
          <w:kern w:val="0"/>
          <w:sz w:val="22"/>
        </w:rPr>
        <w:t xml:space="preserve">RESPONSE: </w:t>
      </w:r>
      <w:r w:rsidR="00173169" w:rsidRPr="004E2389">
        <w:rPr>
          <w:rFonts w:ascii="Arial" w:eastAsia="宋体" w:hAnsi="Arial" w:cs="Arial"/>
          <w:color w:val="0070C0"/>
          <w:kern w:val="0"/>
          <w:sz w:val="22"/>
        </w:rPr>
        <w:t>We sincerely thank the reviewer for this insightful comment. We completely agree that experimentally determined structures from the Protein Data Bank (PDB) represent the absolute gold standard for biophysical accuracy. However, our decision to utilize a computational modeling approach (APE-Gen2.0) rather than existing PDB structures was a deliberate methodological choice driven by three critical constraints inherent to rigorous machine learning benchmarking:</w:t>
      </w:r>
    </w:p>
    <w:p w14:paraId="371424B6" w14:textId="77777777" w:rsidR="00173169" w:rsidRPr="004E2389" w:rsidRDefault="00173169" w:rsidP="0017316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1. Prevention of Data Leakage (The "Memorization" Issue): This is the most critical factor. The experimentally validated peptide-HLA complexes available in the PDB are well-known to the community and have almost certainly been included in the training datasets of the eight predictive tools we evaluated. If we were to use PDB structures for our XAI validation, we would be evaluating the models' interpretability on data they have already "memorized" during training. By using APE-Gen2.0 to model de novo structures for novel peptides from our rigorously filtered test set (which strictly excludes any training data overlap), we ensure a fair, objective evaluation of the models' true generalization capabilities and internal logic on unseen data.</w:t>
      </w:r>
    </w:p>
    <w:p w14:paraId="1AD11FBA" w14:textId="77777777" w:rsidR="00173169" w:rsidRPr="004E2389" w:rsidRDefault="00173169" w:rsidP="0017316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2. Insufficient Allele and Length Coverage: Our benchmarking study is designed to be comprehensive, evaluating 44 different HLA alleles across multiple peptide lengths (8–11 </w:t>
      </w:r>
      <w:proofErr w:type="spellStart"/>
      <w:r w:rsidRPr="004E2389">
        <w:rPr>
          <w:rFonts w:ascii="Arial" w:eastAsia="宋体" w:hAnsi="Arial" w:cs="Arial"/>
          <w:color w:val="0070C0"/>
          <w:kern w:val="0"/>
          <w:sz w:val="22"/>
        </w:rPr>
        <w:t>mers</w:t>
      </w:r>
      <w:proofErr w:type="spellEnd"/>
      <w:r w:rsidRPr="004E2389">
        <w:rPr>
          <w:rFonts w:ascii="Arial" w:eastAsia="宋体" w:hAnsi="Arial" w:cs="Arial"/>
          <w:color w:val="0070C0"/>
          <w:kern w:val="0"/>
          <w:sz w:val="22"/>
        </w:rPr>
        <w:t>). The PDB, while invaluable, is heavily skewed toward a few widely studied alleles (e.g., HLA-A*02:01) and specific canonical lengths (mostly 9-mers). Relying solely on PDB data would severely restrict our interpretability analysis to a narrow, unrepresentative subset, failing to meet the extensive validation requirements of our multi-allele study.</w:t>
      </w:r>
    </w:p>
    <w:p w14:paraId="63BAF298" w14:textId="77777777" w:rsidR="00173169" w:rsidRPr="004E2389" w:rsidRDefault="00173169" w:rsidP="0017316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3. Inherent Positive-Class Bias: The PDB inherently suffers from extreme selection bias, as it almost exclusively contains successfully crystallized, high-affinity binding complexes (true positives). However, to rigorously test the predictors and our XAI pipeline, we must understand how tools behave across diverse sequences, including why they might incorrectly predict a canonical peptide as negative (false negatives) or produce highly discordant results. A robust </w:t>
      </w:r>
      <w:r w:rsidRPr="004E2389">
        <w:rPr>
          <w:rFonts w:ascii="Arial" w:eastAsia="宋体" w:hAnsi="Arial" w:cs="Arial"/>
          <w:color w:val="0070C0"/>
          <w:kern w:val="0"/>
          <w:sz w:val="22"/>
        </w:rPr>
        <w:lastRenderedPageBreak/>
        <w:t>interpretability framework requires the flexibility to model specific novel peptides that expose model weaknesses—peptides that, by definition, do not exist in the PDB.</w:t>
      </w:r>
    </w:p>
    <w:p w14:paraId="15F98AC3" w14:textId="77777777" w:rsidR="00173169" w:rsidRPr="004E2389" w:rsidRDefault="00173169" w:rsidP="00173169">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Therefore, while the PDB is the ultimate physical ground truth, employing a highly accurate, specialized structural modeling tool like APE-Gen2.0 provides a scalable, unbiased, and standardized in silico baseline. This approach is strictly necessary to maintain the integrity of our benchmarking pipeline without compromising on structural insights.</w:t>
      </w:r>
    </w:p>
    <w:p w14:paraId="229EAC49" w14:textId="77777777" w:rsidR="004021C9" w:rsidRPr="004E2389" w:rsidRDefault="004021C9"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0B07D35D" w14:textId="77777777" w:rsidR="00DF4375" w:rsidRPr="004E2389" w:rsidRDefault="00DF4375">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70D7091A" w14:textId="100AD7DC" w:rsidR="004021C9" w:rsidRPr="004A4545"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A4545">
        <w:rPr>
          <w:rFonts w:ascii="Arial" w:eastAsia="宋体" w:hAnsi="Arial" w:cs="Arial"/>
          <w:b/>
          <w:bCs/>
          <w:color w:val="000000"/>
          <w:kern w:val="0"/>
          <w:sz w:val="22"/>
        </w:rPr>
        <w:lastRenderedPageBreak/>
        <w:t>6. The description in the manuscript states that "values generally correlating with computed ΔΔG" and that "residues with higher ΔΔG typically received higher attribution scores" (based on Figure 4J-K). However, this claimed correlation is not substantiated by any visual or statistical evidence within the provided text or figures.</w:t>
      </w:r>
    </w:p>
    <w:p w14:paraId="6D60604A" w14:textId="77777777" w:rsidR="00546A45" w:rsidRPr="00546A45" w:rsidRDefault="00546A45" w:rsidP="00546A4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6A45">
        <w:rPr>
          <w:rFonts w:ascii="Arial" w:eastAsia="宋体" w:hAnsi="Arial" w:cs="Arial"/>
          <w:b/>
          <w:bCs/>
          <w:color w:val="833C0B" w:themeColor="accent2" w:themeShade="80"/>
          <w:kern w:val="0"/>
          <w:sz w:val="22"/>
        </w:rPr>
        <w:t>NEW RESPONSE:</w:t>
      </w:r>
    </w:p>
    <w:p w14:paraId="255AF1C4" w14:textId="2CB90F01" w:rsidR="00546A45" w:rsidRPr="00546A45" w:rsidRDefault="00546A45" w:rsidP="00546A4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6A45">
        <w:rPr>
          <w:rFonts w:ascii="Arial" w:eastAsia="宋体" w:hAnsi="Arial" w:cs="Arial"/>
          <w:color w:val="833C0B" w:themeColor="accent2" w:themeShade="80"/>
          <w:kern w:val="0"/>
          <w:sz w:val="22"/>
        </w:rPr>
        <w:t xml:space="preserve">We sincerely thank the reviewer for their meticulous reading and for pointing out this critical omission. We completely agree that our original claim regarding the correlation between attribution scores and computed </w:t>
      </w:r>
      <w:r w:rsidR="004E2389" w:rsidRPr="004E2389">
        <w:rPr>
          <w:rFonts w:ascii="Arial" w:eastAsia="宋体" w:hAnsi="Arial" w:cs="Arial"/>
          <w:color w:val="833C0B" w:themeColor="accent2" w:themeShade="80"/>
          <w:kern w:val="0"/>
          <w:sz w:val="22"/>
        </w:rPr>
        <w:t xml:space="preserve">ΔΔG </w:t>
      </w:r>
      <w:r w:rsidRPr="00546A45">
        <w:rPr>
          <w:rFonts w:ascii="Arial" w:eastAsia="宋体" w:hAnsi="Arial" w:cs="Arial"/>
          <w:color w:val="833C0B" w:themeColor="accent2" w:themeShade="80"/>
          <w:kern w:val="0"/>
          <w:sz w:val="22"/>
        </w:rPr>
        <w:t>lacked explicit visual and statistical substantiation.</w:t>
      </w:r>
    </w:p>
    <w:p w14:paraId="2CF9C1D9" w14:textId="77777777" w:rsidR="00546A45" w:rsidRPr="00546A45" w:rsidRDefault="00546A45" w:rsidP="00546A4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6A45">
        <w:rPr>
          <w:rFonts w:ascii="Arial" w:eastAsia="宋体" w:hAnsi="Arial" w:cs="Arial"/>
          <w:color w:val="833C0B" w:themeColor="accent2" w:themeShade="80"/>
          <w:kern w:val="0"/>
          <w:sz w:val="22"/>
        </w:rPr>
        <w:t xml:space="preserve">While our interpretability pipeline was theoretically grounded in the rigorously validated framework recently developed by </w:t>
      </w:r>
      <w:proofErr w:type="spellStart"/>
      <w:r w:rsidRPr="00546A45">
        <w:rPr>
          <w:rFonts w:ascii="Arial" w:eastAsia="宋体" w:hAnsi="Arial" w:cs="Arial"/>
          <w:color w:val="833C0B" w:themeColor="accent2" w:themeShade="80"/>
          <w:kern w:val="0"/>
          <w:sz w:val="22"/>
        </w:rPr>
        <w:t>Borole</w:t>
      </w:r>
      <w:proofErr w:type="spellEnd"/>
      <w:r w:rsidRPr="00546A45">
        <w:rPr>
          <w:rFonts w:ascii="Arial" w:eastAsia="宋体" w:hAnsi="Arial" w:cs="Arial"/>
          <w:color w:val="833C0B" w:themeColor="accent2" w:themeShade="80"/>
          <w:kern w:val="0"/>
          <w:sz w:val="22"/>
        </w:rPr>
        <w:t xml:space="preserve"> et al. (2024), we fully agree that relying on prior literature is insufficient; this correlation must be explicitly demonstrated within our own dataset. Prompted by your highly constructive critique, we have now fully substantiated this claim with rigorous statistical testing and comprehensive visual updates:</w:t>
      </w:r>
    </w:p>
    <w:p w14:paraId="048E6CEA" w14:textId="5CEE2A2D" w:rsidR="00546A45" w:rsidRPr="00546A45" w:rsidRDefault="00546A45" w:rsidP="00546A45">
      <w:pPr>
        <w:widowControl/>
        <w:numPr>
          <w:ilvl w:val="0"/>
          <w:numId w:val="12"/>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6A45">
        <w:rPr>
          <w:rFonts w:ascii="Arial" w:eastAsia="宋体" w:hAnsi="Arial" w:cs="Arial"/>
          <w:b/>
          <w:bCs/>
          <w:color w:val="833C0B" w:themeColor="accent2" w:themeShade="80"/>
          <w:kern w:val="0"/>
          <w:sz w:val="22"/>
        </w:rPr>
        <w:t>Explicit Correlation Analysis:</w:t>
      </w:r>
      <w:r w:rsidRPr="00546A45">
        <w:rPr>
          <w:rFonts w:ascii="Arial" w:eastAsia="宋体" w:hAnsi="Arial" w:cs="Arial"/>
          <w:color w:val="833C0B" w:themeColor="accent2" w:themeShade="80"/>
          <w:kern w:val="0"/>
          <w:sz w:val="22"/>
        </w:rPr>
        <w:t xml:space="preserve"> We quantified the exact relationship between the XAI attribution vectors and the ensemble-averaged </w:t>
      </w:r>
      <w:r w:rsidR="004E2389" w:rsidRPr="004E2389">
        <w:rPr>
          <w:rFonts w:ascii="Arial" w:eastAsia="宋体" w:hAnsi="Arial" w:cs="Arial"/>
          <w:color w:val="833C0B" w:themeColor="accent2" w:themeShade="80"/>
          <w:kern w:val="0"/>
          <w:sz w:val="22"/>
        </w:rPr>
        <w:t xml:space="preserve">ΔΔG </w:t>
      </w:r>
      <w:r w:rsidRPr="00546A45">
        <w:rPr>
          <w:rFonts w:ascii="Arial" w:eastAsia="宋体" w:hAnsi="Arial" w:cs="Arial"/>
          <w:color w:val="833C0B" w:themeColor="accent2" w:themeShade="80"/>
          <w:kern w:val="0"/>
          <w:sz w:val="22"/>
        </w:rPr>
        <w:t>landscapes. We have added new scatter plots (</w:t>
      </w:r>
      <w:r w:rsidRPr="00546A45">
        <w:rPr>
          <w:rFonts w:ascii="Arial" w:eastAsia="宋体" w:hAnsi="Arial" w:cs="Arial"/>
          <w:b/>
          <w:bCs/>
          <w:color w:val="833C0B" w:themeColor="accent2" w:themeShade="80"/>
          <w:kern w:val="0"/>
          <w:sz w:val="22"/>
        </w:rPr>
        <w:t>Supplementary Figure S11</w:t>
      </w:r>
      <w:r w:rsidRPr="00546A45">
        <w:rPr>
          <w:rFonts w:ascii="Arial" w:eastAsia="宋体" w:hAnsi="Arial" w:cs="Arial"/>
          <w:color w:val="833C0B" w:themeColor="accent2" w:themeShade="80"/>
          <w:kern w:val="0"/>
          <w:sz w:val="22"/>
        </w:rPr>
        <w:t>) that explicitly map SHAP and LIME scores against the biophysical</w:t>
      </w:r>
      <w:r w:rsidR="004E2389" w:rsidRPr="004E2389">
        <w:rPr>
          <w:rFonts w:ascii="Arial" w:eastAsia="宋体" w:hAnsi="Arial" w:cs="Arial"/>
          <w:color w:val="833C0B" w:themeColor="accent2" w:themeShade="80"/>
          <w:kern w:val="0"/>
          <w:sz w:val="22"/>
        </w:rPr>
        <w:t xml:space="preserve"> ΔΔG</w:t>
      </w:r>
      <w:r w:rsidRPr="00546A45">
        <w:rPr>
          <w:rFonts w:ascii="Arial" w:eastAsia="宋体" w:hAnsi="Arial" w:cs="Arial"/>
          <w:color w:val="833C0B" w:themeColor="accent2" w:themeShade="80"/>
          <w:kern w:val="0"/>
          <w:sz w:val="22"/>
        </w:rPr>
        <w:t xml:space="preserve"> values. These plots clearly display the positive correlation trends, statistically substantiated by Spearman’s rank correlation coefficients and exact </w:t>
      </w:r>
      <w:r w:rsidRPr="00546A45">
        <w:rPr>
          <w:rFonts w:ascii="Arial" w:eastAsia="宋体" w:hAnsi="Arial" w:cs="Arial"/>
          <w:i/>
          <w:iCs/>
          <w:color w:val="833C0B" w:themeColor="accent2" w:themeShade="80"/>
          <w:kern w:val="0"/>
          <w:sz w:val="22"/>
        </w:rPr>
        <w:t>p</w:t>
      </w:r>
      <w:r w:rsidRPr="00546A45">
        <w:rPr>
          <w:rFonts w:ascii="Arial" w:eastAsia="宋体" w:hAnsi="Arial" w:cs="Arial"/>
          <w:color w:val="833C0B" w:themeColor="accent2" w:themeShade="80"/>
          <w:kern w:val="0"/>
          <w:sz w:val="22"/>
        </w:rPr>
        <w:t>-values for each predictor.</w:t>
      </w:r>
    </w:p>
    <w:p w14:paraId="66F500A2" w14:textId="0DDA0FE4" w:rsidR="00546A45" w:rsidRPr="00546A45" w:rsidRDefault="00546A45" w:rsidP="00546A45">
      <w:pPr>
        <w:widowControl/>
        <w:numPr>
          <w:ilvl w:val="0"/>
          <w:numId w:val="12"/>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6A45">
        <w:rPr>
          <w:rFonts w:ascii="Arial" w:eastAsia="宋体" w:hAnsi="Arial" w:cs="Arial"/>
          <w:b/>
          <w:bCs/>
          <w:color w:val="833C0B" w:themeColor="accent2" w:themeShade="80"/>
          <w:kern w:val="0"/>
          <w:sz w:val="22"/>
        </w:rPr>
        <w:t>Categorical Validation:</w:t>
      </w:r>
      <w:r w:rsidRPr="00546A45">
        <w:rPr>
          <w:rFonts w:ascii="Arial" w:eastAsia="宋体" w:hAnsi="Arial" w:cs="Arial"/>
          <w:color w:val="833C0B" w:themeColor="accent2" w:themeShade="80"/>
          <w:kern w:val="0"/>
          <w:sz w:val="22"/>
        </w:rPr>
        <w:t xml:space="preserve"> To further prove that 'residues with higher </w:t>
      </w:r>
      <w:r w:rsidR="004E2389" w:rsidRPr="004E2389">
        <w:rPr>
          <w:rFonts w:ascii="Arial" w:eastAsia="宋体" w:hAnsi="Arial" w:cs="Arial"/>
          <w:color w:val="833C0B" w:themeColor="accent2" w:themeShade="80"/>
          <w:kern w:val="0"/>
          <w:sz w:val="22"/>
        </w:rPr>
        <w:t xml:space="preserve">ΔΔG </w:t>
      </w:r>
      <w:r w:rsidRPr="00546A45">
        <w:rPr>
          <w:rFonts w:ascii="Arial" w:eastAsia="宋体" w:hAnsi="Arial" w:cs="Arial"/>
          <w:color w:val="833C0B" w:themeColor="accent2" w:themeShade="80"/>
          <w:kern w:val="0"/>
          <w:sz w:val="22"/>
        </w:rPr>
        <w:t xml:space="preserve">typically received higher attribution scores,' we stratified the residues into biophysically 'Critical' </w:t>
      </w:r>
      <w:proofErr w:type="gramStart"/>
      <w:r w:rsidRPr="00546A45">
        <w:rPr>
          <w:rFonts w:ascii="Arial" w:eastAsia="宋体" w:hAnsi="Arial" w:cs="Arial"/>
          <w:color w:val="833C0B" w:themeColor="accent2" w:themeShade="80"/>
          <w:kern w:val="0"/>
          <w:sz w:val="22"/>
        </w:rPr>
        <w:t xml:space="preserve">( </w:t>
      </w:r>
      <w:r w:rsidR="004E2389" w:rsidRPr="004E2389">
        <w:rPr>
          <w:rFonts w:ascii="Arial" w:eastAsia="宋体" w:hAnsi="Arial" w:cs="Arial"/>
          <w:color w:val="833C0B" w:themeColor="accent2" w:themeShade="80"/>
          <w:kern w:val="0"/>
          <w:sz w:val="22"/>
        </w:rPr>
        <w:t>ΔΔ</w:t>
      </w:r>
      <w:proofErr w:type="gramEnd"/>
      <w:r w:rsidR="004E2389" w:rsidRPr="004E2389">
        <w:rPr>
          <w:rFonts w:ascii="Arial" w:eastAsia="宋体" w:hAnsi="Arial" w:cs="Arial"/>
          <w:color w:val="833C0B" w:themeColor="accent2" w:themeShade="80"/>
          <w:kern w:val="0"/>
          <w:sz w:val="22"/>
        </w:rPr>
        <w:t>G ≥</w:t>
      </w:r>
      <w:r w:rsidRPr="00546A45">
        <w:rPr>
          <w:rFonts w:ascii="Arial" w:eastAsia="宋体" w:hAnsi="Arial" w:cs="Arial"/>
          <w:color w:val="833C0B" w:themeColor="accent2" w:themeShade="80"/>
          <w:kern w:val="0"/>
          <w:sz w:val="22"/>
        </w:rPr>
        <w:t>4.184 kJ/mol) and 'Non-Critical' groups. As visualized in the newly added boxplots (</w:t>
      </w:r>
      <w:r w:rsidRPr="00546A45">
        <w:rPr>
          <w:rFonts w:ascii="Arial" w:eastAsia="宋体" w:hAnsi="Arial" w:cs="Arial"/>
          <w:b/>
          <w:bCs/>
          <w:color w:val="833C0B" w:themeColor="accent2" w:themeShade="80"/>
          <w:kern w:val="0"/>
          <w:sz w:val="22"/>
        </w:rPr>
        <w:t>Supplementary Figure S12</w:t>
      </w:r>
      <w:r w:rsidRPr="00546A45">
        <w:rPr>
          <w:rFonts w:ascii="Arial" w:eastAsia="宋体" w:hAnsi="Arial" w:cs="Arial"/>
          <w:color w:val="833C0B" w:themeColor="accent2" w:themeShade="80"/>
          <w:kern w:val="0"/>
          <w:sz w:val="22"/>
        </w:rPr>
        <w:t>), both SHAP and LIME scores are significantly higher for the critical anchor residues, a finding rigorously confirmed via two-sided Wilcoxon rank-sum tests.</w:t>
      </w:r>
    </w:p>
    <w:p w14:paraId="70C03127" w14:textId="77D9AF4E" w:rsidR="005E3A37" w:rsidRPr="004E2389" w:rsidRDefault="00546A45" w:rsidP="006D7532">
      <w:pPr>
        <w:widowControl/>
        <w:numPr>
          <w:ilvl w:val="0"/>
          <w:numId w:val="12"/>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6A45">
        <w:rPr>
          <w:rFonts w:ascii="Arial" w:eastAsia="宋体" w:hAnsi="Arial" w:cs="Arial"/>
          <w:b/>
          <w:bCs/>
          <w:color w:val="833C0B" w:themeColor="accent2" w:themeShade="80"/>
          <w:kern w:val="0"/>
          <w:sz w:val="22"/>
        </w:rPr>
        <w:t>Textual Revision:</w:t>
      </w:r>
      <w:r w:rsidRPr="00546A45">
        <w:rPr>
          <w:rFonts w:ascii="Arial" w:eastAsia="宋体" w:hAnsi="Arial" w:cs="Arial"/>
          <w:color w:val="833C0B" w:themeColor="accent2" w:themeShade="80"/>
          <w:kern w:val="0"/>
          <w:sz w:val="22"/>
        </w:rPr>
        <w:t xml:space="preserve"> We have revised the text in the </w:t>
      </w:r>
      <w:r w:rsidRPr="00546A45">
        <w:rPr>
          <w:rFonts w:ascii="Arial" w:eastAsia="宋体" w:hAnsi="Arial" w:cs="Arial"/>
          <w:b/>
          <w:bCs/>
          <w:color w:val="833C0B" w:themeColor="accent2" w:themeShade="80"/>
          <w:kern w:val="0"/>
          <w:sz w:val="22"/>
        </w:rPr>
        <w:t xml:space="preserve">Results </w:t>
      </w:r>
      <w:proofErr w:type="spellStart"/>
      <w:r w:rsidRPr="00546A45">
        <w:rPr>
          <w:rFonts w:ascii="Arial" w:eastAsia="宋体" w:hAnsi="Arial" w:cs="Arial"/>
          <w:b/>
          <w:bCs/>
          <w:color w:val="833C0B" w:themeColor="accent2" w:themeShade="80"/>
          <w:kern w:val="0"/>
          <w:sz w:val="22"/>
        </w:rPr>
        <w:t>section</w:t>
      </w:r>
      <w:r w:rsidRPr="00546A45">
        <w:rPr>
          <w:rFonts w:ascii="Arial" w:eastAsia="宋体" w:hAnsi="Arial" w:cs="Arial"/>
          <w:color w:val="833C0B" w:themeColor="accent2" w:themeShade="80"/>
          <w:kern w:val="0"/>
          <w:sz w:val="22"/>
        </w:rPr>
        <w:t>to</w:t>
      </w:r>
      <w:proofErr w:type="spellEnd"/>
      <w:r w:rsidRPr="00546A45">
        <w:rPr>
          <w:rFonts w:ascii="Arial" w:eastAsia="宋体" w:hAnsi="Arial" w:cs="Arial"/>
          <w:color w:val="833C0B" w:themeColor="accent2" w:themeShade="80"/>
          <w:kern w:val="0"/>
          <w:sz w:val="22"/>
        </w:rPr>
        <w:t xml:space="preserve"> ensure that our claims are now directly and unequivocally supported by these newly added statistical metrics.</w:t>
      </w:r>
    </w:p>
    <w:p w14:paraId="048F1C9C" w14:textId="77777777" w:rsidR="00546A45" w:rsidRPr="004E2389" w:rsidRDefault="00546A45" w:rsidP="00546A4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p>
    <w:p w14:paraId="535FEC87" w14:textId="240F2035" w:rsidR="00FF6CDD" w:rsidRPr="004E2389" w:rsidRDefault="002F44D3" w:rsidP="00FF6CD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b/>
          <w:bCs/>
          <w:color w:val="2E74B5" w:themeColor="accent5" w:themeShade="BF"/>
          <w:kern w:val="0"/>
          <w:sz w:val="22"/>
        </w:rPr>
        <w:lastRenderedPageBreak/>
        <w:t xml:space="preserve">PREVIOUS </w:t>
      </w:r>
      <w:r w:rsidR="00FF6CDD" w:rsidRPr="004E2389">
        <w:rPr>
          <w:rFonts w:ascii="Arial" w:eastAsia="宋体" w:hAnsi="Arial" w:cs="Arial"/>
          <w:b/>
          <w:bCs/>
          <w:color w:val="2E74B5" w:themeColor="accent5" w:themeShade="BF"/>
          <w:kern w:val="0"/>
          <w:sz w:val="22"/>
        </w:rPr>
        <w:t>RESPONSE:</w:t>
      </w:r>
      <w:r w:rsidR="00FF6CDD" w:rsidRPr="004E2389">
        <w:rPr>
          <w:rFonts w:ascii="Arial" w:eastAsia="宋体" w:hAnsi="Arial" w:cs="Arial"/>
          <w:color w:val="2E74B5" w:themeColor="accent5" w:themeShade="BF"/>
          <w:kern w:val="0"/>
          <w:sz w:val="22"/>
        </w:rPr>
        <w:t xml:space="preserve"> We sincerely thank the reviewer for their meticulous reading and for pointing out this critical omission. We completely agree that in the original manuscript, the claim regarding the correlation between attribution scores and computed </w:t>
      </w:r>
      <w:r w:rsidR="00D516EF" w:rsidRPr="004E2389">
        <w:rPr>
          <w:rFonts w:ascii="Arial" w:eastAsia="宋体" w:hAnsi="Arial" w:cs="Arial"/>
          <w:color w:val="2E74B5" w:themeColor="accent5" w:themeShade="BF"/>
          <w:kern w:val="0"/>
          <w:sz w:val="22"/>
        </w:rPr>
        <w:t xml:space="preserve">ΔΔG </w:t>
      </w:r>
      <w:r w:rsidR="00FF6CDD" w:rsidRPr="004E2389">
        <w:rPr>
          <w:rFonts w:ascii="Arial" w:eastAsia="宋体" w:hAnsi="Arial" w:cs="Arial"/>
          <w:color w:val="2E74B5" w:themeColor="accent5" w:themeShade="BF"/>
          <w:kern w:val="0"/>
          <w:sz w:val="22"/>
        </w:rPr>
        <w:t>lacked explicit visual and statistical substantiation.</w:t>
      </w:r>
    </w:p>
    <w:p w14:paraId="2201C75E" w14:textId="77777777" w:rsidR="00FF6CDD" w:rsidRPr="004E2389" w:rsidRDefault="00FF6CDD" w:rsidP="00FF6CD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color w:val="2E74B5" w:themeColor="accent5" w:themeShade="BF"/>
          <w:kern w:val="0"/>
          <w:sz w:val="22"/>
        </w:rPr>
        <w:t xml:space="preserve">To address this, we would first like to clarify the theoretical foundation of our approach. Our interpretability pipeline was built upon the rigorously validated framework recently developed by </w:t>
      </w:r>
      <w:proofErr w:type="spellStart"/>
      <w:r w:rsidRPr="004E2389">
        <w:rPr>
          <w:rFonts w:ascii="Arial" w:eastAsia="宋体" w:hAnsi="Arial" w:cs="Arial"/>
          <w:color w:val="2E74B5" w:themeColor="accent5" w:themeShade="BF"/>
          <w:kern w:val="0"/>
          <w:sz w:val="22"/>
        </w:rPr>
        <w:t>Borole</w:t>
      </w:r>
      <w:proofErr w:type="spellEnd"/>
      <w:r w:rsidRPr="004E2389">
        <w:rPr>
          <w:rFonts w:ascii="Arial" w:eastAsia="宋体" w:hAnsi="Arial" w:cs="Arial"/>
          <w:color w:val="2E74B5" w:themeColor="accent5" w:themeShade="BF"/>
          <w:kern w:val="0"/>
          <w:sz w:val="22"/>
        </w:rPr>
        <w:t xml:space="preserve"> and Rajan (2024, Communications Biology). In their foundational study, the authors systematically demonstrated that SHAP and LIME attribution scores for MHC predictors reliably correlate with actual biophysical binding energies derived from true PDB structures. By adapting and expanding their methodology to encompass our specific benchmarked tools, our underlying assumption regarding this correlation was heavily grounded in this established literature.</w:t>
      </w:r>
    </w:p>
    <w:p w14:paraId="394A3033" w14:textId="77777777" w:rsidR="00FF6CDD" w:rsidRPr="004E2389" w:rsidRDefault="00FF6CDD" w:rsidP="00FF6CD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color w:val="2E74B5" w:themeColor="accent5" w:themeShade="BF"/>
          <w:kern w:val="0"/>
          <w:sz w:val="22"/>
        </w:rPr>
        <w:t>However, we entirely agree that relying solely on prior literature is insufficient, and we must explicitly demonstrate this correlation within our own specific dataset and figures.</w:t>
      </w:r>
    </w:p>
    <w:p w14:paraId="6E27E034" w14:textId="33A1D716" w:rsidR="00FF6CDD" w:rsidRPr="004E2389" w:rsidRDefault="00FF6CDD" w:rsidP="00FF6CD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color w:val="2E74B5" w:themeColor="accent5" w:themeShade="BF"/>
          <w:kern w:val="0"/>
          <w:sz w:val="22"/>
        </w:rPr>
        <w:t xml:space="preserve">Prompted by your highly constructive critique (and aligning with complementary feedback from another reviewer), we have now performed the missing statistical validation. As detailed in our expanded methodology, we utilized APE-Gen2.0 to generate an ensemble of structural conformations for the representative peptides and applied </w:t>
      </w:r>
      <w:proofErr w:type="spellStart"/>
      <w:r w:rsidRPr="004E2389">
        <w:rPr>
          <w:rFonts w:ascii="Arial" w:eastAsia="宋体" w:hAnsi="Arial" w:cs="Arial"/>
          <w:color w:val="2E74B5" w:themeColor="accent5" w:themeShade="BF"/>
          <w:kern w:val="0"/>
          <w:sz w:val="22"/>
        </w:rPr>
        <w:t>BAlaS</w:t>
      </w:r>
      <w:proofErr w:type="spellEnd"/>
      <w:r w:rsidRPr="004E2389">
        <w:rPr>
          <w:rFonts w:ascii="Arial" w:eastAsia="宋体" w:hAnsi="Arial" w:cs="Arial"/>
          <w:color w:val="2E74B5" w:themeColor="accent5" w:themeShade="BF"/>
          <w:kern w:val="0"/>
          <w:sz w:val="22"/>
        </w:rPr>
        <w:t xml:space="preserve"> to compute the mean binding free energy penalty (</w:t>
      </w:r>
      <w:r w:rsidR="00D516EF" w:rsidRPr="004E2389">
        <w:rPr>
          <w:rFonts w:ascii="Arial" w:eastAsia="宋体" w:hAnsi="Arial" w:cs="Arial"/>
          <w:color w:val="2E74B5" w:themeColor="accent5" w:themeShade="BF"/>
          <w:kern w:val="0"/>
          <w:sz w:val="22"/>
        </w:rPr>
        <w:t>ΔΔG</w:t>
      </w:r>
      <w:r w:rsidRPr="004E2389">
        <w:rPr>
          <w:rFonts w:ascii="Arial" w:eastAsia="宋体" w:hAnsi="Arial" w:cs="Arial"/>
          <w:color w:val="2E74B5" w:themeColor="accent5" w:themeShade="BF"/>
          <w:kern w:val="0"/>
          <w:sz w:val="22"/>
        </w:rPr>
        <w:t>) and its variance across the ensemble.</w:t>
      </w:r>
    </w:p>
    <w:p w14:paraId="0AD11644" w14:textId="77777777" w:rsidR="00FF6CDD" w:rsidRPr="004E2389" w:rsidRDefault="00FF6CDD" w:rsidP="00FF6CD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2E74B5" w:themeColor="accent5" w:themeShade="BF"/>
          <w:kern w:val="0"/>
          <w:sz w:val="22"/>
        </w:rPr>
      </w:pPr>
      <w:r w:rsidRPr="004E2389">
        <w:rPr>
          <w:rFonts w:ascii="Arial" w:eastAsia="宋体" w:hAnsi="Arial" w:cs="Arial"/>
          <w:b/>
          <w:bCs/>
          <w:color w:val="2E74B5" w:themeColor="accent5" w:themeShade="BF"/>
          <w:kern w:val="0"/>
          <w:sz w:val="22"/>
        </w:rPr>
        <w:t>Modifications in the manuscript:</w:t>
      </w:r>
    </w:p>
    <w:p w14:paraId="124FED6C" w14:textId="4EB9575B" w:rsidR="00FF6CDD" w:rsidRPr="004E2389" w:rsidRDefault="00FF6CDD" w:rsidP="00FF6CDD">
      <w:pPr>
        <w:widowControl/>
        <w:numPr>
          <w:ilvl w:val="0"/>
          <w:numId w:val="5"/>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color w:val="2E74B5" w:themeColor="accent5" w:themeShade="BF"/>
          <w:kern w:val="0"/>
          <w:sz w:val="22"/>
        </w:rPr>
        <w:t>Statistical Substantiation: We have explicitly quantified the relationship between the XAI attribution vectors (SHAP/LIME) and the computed</w:t>
      </w:r>
      <w:r w:rsidR="00D362FC" w:rsidRPr="004E2389">
        <w:rPr>
          <w:rFonts w:ascii="Arial" w:eastAsia="宋体" w:hAnsi="Arial" w:cs="Arial"/>
          <w:color w:val="2E74B5" w:themeColor="accent5" w:themeShade="BF"/>
          <w:kern w:val="0"/>
          <w:sz w:val="22"/>
        </w:rPr>
        <w:t xml:space="preserve"> ΔΔG</w:t>
      </w:r>
      <w:r w:rsidRPr="004E2389">
        <w:rPr>
          <w:rFonts w:ascii="Arial" w:eastAsia="宋体" w:hAnsi="Arial" w:cs="Arial"/>
          <w:color w:val="2E74B5" w:themeColor="accent5" w:themeShade="BF"/>
          <w:kern w:val="0"/>
          <w:sz w:val="22"/>
        </w:rPr>
        <w:t xml:space="preserve"> landscapes. We calculated the formal correlation coefficients (e.g., Spearman’s rank correlation) to statistically substantiate the claim that residues with higher energetic importance generally receive higher attention weights from the predictive models.</w:t>
      </w:r>
    </w:p>
    <w:p w14:paraId="1F53FCFC" w14:textId="727A8741" w:rsidR="00FF6CDD" w:rsidRPr="004E2389" w:rsidRDefault="00FF6CDD" w:rsidP="00FF6CDD">
      <w:pPr>
        <w:widowControl/>
        <w:numPr>
          <w:ilvl w:val="0"/>
          <w:numId w:val="5"/>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color w:val="2E74B5" w:themeColor="accent5" w:themeShade="BF"/>
          <w:kern w:val="0"/>
          <w:sz w:val="22"/>
        </w:rPr>
        <w:t xml:space="preserve">Visual Updates: We have updated Figure 4J-K (and expanded the corresponding Supplementary Figures) to explicitly visualize this correlation. [If applicable, mention briefly how: e.g., "We added scatter plots overlaying the SHAP scores against the computed </w:t>
      </w:r>
      <w:r w:rsidR="00D362FC" w:rsidRPr="004E2389">
        <w:rPr>
          <w:rFonts w:ascii="Arial" w:eastAsia="宋体" w:hAnsi="Arial" w:cs="Arial"/>
          <w:color w:val="2E74B5" w:themeColor="accent5" w:themeShade="BF"/>
          <w:kern w:val="0"/>
          <w:sz w:val="22"/>
        </w:rPr>
        <w:t xml:space="preserve">ΔΔG </w:t>
      </w:r>
      <w:r w:rsidRPr="004E2389">
        <w:rPr>
          <w:rFonts w:ascii="Arial" w:eastAsia="宋体" w:hAnsi="Arial" w:cs="Arial"/>
          <w:color w:val="2E74B5" w:themeColor="accent5" w:themeShade="BF"/>
          <w:kern w:val="0"/>
          <w:sz w:val="22"/>
        </w:rPr>
        <w:t>values, clearly displaying the positive correlation trend."].</w:t>
      </w:r>
    </w:p>
    <w:p w14:paraId="741D2496" w14:textId="77777777" w:rsidR="00FF6CDD" w:rsidRPr="004E2389" w:rsidRDefault="00FF6CDD" w:rsidP="00FF6CDD">
      <w:pPr>
        <w:widowControl/>
        <w:numPr>
          <w:ilvl w:val="0"/>
          <w:numId w:val="5"/>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color w:val="2E74B5" w:themeColor="accent5" w:themeShade="BF"/>
          <w:kern w:val="0"/>
          <w:sz w:val="22"/>
        </w:rPr>
        <w:lastRenderedPageBreak/>
        <w:t xml:space="preserve">Textual Revision: We have revised the text in the Results section (Lines XX–XX) to ensure that our claims are now directly and rigorously supported by these newly added statistical metrics, referencing </w:t>
      </w:r>
      <w:proofErr w:type="spellStart"/>
      <w:r w:rsidRPr="004E2389">
        <w:rPr>
          <w:rFonts w:ascii="Arial" w:eastAsia="宋体" w:hAnsi="Arial" w:cs="Arial"/>
          <w:color w:val="2E74B5" w:themeColor="accent5" w:themeShade="BF"/>
          <w:kern w:val="0"/>
          <w:sz w:val="22"/>
        </w:rPr>
        <w:t>Borole</w:t>
      </w:r>
      <w:proofErr w:type="spellEnd"/>
      <w:r w:rsidRPr="004E2389">
        <w:rPr>
          <w:rFonts w:ascii="Arial" w:eastAsia="宋体" w:hAnsi="Arial" w:cs="Arial"/>
          <w:color w:val="2E74B5" w:themeColor="accent5" w:themeShade="BF"/>
          <w:kern w:val="0"/>
          <w:sz w:val="22"/>
        </w:rPr>
        <w:t xml:space="preserve"> and Rajan (2024) to validate the biological soundness of this approach.</w:t>
      </w:r>
    </w:p>
    <w:p w14:paraId="1D1194EA" w14:textId="77777777" w:rsidR="00FF6CDD" w:rsidRPr="004E2389" w:rsidRDefault="00FF6CDD" w:rsidP="00FF6CD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2E74B5" w:themeColor="accent5" w:themeShade="BF"/>
          <w:kern w:val="0"/>
          <w:sz w:val="22"/>
        </w:rPr>
      </w:pPr>
      <w:r w:rsidRPr="004E2389">
        <w:rPr>
          <w:rFonts w:ascii="Arial" w:eastAsia="宋体" w:hAnsi="Arial" w:cs="Arial"/>
          <w:color w:val="2E74B5" w:themeColor="accent5" w:themeShade="BF"/>
          <w:kern w:val="0"/>
          <w:sz w:val="22"/>
        </w:rPr>
        <w:t>We believe that providing this explicit statistical and visual evidence significantly strengthens the rigor of our XAI analysis and fully resolves your concern.</w:t>
      </w:r>
    </w:p>
    <w:p w14:paraId="6876BE8D" w14:textId="77777777" w:rsidR="004021C9" w:rsidRPr="004E2389" w:rsidRDefault="004021C9"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4618300B" w14:textId="77777777" w:rsidR="00DF4375" w:rsidRPr="004E2389" w:rsidRDefault="00DF4375">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69C7C698" w14:textId="4644525A" w:rsidR="004021C9" w:rsidRPr="004A4545"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A4545">
        <w:rPr>
          <w:rFonts w:ascii="Arial" w:eastAsia="宋体" w:hAnsi="Arial" w:cs="Arial"/>
          <w:b/>
          <w:bCs/>
          <w:color w:val="000000"/>
          <w:kern w:val="0"/>
          <w:sz w:val="22"/>
        </w:rPr>
        <w:lastRenderedPageBreak/>
        <w:t>7. Line 499, the authors excluded the peptides for which all eight methods produced identical binary predictions. Please clarify the rationale behind this exclusion.</w:t>
      </w:r>
    </w:p>
    <w:p w14:paraId="53F896BD" w14:textId="77777777" w:rsidR="005438B4" w:rsidRPr="005438B4" w:rsidRDefault="005438B4" w:rsidP="005438B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38B4">
        <w:rPr>
          <w:rFonts w:ascii="Arial" w:eastAsia="宋体" w:hAnsi="Arial" w:cs="Arial"/>
          <w:b/>
          <w:bCs/>
          <w:color w:val="833C0B" w:themeColor="accent2" w:themeShade="80"/>
          <w:kern w:val="0"/>
          <w:sz w:val="22"/>
        </w:rPr>
        <w:t>NEW RESPONSE:</w:t>
      </w:r>
    </w:p>
    <w:p w14:paraId="02BBA02A" w14:textId="25319655" w:rsidR="005438B4" w:rsidRPr="005438B4" w:rsidRDefault="005438B4" w:rsidP="005438B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38B4">
        <w:rPr>
          <w:rFonts w:ascii="Arial" w:eastAsia="宋体" w:hAnsi="Arial" w:cs="Arial"/>
          <w:color w:val="833C0B" w:themeColor="accent2" w:themeShade="80"/>
          <w:kern w:val="0"/>
          <w:sz w:val="22"/>
        </w:rPr>
        <w:t>We sincerely thank the reviewer for requesting clarification on this filtration step. The rationale for excluding peptides with unanimous binary predictions across all eight methods is rooted in the core objective of our comparative interpretability analysis: to isolate and diagnose the differences in how these models learn and fail.</w:t>
      </w:r>
    </w:p>
    <w:p w14:paraId="72FC1404" w14:textId="77777777" w:rsidR="005438B4" w:rsidRPr="005438B4" w:rsidRDefault="005438B4" w:rsidP="005438B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38B4">
        <w:rPr>
          <w:rFonts w:ascii="Arial" w:eastAsia="宋体" w:hAnsi="Arial" w:cs="Arial"/>
          <w:color w:val="833C0B" w:themeColor="accent2" w:themeShade="80"/>
          <w:kern w:val="0"/>
          <w:sz w:val="22"/>
        </w:rPr>
        <w:t>Peptides that yield a 100% consensus (whether universally recognized or universally missed) are undoubtedly important for overarching performance metrics, but they provide zero discriminative value for comparing internal model mechanics. If all tools make the exact same decision, comparative XAI cannot easily reveal why one architecture might be superior to another.</w:t>
      </w:r>
    </w:p>
    <w:p w14:paraId="4B98D677" w14:textId="77777777" w:rsidR="005438B4" w:rsidRPr="005438B4" w:rsidRDefault="005438B4" w:rsidP="005438B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38B4">
        <w:rPr>
          <w:rFonts w:ascii="Arial" w:eastAsia="宋体" w:hAnsi="Arial" w:cs="Arial"/>
          <w:color w:val="833C0B" w:themeColor="accent2" w:themeShade="80"/>
          <w:kern w:val="0"/>
          <w:sz w:val="22"/>
        </w:rPr>
        <w:t xml:space="preserve">By explicitly filtering out these unanimous predictions, we deliberately isolated the highly discordant (disputed) peptides. As detailed in our response to your earlier comment regarding our selection of representative peptides, these discordant cases serve as ideal </w:t>
      </w:r>
      <w:r w:rsidRPr="005438B4">
        <w:rPr>
          <w:rFonts w:ascii="Arial" w:eastAsia="宋体" w:hAnsi="Arial" w:cs="Arial"/>
          <w:b/>
          <w:bCs/>
          <w:color w:val="833C0B" w:themeColor="accent2" w:themeShade="80"/>
          <w:kern w:val="0"/>
          <w:sz w:val="22"/>
        </w:rPr>
        <w:t>'diagnostic targets.'</w:t>
      </w:r>
      <w:r w:rsidRPr="005438B4">
        <w:rPr>
          <w:rFonts w:ascii="Arial" w:eastAsia="宋体" w:hAnsi="Arial" w:cs="Arial"/>
          <w:color w:val="833C0B" w:themeColor="accent2" w:themeShade="80"/>
          <w:kern w:val="0"/>
          <w:sz w:val="22"/>
        </w:rPr>
        <w:t xml:space="preserve"> Concentrating our computationally intensive XAI analysis on these disputed cases effectively maximizes the signal-to-noise ratio, allowing us to explicitly demonstrate how distinct feature weightings and architectural designs lead to divergent predictive outcomes.</w:t>
      </w:r>
    </w:p>
    <w:p w14:paraId="41686B1F" w14:textId="3F0465FC" w:rsidR="005438B4" w:rsidRPr="005438B4" w:rsidRDefault="005438B4" w:rsidP="005438B4">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5438B4">
        <w:rPr>
          <w:rFonts w:ascii="Arial" w:eastAsia="宋体" w:hAnsi="Arial" w:cs="Arial"/>
          <w:color w:val="833C0B" w:themeColor="accent2" w:themeShade="80"/>
          <w:kern w:val="0"/>
          <w:sz w:val="22"/>
        </w:rPr>
        <w:t>We have now explicitly clarified this variance-based filtration rationale in the</w:t>
      </w:r>
      <w:r w:rsidRPr="005438B4">
        <w:rPr>
          <w:rFonts w:ascii="Arial" w:eastAsia="宋体" w:hAnsi="Arial" w:cs="Arial"/>
          <w:b/>
          <w:bCs/>
          <w:color w:val="833C0B" w:themeColor="accent2" w:themeShade="80"/>
          <w:kern w:val="0"/>
          <w:sz w:val="22"/>
        </w:rPr>
        <w:t xml:space="preserve"> revised Methods section</w:t>
      </w:r>
      <w:r>
        <w:rPr>
          <w:rFonts w:ascii="Arial" w:eastAsia="宋体" w:hAnsi="Arial" w:cs="Arial" w:hint="eastAsia"/>
          <w:b/>
          <w:bCs/>
          <w:color w:val="833C0B" w:themeColor="accent2" w:themeShade="80"/>
          <w:kern w:val="0"/>
          <w:sz w:val="22"/>
        </w:rPr>
        <w:t xml:space="preserve"> </w:t>
      </w:r>
      <w:r w:rsidRPr="005438B4">
        <w:rPr>
          <w:rFonts w:ascii="Arial" w:eastAsia="宋体" w:hAnsi="Arial" w:cs="Arial"/>
          <w:color w:val="833C0B" w:themeColor="accent2" w:themeShade="80"/>
          <w:kern w:val="0"/>
          <w:sz w:val="22"/>
        </w:rPr>
        <w:t>to ensure absolute transparency.</w:t>
      </w:r>
    </w:p>
    <w:p w14:paraId="56E63D4E" w14:textId="77777777" w:rsidR="00546A45" w:rsidRPr="005438B4" w:rsidRDefault="00546A4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0975024B" w14:textId="76B83E04" w:rsidR="00CB348D" w:rsidRPr="004E2389" w:rsidRDefault="004A4545" w:rsidP="00CB348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Pr>
          <w:rFonts w:ascii="Arial" w:eastAsia="宋体" w:hAnsi="Arial" w:cs="Arial" w:hint="eastAsia"/>
          <w:b/>
          <w:bCs/>
          <w:color w:val="0070C0"/>
          <w:kern w:val="0"/>
          <w:sz w:val="22"/>
        </w:rPr>
        <w:t xml:space="preserve">PREVIOUS </w:t>
      </w:r>
      <w:r w:rsidR="00CB348D" w:rsidRPr="004E2389">
        <w:rPr>
          <w:rFonts w:ascii="Arial" w:eastAsia="宋体" w:hAnsi="Arial" w:cs="Arial"/>
          <w:b/>
          <w:bCs/>
          <w:color w:val="0070C0"/>
          <w:kern w:val="0"/>
          <w:sz w:val="22"/>
        </w:rPr>
        <w:t xml:space="preserve">RESPONSE: </w:t>
      </w:r>
      <w:r w:rsidR="00CB348D" w:rsidRPr="004E2389">
        <w:rPr>
          <w:rFonts w:ascii="Arial" w:eastAsia="宋体" w:hAnsi="Arial" w:cs="Arial"/>
          <w:color w:val="0070C0"/>
          <w:kern w:val="0"/>
          <w:sz w:val="22"/>
        </w:rPr>
        <w:t>We thank the reviewer for requesting clarification on this data filtration step. The rationale behind excluding peptides with identical binary predictions across all eight methods is directly tied to the primary objective of this specific comparative analysis: to investigate and differentiate the distinct predictive behaviors, strengths, and weaknesses of the evaluated tools.</w:t>
      </w:r>
    </w:p>
    <w:p w14:paraId="68E5B6EF" w14:textId="77777777" w:rsidR="00CB348D" w:rsidRPr="004E2389" w:rsidRDefault="00CB348D" w:rsidP="00CB348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Peptides that yield a unanimous consensus across all eight predictors (i.e., zero variance in predictions) represent cases that are either universally easy for current algorithms to recognize or universally missed. While these consensus peptides are part of our broader global </w:t>
      </w:r>
      <w:r w:rsidRPr="004E2389">
        <w:rPr>
          <w:rFonts w:ascii="Arial" w:eastAsia="宋体" w:hAnsi="Arial" w:cs="Arial"/>
          <w:color w:val="0070C0"/>
          <w:kern w:val="0"/>
          <w:sz w:val="22"/>
        </w:rPr>
        <w:lastRenderedPageBreak/>
        <w:t>performance evaluation, they provide zero discriminative value when the goal is to compare the internal mechanics of the models against one another.</w:t>
      </w:r>
    </w:p>
    <w:p w14:paraId="4FA7D7CC" w14:textId="77777777" w:rsidR="00CB348D" w:rsidRPr="004E2389" w:rsidRDefault="00CB348D" w:rsidP="00CB348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By explicitly filtering out these identical predictions, we deliberately isolated the discordant (disputed) cases. As discussed in our response to your previous comment regarding the selection of representative peptides, these discordant cases serve as highly informative "diagnostic targets." Focusing on these specific peptides allows our downstream computationally intensive analyses (such as XAI feature attribution) to effectively highlight why certain tools succeed where others fail, thereby revealing the unique feature weightings and architectural differences among the predictors.</w:t>
      </w:r>
    </w:p>
    <w:p w14:paraId="750E994E" w14:textId="77777777" w:rsidR="00CB348D" w:rsidRPr="004E2389" w:rsidRDefault="00CB348D" w:rsidP="00CB348D">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b/>
          <w:bCs/>
          <w:color w:val="0070C0"/>
          <w:kern w:val="0"/>
          <w:sz w:val="22"/>
        </w:rPr>
        <w:t xml:space="preserve">Modifications in the manuscript: </w:t>
      </w:r>
      <w:r w:rsidRPr="004E2389">
        <w:rPr>
          <w:rFonts w:ascii="Arial" w:eastAsia="宋体" w:hAnsi="Arial" w:cs="Arial"/>
          <w:color w:val="0070C0"/>
          <w:kern w:val="0"/>
          <w:sz w:val="22"/>
        </w:rPr>
        <w:t>We have now explicitly clarified this rationale in the Methods section (Lines XX–XX) to ensure the logic behind this variance-based filtration step is entirely transparent to the readers.</w:t>
      </w:r>
    </w:p>
    <w:p w14:paraId="2D2ECC2E" w14:textId="77777777" w:rsidR="004021C9" w:rsidRPr="004E2389" w:rsidRDefault="004021C9"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4CF1DCCF" w14:textId="77777777" w:rsidR="00DF4375" w:rsidRPr="004E2389" w:rsidRDefault="00DF4375">
      <w:pPr>
        <w:widowControl/>
        <w:jc w:val="left"/>
        <w:rPr>
          <w:rFonts w:ascii="Arial" w:eastAsia="宋体" w:hAnsi="Arial" w:cs="Arial"/>
          <w:color w:val="000000"/>
          <w:kern w:val="0"/>
          <w:sz w:val="22"/>
        </w:rPr>
      </w:pPr>
      <w:r w:rsidRPr="004E2389">
        <w:rPr>
          <w:rFonts w:ascii="Arial" w:eastAsia="宋体" w:hAnsi="Arial" w:cs="Arial"/>
          <w:color w:val="000000"/>
          <w:kern w:val="0"/>
          <w:sz w:val="22"/>
        </w:rPr>
        <w:br w:type="page"/>
      </w:r>
    </w:p>
    <w:p w14:paraId="6994C0D5" w14:textId="28F7FEAC" w:rsidR="004021C9" w:rsidRPr="004A4545"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A4545">
        <w:rPr>
          <w:rFonts w:ascii="Arial" w:eastAsia="宋体" w:hAnsi="Arial" w:cs="Arial"/>
          <w:b/>
          <w:bCs/>
          <w:color w:val="000000"/>
          <w:kern w:val="0"/>
          <w:sz w:val="22"/>
        </w:rPr>
        <w:lastRenderedPageBreak/>
        <w:t>8. Line 502, the authors noted Supplementary Data 9, however, only Supplementary Data 1-2 are mentioned in preceding sections. This may be a numbering error.</w:t>
      </w:r>
    </w:p>
    <w:p w14:paraId="6241AFBE" w14:textId="77777777" w:rsidR="004A4545" w:rsidRPr="004A4545" w:rsidRDefault="004A454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833C0B" w:themeColor="accent2" w:themeShade="80"/>
          <w:kern w:val="0"/>
          <w:sz w:val="22"/>
        </w:rPr>
      </w:pPr>
      <w:r w:rsidRPr="004A4545">
        <w:rPr>
          <w:rFonts w:ascii="Arial" w:eastAsia="宋体" w:hAnsi="Arial" w:cs="Arial"/>
          <w:b/>
          <w:bCs/>
          <w:color w:val="833C0B" w:themeColor="accent2" w:themeShade="80"/>
          <w:kern w:val="0"/>
          <w:sz w:val="22"/>
        </w:rPr>
        <w:t>NEW RESPONSE</w:t>
      </w:r>
      <w:r w:rsidRPr="004A4545">
        <w:rPr>
          <w:rFonts w:ascii="Arial" w:eastAsia="宋体" w:hAnsi="Arial" w:cs="Arial" w:hint="eastAsia"/>
          <w:b/>
          <w:bCs/>
          <w:color w:val="833C0B" w:themeColor="accent2" w:themeShade="80"/>
          <w:kern w:val="0"/>
          <w:sz w:val="22"/>
        </w:rPr>
        <w:t>:</w:t>
      </w:r>
    </w:p>
    <w:p w14:paraId="07C4C9E3" w14:textId="0CFFF6E0" w:rsidR="004A4545" w:rsidRPr="004A4545" w:rsidRDefault="004A454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A4545">
        <w:rPr>
          <w:rFonts w:ascii="Arial" w:eastAsia="宋体" w:hAnsi="Arial" w:cs="Arial"/>
          <w:color w:val="833C0B" w:themeColor="accent2" w:themeShade="80"/>
          <w:kern w:val="0"/>
          <w:sz w:val="22"/>
        </w:rPr>
        <w:t>We sincerely thank the reviewer for catching this oversight. As part of our comprehensive effort to address all reviewers' comments in this revision, we have massively expanded our supplementary materials (increasing from 6 to 16 Supplementary Tables, and 4 to 12 Supplementary Figures). Consequently, all supplementary data, figures, and tables have been completely reorganized, renumbered, and rigorously cross-checked throughout the revised manuscript to ensure accurate citations. The specific data referenced has been correctly mapped in the updated manuscript.</w:t>
      </w:r>
    </w:p>
    <w:p w14:paraId="45342476" w14:textId="77777777" w:rsidR="004A4545" w:rsidRPr="004E2389" w:rsidRDefault="004A454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365DE87B" w14:textId="5373CD0A" w:rsidR="00E01C0F" w:rsidRPr="004E2389" w:rsidRDefault="004A4545" w:rsidP="00E01C0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Pr>
          <w:rFonts w:ascii="Arial" w:eastAsia="宋体" w:hAnsi="Arial" w:cs="Arial" w:hint="eastAsia"/>
          <w:b/>
          <w:color w:val="0070C0"/>
          <w:kern w:val="0"/>
          <w:sz w:val="22"/>
        </w:rPr>
        <w:t xml:space="preserve">PREVIOUS </w:t>
      </w:r>
      <w:r w:rsidR="00E01C0F" w:rsidRPr="004E2389">
        <w:rPr>
          <w:rFonts w:ascii="Arial" w:eastAsia="宋体" w:hAnsi="Arial" w:cs="Arial"/>
          <w:b/>
          <w:color w:val="0070C0"/>
          <w:kern w:val="0"/>
          <w:sz w:val="22"/>
        </w:rPr>
        <w:t>RESPONSE:</w:t>
      </w:r>
      <w:r w:rsidR="00E01C0F" w:rsidRPr="004E2389">
        <w:rPr>
          <w:rFonts w:ascii="Arial" w:eastAsia="宋体" w:hAnsi="Arial" w:cs="Arial"/>
          <w:color w:val="0070C0"/>
          <w:kern w:val="0"/>
          <w:sz w:val="22"/>
        </w:rPr>
        <w:t xml:space="preserve"> </w:t>
      </w:r>
    </w:p>
    <w:p w14:paraId="28505F46" w14:textId="77777777" w:rsidR="00E01C0F" w:rsidRPr="004E2389" w:rsidRDefault="00E01C0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sidRPr="004E2389">
        <w:rPr>
          <w:rFonts w:ascii="Arial" w:eastAsia="宋体" w:hAnsi="Arial" w:cs="Arial"/>
          <w:color w:val="0070C0"/>
          <w:kern w:val="0"/>
          <w:sz w:val="22"/>
        </w:rPr>
        <w:t xml:space="preserve">We thank the reviewer for pointing this out. This was indeed a numbering error. The reference has been corrected to </w:t>
      </w:r>
      <w:r w:rsidRPr="004E2389">
        <w:rPr>
          <w:rFonts w:ascii="Arial" w:eastAsia="宋体" w:hAnsi="Arial" w:cs="Arial"/>
          <w:b/>
          <w:bCs/>
          <w:color w:val="0070C0"/>
          <w:kern w:val="0"/>
          <w:sz w:val="22"/>
        </w:rPr>
        <w:t>Supplementary Data 3</w:t>
      </w:r>
      <w:r w:rsidRPr="004E2389">
        <w:rPr>
          <w:rFonts w:ascii="Arial" w:eastAsia="宋体" w:hAnsi="Arial" w:cs="Arial"/>
          <w:color w:val="0070C0"/>
          <w:kern w:val="0"/>
          <w:sz w:val="22"/>
        </w:rPr>
        <w:t xml:space="preserve"> in the revised manuscript.</w:t>
      </w:r>
    </w:p>
    <w:p w14:paraId="438EEAB8" w14:textId="77777777" w:rsidR="00E01C0F" w:rsidRPr="004E2389" w:rsidRDefault="00E01C0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264EF23D" w14:textId="2E63BE79" w:rsidR="00F2594F" w:rsidRPr="004A4545" w:rsidRDefault="00F2594F"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b/>
          <w:bCs/>
          <w:color w:val="000000"/>
          <w:kern w:val="0"/>
          <w:sz w:val="22"/>
        </w:rPr>
      </w:pPr>
      <w:r w:rsidRPr="004A4545">
        <w:rPr>
          <w:rFonts w:ascii="Arial" w:eastAsia="宋体" w:hAnsi="Arial" w:cs="Arial"/>
          <w:b/>
          <w:bCs/>
          <w:color w:val="000000"/>
          <w:kern w:val="0"/>
          <w:sz w:val="22"/>
        </w:rPr>
        <w:t>9. Typos</w:t>
      </w:r>
      <w:r w:rsidRPr="004A4545">
        <w:rPr>
          <w:rFonts w:ascii="Arial" w:eastAsia="宋体" w:hAnsi="Arial" w:cs="Arial"/>
          <w:b/>
          <w:bCs/>
          <w:color w:val="000000"/>
          <w:kern w:val="0"/>
          <w:sz w:val="22"/>
        </w:rPr>
        <w:t>：</w:t>
      </w:r>
      <w:r w:rsidRPr="004A4545">
        <w:rPr>
          <w:rFonts w:ascii="Arial" w:eastAsia="宋体" w:hAnsi="Arial" w:cs="Arial"/>
          <w:b/>
          <w:bCs/>
          <w:color w:val="000000"/>
          <w:kern w:val="0"/>
          <w:sz w:val="22"/>
        </w:rPr>
        <w:t>Line 283: SHPA-derived attribution values (SHAP)</w:t>
      </w:r>
    </w:p>
    <w:p w14:paraId="5E606EAD" w14:textId="77777777" w:rsidR="004A4545" w:rsidRPr="004A4545" w:rsidRDefault="004A454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A4545">
        <w:rPr>
          <w:rFonts w:ascii="Arial" w:eastAsia="宋体" w:hAnsi="Arial" w:cs="Arial"/>
          <w:b/>
          <w:bCs/>
          <w:color w:val="833C0B" w:themeColor="accent2" w:themeShade="80"/>
          <w:kern w:val="0"/>
          <w:sz w:val="22"/>
        </w:rPr>
        <w:t>NEW RESPONSE:</w:t>
      </w:r>
      <w:r w:rsidRPr="004A4545">
        <w:rPr>
          <w:rFonts w:ascii="Arial" w:eastAsia="宋体" w:hAnsi="Arial" w:cs="Arial"/>
          <w:color w:val="833C0B" w:themeColor="accent2" w:themeShade="80"/>
          <w:kern w:val="0"/>
          <w:sz w:val="22"/>
        </w:rPr>
        <w:t xml:space="preserve"> </w:t>
      </w:r>
    </w:p>
    <w:p w14:paraId="2E6C57FF" w14:textId="3482D21E" w:rsidR="004A4545" w:rsidRPr="004A4545" w:rsidRDefault="004A454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833C0B" w:themeColor="accent2" w:themeShade="80"/>
          <w:kern w:val="0"/>
          <w:sz w:val="22"/>
        </w:rPr>
      </w:pPr>
      <w:r w:rsidRPr="004A4545">
        <w:rPr>
          <w:rFonts w:ascii="Arial" w:eastAsia="宋体" w:hAnsi="Arial" w:cs="Arial"/>
          <w:color w:val="833C0B" w:themeColor="accent2" w:themeShade="80"/>
          <w:kern w:val="0"/>
          <w:sz w:val="22"/>
        </w:rPr>
        <w:t>We thank the reviewer for identifying this typographical error. The term has been corrected from 'SHPA' to 'SHAP' in the revised manuscript. We have also conducted a thorough proofreading of the entire text to eliminate any remaining typographical errors.</w:t>
      </w:r>
    </w:p>
    <w:p w14:paraId="6654DBA6" w14:textId="77777777" w:rsidR="004A4545" w:rsidRPr="004E2389" w:rsidRDefault="004A4545" w:rsidP="006D7532">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0000"/>
          <w:kern w:val="0"/>
          <w:sz w:val="22"/>
        </w:rPr>
      </w:pPr>
    </w:p>
    <w:p w14:paraId="084E5480" w14:textId="5BB695D2" w:rsidR="00E01C0F" w:rsidRPr="004E2389" w:rsidRDefault="004A4545" w:rsidP="00E01C0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Arial" w:eastAsia="宋体" w:hAnsi="Arial" w:cs="Arial"/>
          <w:color w:val="0070C0"/>
          <w:kern w:val="0"/>
          <w:sz w:val="22"/>
        </w:rPr>
      </w:pPr>
      <w:r>
        <w:rPr>
          <w:rFonts w:ascii="Arial" w:eastAsia="宋体" w:hAnsi="Arial" w:cs="Arial" w:hint="eastAsia"/>
          <w:b/>
          <w:color w:val="0070C0"/>
          <w:kern w:val="0"/>
          <w:sz w:val="22"/>
        </w:rPr>
        <w:t xml:space="preserve">PREVIOUS </w:t>
      </w:r>
      <w:r w:rsidR="00E01C0F" w:rsidRPr="004E2389">
        <w:rPr>
          <w:rFonts w:ascii="Arial" w:eastAsia="宋体" w:hAnsi="Arial" w:cs="Arial"/>
          <w:b/>
          <w:color w:val="0070C0"/>
          <w:kern w:val="0"/>
          <w:sz w:val="22"/>
        </w:rPr>
        <w:t>RESPONSE:</w:t>
      </w:r>
      <w:r w:rsidR="00E01C0F" w:rsidRPr="004E2389">
        <w:rPr>
          <w:rFonts w:ascii="Arial" w:eastAsia="宋体" w:hAnsi="Arial" w:cs="Arial"/>
          <w:color w:val="0070C0"/>
          <w:kern w:val="0"/>
          <w:sz w:val="22"/>
        </w:rPr>
        <w:t xml:space="preserve"> </w:t>
      </w:r>
    </w:p>
    <w:p w14:paraId="0CFCB41D" w14:textId="7332E489" w:rsidR="00BF774A" w:rsidRPr="004E2389" w:rsidRDefault="00E01C0F" w:rsidP="00F2594F">
      <w:pPr>
        <w:spacing w:line="360" w:lineRule="auto"/>
        <w:rPr>
          <w:rFonts w:ascii="Arial" w:hAnsi="Arial" w:cs="Arial"/>
          <w:color w:val="0070C0"/>
          <w:sz w:val="22"/>
        </w:rPr>
      </w:pPr>
      <w:r w:rsidRPr="004E2389">
        <w:rPr>
          <w:rFonts w:ascii="Arial" w:hAnsi="Arial" w:cs="Arial"/>
          <w:color w:val="0070C0"/>
          <w:sz w:val="22"/>
        </w:rPr>
        <w:t xml:space="preserve">We thank the reviewer for identifying this typographical error. The term has been corrected from </w:t>
      </w:r>
      <w:r w:rsidRPr="004E2389">
        <w:rPr>
          <w:rFonts w:ascii="Arial" w:hAnsi="Arial" w:cs="Arial"/>
          <w:b/>
          <w:bCs/>
          <w:color w:val="0070C0"/>
          <w:sz w:val="22"/>
        </w:rPr>
        <w:t>“SHPA” to “SHAP”</w:t>
      </w:r>
      <w:r w:rsidRPr="004E2389">
        <w:rPr>
          <w:rFonts w:ascii="Arial" w:hAnsi="Arial" w:cs="Arial"/>
          <w:color w:val="0070C0"/>
          <w:sz w:val="22"/>
        </w:rPr>
        <w:t xml:space="preserve"> in the revised manuscript.</w:t>
      </w:r>
    </w:p>
    <w:sectPr w:rsidR="00BF774A" w:rsidRPr="004E2389" w:rsidSect="00F2594F">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68031" w14:textId="77777777" w:rsidR="008263F4" w:rsidRDefault="008263F4" w:rsidP="00247EF2">
      <w:pPr>
        <w:rPr>
          <w:rFonts w:hint="eastAsia"/>
        </w:rPr>
      </w:pPr>
      <w:r>
        <w:separator/>
      </w:r>
    </w:p>
  </w:endnote>
  <w:endnote w:type="continuationSeparator" w:id="0">
    <w:p w14:paraId="4BEC3AEF" w14:textId="77777777" w:rsidR="008263F4" w:rsidRDefault="008263F4" w:rsidP="00247E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84AE8" w14:textId="77777777" w:rsidR="008263F4" w:rsidRDefault="008263F4" w:rsidP="00247EF2">
      <w:pPr>
        <w:rPr>
          <w:rFonts w:hint="eastAsia"/>
        </w:rPr>
      </w:pPr>
      <w:r>
        <w:separator/>
      </w:r>
    </w:p>
  </w:footnote>
  <w:footnote w:type="continuationSeparator" w:id="0">
    <w:p w14:paraId="4EBEC64E" w14:textId="77777777" w:rsidR="008263F4" w:rsidRDefault="008263F4" w:rsidP="00247EF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76F1"/>
    <w:multiLevelType w:val="multilevel"/>
    <w:tmpl w:val="7C3693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A0438A8"/>
    <w:multiLevelType w:val="multilevel"/>
    <w:tmpl w:val="9C12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C66B4"/>
    <w:multiLevelType w:val="multilevel"/>
    <w:tmpl w:val="92F6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DF5ABA"/>
    <w:multiLevelType w:val="multilevel"/>
    <w:tmpl w:val="A6045D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85936C5"/>
    <w:multiLevelType w:val="multilevel"/>
    <w:tmpl w:val="C8E8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C7B28"/>
    <w:multiLevelType w:val="hybridMultilevel"/>
    <w:tmpl w:val="15B65C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1AD76EC"/>
    <w:multiLevelType w:val="multilevel"/>
    <w:tmpl w:val="1C345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23B3E16"/>
    <w:multiLevelType w:val="multilevel"/>
    <w:tmpl w:val="0296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AA1F61"/>
    <w:multiLevelType w:val="multilevel"/>
    <w:tmpl w:val="F530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24D80"/>
    <w:multiLevelType w:val="multilevel"/>
    <w:tmpl w:val="EAD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51038"/>
    <w:multiLevelType w:val="multilevel"/>
    <w:tmpl w:val="AF6402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FEB68CC"/>
    <w:multiLevelType w:val="multilevel"/>
    <w:tmpl w:val="3A9859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84522435">
    <w:abstractNumId w:val="4"/>
  </w:num>
  <w:num w:numId="2" w16cid:durableId="1653946345">
    <w:abstractNumId w:val="9"/>
  </w:num>
  <w:num w:numId="3" w16cid:durableId="1554001144">
    <w:abstractNumId w:val="2"/>
  </w:num>
  <w:num w:numId="4" w16cid:durableId="1409646482">
    <w:abstractNumId w:val="7"/>
  </w:num>
  <w:num w:numId="5" w16cid:durableId="1983844758">
    <w:abstractNumId w:val="1"/>
  </w:num>
  <w:num w:numId="6" w16cid:durableId="820997868">
    <w:abstractNumId w:val="8"/>
  </w:num>
  <w:num w:numId="7" w16cid:durableId="150950561">
    <w:abstractNumId w:val="0"/>
  </w:num>
  <w:num w:numId="8" w16cid:durableId="1387997361">
    <w:abstractNumId w:val="5"/>
  </w:num>
  <w:num w:numId="9" w16cid:durableId="714357022">
    <w:abstractNumId w:val="11"/>
  </w:num>
  <w:num w:numId="10" w16cid:durableId="2132820664">
    <w:abstractNumId w:val="3"/>
  </w:num>
  <w:num w:numId="11" w16cid:durableId="1232227337">
    <w:abstractNumId w:val="6"/>
  </w:num>
  <w:num w:numId="12" w16cid:durableId="943338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573"/>
    <w:rsid w:val="0000045C"/>
    <w:rsid w:val="00005CCE"/>
    <w:rsid w:val="00041067"/>
    <w:rsid w:val="00042CB0"/>
    <w:rsid w:val="00053101"/>
    <w:rsid w:val="00076467"/>
    <w:rsid w:val="00077B05"/>
    <w:rsid w:val="00077DFB"/>
    <w:rsid w:val="000A5129"/>
    <w:rsid w:val="000A7DB3"/>
    <w:rsid w:val="000B3D11"/>
    <w:rsid w:val="000C63D6"/>
    <w:rsid w:val="000D4ECA"/>
    <w:rsid w:val="000E15BC"/>
    <w:rsid w:val="000F55FC"/>
    <w:rsid w:val="001002A1"/>
    <w:rsid w:val="00120FF9"/>
    <w:rsid w:val="00162C55"/>
    <w:rsid w:val="00173169"/>
    <w:rsid w:val="001960AD"/>
    <w:rsid w:val="00196A69"/>
    <w:rsid w:val="001B172B"/>
    <w:rsid w:val="001B20B5"/>
    <w:rsid w:val="001B35E6"/>
    <w:rsid w:val="001C48D6"/>
    <w:rsid w:val="001C496A"/>
    <w:rsid w:val="002172A9"/>
    <w:rsid w:val="00222B6A"/>
    <w:rsid w:val="002240E8"/>
    <w:rsid w:val="002266C4"/>
    <w:rsid w:val="00246604"/>
    <w:rsid w:val="00247EF2"/>
    <w:rsid w:val="00263C9B"/>
    <w:rsid w:val="002701EF"/>
    <w:rsid w:val="00280322"/>
    <w:rsid w:val="002D1439"/>
    <w:rsid w:val="002D190D"/>
    <w:rsid w:val="002D2E2E"/>
    <w:rsid w:val="002D3AA4"/>
    <w:rsid w:val="002E5866"/>
    <w:rsid w:val="002F44D3"/>
    <w:rsid w:val="002F59BF"/>
    <w:rsid w:val="0031761A"/>
    <w:rsid w:val="00320A5F"/>
    <w:rsid w:val="00323E55"/>
    <w:rsid w:val="003423A6"/>
    <w:rsid w:val="00390ED8"/>
    <w:rsid w:val="003D0C3E"/>
    <w:rsid w:val="003F11D3"/>
    <w:rsid w:val="003F58D1"/>
    <w:rsid w:val="004021C9"/>
    <w:rsid w:val="00414765"/>
    <w:rsid w:val="004164E3"/>
    <w:rsid w:val="0043794F"/>
    <w:rsid w:val="00454889"/>
    <w:rsid w:val="00471524"/>
    <w:rsid w:val="00482A91"/>
    <w:rsid w:val="00482DEA"/>
    <w:rsid w:val="00497CDA"/>
    <w:rsid w:val="004A4545"/>
    <w:rsid w:val="004A6E54"/>
    <w:rsid w:val="004D2A05"/>
    <w:rsid w:val="004D6F53"/>
    <w:rsid w:val="004E2389"/>
    <w:rsid w:val="004E2668"/>
    <w:rsid w:val="005105F5"/>
    <w:rsid w:val="00515212"/>
    <w:rsid w:val="00517D8A"/>
    <w:rsid w:val="00537CD4"/>
    <w:rsid w:val="005438B4"/>
    <w:rsid w:val="00545310"/>
    <w:rsid w:val="00546A45"/>
    <w:rsid w:val="0056406D"/>
    <w:rsid w:val="005663A0"/>
    <w:rsid w:val="0057496C"/>
    <w:rsid w:val="005915B2"/>
    <w:rsid w:val="00594966"/>
    <w:rsid w:val="005A10BD"/>
    <w:rsid w:val="005B4DEB"/>
    <w:rsid w:val="005E2BBF"/>
    <w:rsid w:val="005E3A37"/>
    <w:rsid w:val="005F456A"/>
    <w:rsid w:val="005F6907"/>
    <w:rsid w:val="00602A1C"/>
    <w:rsid w:val="0061121B"/>
    <w:rsid w:val="00634F99"/>
    <w:rsid w:val="00657DE7"/>
    <w:rsid w:val="00666A8F"/>
    <w:rsid w:val="006A50A9"/>
    <w:rsid w:val="006B1324"/>
    <w:rsid w:val="006C509E"/>
    <w:rsid w:val="006C5ED2"/>
    <w:rsid w:val="006D00E1"/>
    <w:rsid w:val="006D7532"/>
    <w:rsid w:val="006E55AA"/>
    <w:rsid w:val="0070267D"/>
    <w:rsid w:val="00703E0B"/>
    <w:rsid w:val="00723DD8"/>
    <w:rsid w:val="0076492D"/>
    <w:rsid w:val="007661FF"/>
    <w:rsid w:val="00785ED8"/>
    <w:rsid w:val="007B550D"/>
    <w:rsid w:val="007C7088"/>
    <w:rsid w:val="007C73C2"/>
    <w:rsid w:val="008263F4"/>
    <w:rsid w:val="00827746"/>
    <w:rsid w:val="00845024"/>
    <w:rsid w:val="00851C48"/>
    <w:rsid w:val="008625FB"/>
    <w:rsid w:val="00871011"/>
    <w:rsid w:val="00887F54"/>
    <w:rsid w:val="008908FA"/>
    <w:rsid w:val="008A5417"/>
    <w:rsid w:val="008A6DCA"/>
    <w:rsid w:val="008C3226"/>
    <w:rsid w:val="008E42F1"/>
    <w:rsid w:val="00903773"/>
    <w:rsid w:val="009138C3"/>
    <w:rsid w:val="00927652"/>
    <w:rsid w:val="00932122"/>
    <w:rsid w:val="009408E3"/>
    <w:rsid w:val="00950573"/>
    <w:rsid w:val="0095597E"/>
    <w:rsid w:val="00977EBD"/>
    <w:rsid w:val="00985AF0"/>
    <w:rsid w:val="00993E04"/>
    <w:rsid w:val="009A1D69"/>
    <w:rsid w:val="009A653C"/>
    <w:rsid w:val="009A7EEE"/>
    <w:rsid w:val="009B0536"/>
    <w:rsid w:val="009B58F3"/>
    <w:rsid w:val="009B64EE"/>
    <w:rsid w:val="009C2754"/>
    <w:rsid w:val="009C660B"/>
    <w:rsid w:val="009E4459"/>
    <w:rsid w:val="00A069B8"/>
    <w:rsid w:val="00A11A18"/>
    <w:rsid w:val="00A135BA"/>
    <w:rsid w:val="00A563C6"/>
    <w:rsid w:val="00A654CF"/>
    <w:rsid w:val="00A72BA7"/>
    <w:rsid w:val="00A74FF7"/>
    <w:rsid w:val="00A7704D"/>
    <w:rsid w:val="00A8144F"/>
    <w:rsid w:val="00AA1365"/>
    <w:rsid w:val="00AC284D"/>
    <w:rsid w:val="00AC551B"/>
    <w:rsid w:val="00AD2B23"/>
    <w:rsid w:val="00AE4C91"/>
    <w:rsid w:val="00AF33DD"/>
    <w:rsid w:val="00B13E3F"/>
    <w:rsid w:val="00B205AC"/>
    <w:rsid w:val="00B45F6E"/>
    <w:rsid w:val="00B64751"/>
    <w:rsid w:val="00B70902"/>
    <w:rsid w:val="00B9217C"/>
    <w:rsid w:val="00B92D67"/>
    <w:rsid w:val="00BA2EFA"/>
    <w:rsid w:val="00BA573C"/>
    <w:rsid w:val="00BB3D3F"/>
    <w:rsid w:val="00BF774A"/>
    <w:rsid w:val="00C14929"/>
    <w:rsid w:val="00C2406D"/>
    <w:rsid w:val="00C45EA0"/>
    <w:rsid w:val="00C6664B"/>
    <w:rsid w:val="00CA56EB"/>
    <w:rsid w:val="00CB0CB5"/>
    <w:rsid w:val="00CB348D"/>
    <w:rsid w:val="00CD32CB"/>
    <w:rsid w:val="00CD62EB"/>
    <w:rsid w:val="00D165FB"/>
    <w:rsid w:val="00D3515F"/>
    <w:rsid w:val="00D362FC"/>
    <w:rsid w:val="00D516EF"/>
    <w:rsid w:val="00D535DA"/>
    <w:rsid w:val="00D643B4"/>
    <w:rsid w:val="00D659E9"/>
    <w:rsid w:val="00D75268"/>
    <w:rsid w:val="00D954A5"/>
    <w:rsid w:val="00DB6EC2"/>
    <w:rsid w:val="00DC26B7"/>
    <w:rsid w:val="00DE5759"/>
    <w:rsid w:val="00DE5F00"/>
    <w:rsid w:val="00DF0181"/>
    <w:rsid w:val="00DF4375"/>
    <w:rsid w:val="00E01C0F"/>
    <w:rsid w:val="00E10BB7"/>
    <w:rsid w:val="00E32F93"/>
    <w:rsid w:val="00E428E6"/>
    <w:rsid w:val="00E52ADF"/>
    <w:rsid w:val="00EA1B64"/>
    <w:rsid w:val="00EA4D04"/>
    <w:rsid w:val="00ED7033"/>
    <w:rsid w:val="00F07D72"/>
    <w:rsid w:val="00F2594F"/>
    <w:rsid w:val="00F3193F"/>
    <w:rsid w:val="00F44DA8"/>
    <w:rsid w:val="00F528A5"/>
    <w:rsid w:val="00F72B0E"/>
    <w:rsid w:val="00F7331F"/>
    <w:rsid w:val="00F7562E"/>
    <w:rsid w:val="00F763E3"/>
    <w:rsid w:val="00F83390"/>
    <w:rsid w:val="00F84C30"/>
    <w:rsid w:val="00F86DF2"/>
    <w:rsid w:val="00F96CD0"/>
    <w:rsid w:val="00FB0EAE"/>
    <w:rsid w:val="00FC33F5"/>
    <w:rsid w:val="00FC356F"/>
    <w:rsid w:val="00FE4A1F"/>
    <w:rsid w:val="00FF6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E2215"/>
  <w15:chartTrackingRefBased/>
  <w15:docId w15:val="{07E45BC5-5B55-4618-B55E-CFBFF37C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1C0F"/>
    <w:pPr>
      <w:widowControl w:val="0"/>
      <w:jc w:val="both"/>
    </w:pPr>
  </w:style>
  <w:style w:type="paragraph" w:styleId="1">
    <w:name w:val="heading 1"/>
    <w:basedOn w:val="a"/>
    <w:next w:val="a"/>
    <w:link w:val="10"/>
    <w:uiPriority w:val="9"/>
    <w:qFormat/>
    <w:rsid w:val="0095057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5057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5057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5057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5057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5057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505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05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057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057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5057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5057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50573"/>
    <w:rPr>
      <w:rFonts w:cstheme="majorBidi"/>
      <w:color w:val="2F5496" w:themeColor="accent1" w:themeShade="BF"/>
      <w:sz w:val="28"/>
      <w:szCs w:val="28"/>
    </w:rPr>
  </w:style>
  <w:style w:type="character" w:customStyle="1" w:styleId="50">
    <w:name w:val="标题 5 字符"/>
    <w:basedOn w:val="a0"/>
    <w:link w:val="5"/>
    <w:uiPriority w:val="9"/>
    <w:semiHidden/>
    <w:rsid w:val="00950573"/>
    <w:rPr>
      <w:rFonts w:cstheme="majorBidi"/>
      <w:color w:val="2F5496" w:themeColor="accent1" w:themeShade="BF"/>
      <w:sz w:val="24"/>
      <w:szCs w:val="24"/>
    </w:rPr>
  </w:style>
  <w:style w:type="character" w:customStyle="1" w:styleId="60">
    <w:name w:val="标题 6 字符"/>
    <w:basedOn w:val="a0"/>
    <w:link w:val="6"/>
    <w:uiPriority w:val="9"/>
    <w:semiHidden/>
    <w:rsid w:val="00950573"/>
    <w:rPr>
      <w:rFonts w:cstheme="majorBidi"/>
      <w:b/>
      <w:bCs/>
      <w:color w:val="2F5496" w:themeColor="accent1" w:themeShade="BF"/>
    </w:rPr>
  </w:style>
  <w:style w:type="character" w:customStyle="1" w:styleId="70">
    <w:name w:val="标题 7 字符"/>
    <w:basedOn w:val="a0"/>
    <w:link w:val="7"/>
    <w:uiPriority w:val="9"/>
    <w:semiHidden/>
    <w:rsid w:val="00950573"/>
    <w:rPr>
      <w:rFonts w:cstheme="majorBidi"/>
      <w:b/>
      <w:bCs/>
      <w:color w:val="595959" w:themeColor="text1" w:themeTint="A6"/>
    </w:rPr>
  </w:style>
  <w:style w:type="character" w:customStyle="1" w:styleId="80">
    <w:name w:val="标题 8 字符"/>
    <w:basedOn w:val="a0"/>
    <w:link w:val="8"/>
    <w:uiPriority w:val="9"/>
    <w:semiHidden/>
    <w:rsid w:val="00950573"/>
    <w:rPr>
      <w:rFonts w:cstheme="majorBidi"/>
      <w:color w:val="595959" w:themeColor="text1" w:themeTint="A6"/>
    </w:rPr>
  </w:style>
  <w:style w:type="character" w:customStyle="1" w:styleId="90">
    <w:name w:val="标题 9 字符"/>
    <w:basedOn w:val="a0"/>
    <w:link w:val="9"/>
    <w:uiPriority w:val="9"/>
    <w:semiHidden/>
    <w:rsid w:val="00950573"/>
    <w:rPr>
      <w:rFonts w:eastAsiaTheme="majorEastAsia" w:cstheme="majorBidi"/>
      <w:color w:val="595959" w:themeColor="text1" w:themeTint="A6"/>
    </w:rPr>
  </w:style>
  <w:style w:type="paragraph" w:styleId="a3">
    <w:name w:val="Title"/>
    <w:basedOn w:val="a"/>
    <w:next w:val="a"/>
    <w:link w:val="a4"/>
    <w:uiPriority w:val="10"/>
    <w:qFormat/>
    <w:rsid w:val="009505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05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05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05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0573"/>
    <w:pPr>
      <w:spacing w:before="160" w:after="160"/>
      <w:jc w:val="center"/>
    </w:pPr>
    <w:rPr>
      <w:i/>
      <w:iCs/>
      <w:color w:val="404040" w:themeColor="text1" w:themeTint="BF"/>
    </w:rPr>
  </w:style>
  <w:style w:type="character" w:customStyle="1" w:styleId="a8">
    <w:name w:val="引用 字符"/>
    <w:basedOn w:val="a0"/>
    <w:link w:val="a7"/>
    <w:uiPriority w:val="29"/>
    <w:rsid w:val="00950573"/>
    <w:rPr>
      <w:i/>
      <w:iCs/>
      <w:color w:val="404040" w:themeColor="text1" w:themeTint="BF"/>
    </w:rPr>
  </w:style>
  <w:style w:type="paragraph" w:styleId="a9">
    <w:name w:val="List Paragraph"/>
    <w:basedOn w:val="a"/>
    <w:uiPriority w:val="34"/>
    <w:qFormat/>
    <w:rsid w:val="00950573"/>
    <w:pPr>
      <w:ind w:left="720"/>
      <w:contextualSpacing/>
    </w:pPr>
  </w:style>
  <w:style w:type="character" w:styleId="aa">
    <w:name w:val="Intense Emphasis"/>
    <w:basedOn w:val="a0"/>
    <w:uiPriority w:val="21"/>
    <w:qFormat/>
    <w:rsid w:val="00950573"/>
    <w:rPr>
      <w:i/>
      <w:iCs/>
      <w:color w:val="2F5496" w:themeColor="accent1" w:themeShade="BF"/>
    </w:rPr>
  </w:style>
  <w:style w:type="paragraph" w:styleId="ab">
    <w:name w:val="Intense Quote"/>
    <w:basedOn w:val="a"/>
    <w:next w:val="a"/>
    <w:link w:val="ac"/>
    <w:uiPriority w:val="30"/>
    <w:qFormat/>
    <w:rsid w:val="00950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50573"/>
    <w:rPr>
      <w:i/>
      <w:iCs/>
      <w:color w:val="2F5496" w:themeColor="accent1" w:themeShade="BF"/>
    </w:rPr>
  </w:style>
  <w:style w:type="character" w:styleId="ad">
    <w:name w:val="Intense Reference"/>
    <w:basedOn w:val="a0"/>
    <w:uiPriority w:val="32"/>
    <w:qFormat/>
    <w:rsid w:val="00950573"/>
    <w:rPr>
      <w:b/>
      <w:bCs/>
      <w:smallCaps/>
      <w:color w:val="2F5496" w:themeColor="accent1" w:themeShade="BF"/>
      <w:spacing w:val="5"/>
    </w:rPr>
  </w:style>
  <w:style w:type="paragraph" w:styleId="ae">
    <w:name w:val="header"/>
    <w:basedOn w:val="a"/>
    <w:link w:val="af"/>
    <w:uiPriority w:val="99"/>
    <w:unhideWhenUsed/>
    <w:rsid w:val="00247EF2"/>
    <w:pPr>
      <w:tabs>
        <w:tab w:val="center" w:pos="4153"/>
        <w:tab w:val="right" w:pos="8306"/>
      </w:tabs>
      <w:snapToGrid w:val="0"/>
      <w:jc w:val="center"/>
    </w:pPr>
    <w:rPr>
      <w:sz w:val="18"/>
      <w:szCs w:val="18"/>
    </w:rPr>
  </w:style>
  <w:style w:type="character" w:customStyle="1" w:styleId="af">
    <w:name w:val="页眉 字符"/>
    <w:basedOn w:val="a0"/>
    <w:link w:val="ae"/>
    <w:uiPriority w:val="99"/>
    <w:rsid w:val="00247EF2"/>
    <w:rPr>
      <w:sz w:val="18"/>
      <w:szCs w:val="18"/>
    </w:rPr>
  </w:style>
  <w:style w:type="paragraph" w:styleId="af0">
    <w:name w:val="footer"/>
    <w:basedOn w:val="a"/>
    <w:link w:val="af1"/>
    <w:uiPriority w:val="99"/>
    <w:unhideWhenUsed/>
    <w:rsid w:val="00247EF2"/>
    <w:pPr>
      <w:tabs>
        <w:tab w:val="center" w:pos="4153"/>
        <w:tab w:val="right" w:pos="8306"/>
      </w:tabs>
      <w:snapToGrid w:val="0"/>
      <w:jc w:val="left"/>
    </w:pPr>
    <w:rPr>
      <w:sz w:val="18"/>
      <w:szCs w:val="18"/>
    </w:rPr>
  </w:style>
  <w:style w:type="character" w:customStyle="1" w:styleId="af1">
    <w:name w:val="页脚 字符"/>
    <w:basedOn w:val="a0"/>
    <w:link w:val="af0"/>
    <w:uiPriority w:val="99"/>
    <w:rsid w:val="00247EF2"/>
    <w:rPr>
      <w:sz w:val="18"/>
      <w:szCs w:val="18"/>
    </w:rPr>
  </w:style>
  <w:style w:type="paragraph" w:styleId="af2">
    <w:name w:val="Normal (Web)"/>
    <w:basedOn w:val="a"/>
    <w:uiPriority w:val="99"/>
    <w:semiHidden/>
    <w:unhideWhenUsed/>
    <w:rsid w:val="007B550D"/>
    <w:rPr>
      <w:rFonts w:ascii="Times New Roman" w:hAnsi="Times New Roman" w:cs="Times New Roman"/>
      <w:sz w:val="24"/>
      <w:szCs w:val="24"/>
    </w:rPr>
  </w:style>
  <w:style w:type="character" w:styleId="af3">
    <w:name w:val="annotation reference"/>
    <w:basedOn w:val="a0"/>
    <w:uiPriority w:val="99"/>
    <w:semiHidden/>
    <w:unhideWhenUsed/>
    <w:rsid w:val="00041067"/>
    <w:rPr>
      <w:sz w:val="21"/>
      <w:szCs w:val="21"/>
    </w:rPr>
  </w:style>
  <w:style w:type="paragraph" w:styleId="af4">
    <w:name w:val="annotation text"/>
    <w:basedOn w:val="a"/>
    <w:link w:val="af5"/>
    <w:uiPriority w:val="99"/>
    <w:semiHidden/>
    <w:unhideWhenUsed/>
    <w:rsid w:val="00041067"/>
    <w:pPr>
      <w:jc w:val="left"/>
    </w:pPr>
  </w:style>
  <w:style w:type="character" w:customStyle="1" w:styleId="af5">
    <w:name w:val="批注文字 字符"/>
    <w:basedOn w:val="a0"/>
    <w:link w:val="af4"/>
    <w:uiPriority w:val="99"/>
    <w:semiHidden/>
    <w:rsid w:val="00041067"/>
  </w:style>
  <w:style w:type="paragraph" w:styleId="af6">
    <w:name w:val="annotation subject"/>
    <w:basedOn w:val="af4"/>
    <w:next w:val="af4"/>
    <w:link w:val="af7"/>
    <w:uiPriority w:val="99"/>
    <w:semiHidden/>
    <w:unhideWhenUsed/>
    <w:rsid w:val="00041067"/>
    <w:rPr>
      <w:b/>
      <w:bCs/>
    </w:rPr>
  </w:style>
  <w:style w:type="character" w:customStyle="1" w:styleId="af7">
    <w:name w:val="批注主题 字符"/>
    <w:basedOn w:val="af5"/>
    <w:link w:val="af6"/>
    <w:uiPriority w:val="99"/>
    <w:semiHidden/>
    <w:rsid w:val="00041067"/>
    <w:rPr>
      <w:b/>
      <w:bCs/>
    </w:rPr>
  </w:style>
  <w:style w:type="table" w:styleId="af8">
    <w:name w:val="Table Grid"/>
    <w:basedOn w:val="a1"/>
    <w:uiPriority w:val="39"/>
    <w:rsid w:val="006D0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2048</TotalTime>
  <Pages>45</Pages>
  <Words>11223</Words>
  <Characters>71491</Characters>
  <Application>Microsoft Office Word</Application>
  <DocSecurity>0</DocSecurity>
  <Lines>1211</Lines>
  <Paragraphs>395</Paragraphs>
  <ScaleCrop>false</ScaleCrop>
  <Company/>
  <LinksUpToDate>false</LinksUpToDate>
  <CharactersWithSpaces>82319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Yang</dc:creator>
  <cp:keywords/>
  <dc:description/>
  <cp:lastModifiedBy>嘏 吴</cp:lastModifiedBy>
  <cp:revision>122</cp:revision>
  <dcterms:created xsi:type="dcterms:W3CDTF">2026-01-15T03:45:00Z</dcterms:created>
  <dcterms:modified xsi:type="dcterms:W3CDTF">2026-03-29T19:53:00Z</dcterms:modified>
</cp:coreProperties>
</file>