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0E93" w14:textId="0B73CC63" w:rsidR="006D789F" w:rsidRPr="00914531" w:rsidRDefault="006D789F" w:rsidP="00220355">
      <w:pPr>
        <w:spacing w:line="360" w:lineRule="auto"/>
        <w:rPr>
          <w:rFonts w:ascii="Times New Roman" w:hAnsi="Times New Roman" w:cs="Arial"/>
          <w:b/>
          <w:bCs/>
          <w:sz w:val="24"/>
        </w:rPr>
      </w:pPr>
      <w:r>
        <w:rPr>
          <w:rFonts w:ascii="Times New Roman" w:hAnsi="Times New Roman" w:cs="Arial" w:hint="eastAsia"/>
          <w:b/>
          <w:bCs/>
          <w:sz w:val="24"/>
        </w:rPr>
        <w:t>Main Figures</w:t>
      </w:r>
      <w:r>
        <w:rPr>
          <w:rFonts w:ascii="Times New Roman" w:hAnsi="Times New Roman" w:cs="Arial"/>
          <w:b/>
          <w:bCs/>
          <w:sz w:val="24"/>
        </w:rPr>
        <w:t>’</w:t>
      </w:r>
      <w:r w:rsidRPr="00914531">
        <w:rPr>
          <w:rFonts w:ascii="Times New Roman" w:hAnsi="Times New Roman" w:cs="Arial" w:hint="eastAsia"/>
          <w:b/>
          <w:bCs/>
          <w:sz w:val="24"/>
        </w:rPr>
        <w:t xml:space="preserve"> Title and Legend</w:t>
      </w:r>
    </w:p>
    <w:p w14:paraId="462A6EDF" w14:textId="77777777" w:rsidR="00C52BD2" w:rsidRDefault="00C52BD2" w:rsidP="00220355">
      <w:pPr>
        <w:spacing w:line="360" w:lineRule="auto"/>
        <w:rPr>
          <w:rFonts w:ascii="Times New Roman" w:hAnsi="Times New Roman" w:cs="Times New Roman"/>
          <w:b/>
          <w:bCs/>
          <w:color w:val="000000" w:themeColor="text1"/>
          <w:szCs w:val="21"/>
        </w:rPr>
      </w:pPr>
    </w:p>
    <w:p w14:paraId="4653318D" w14:textId="3EEA862E" w:rsidR="00C52BD2" w:rsidRPr="00C03CDD" w:rsidRDefault="00C52BD2" w:rsidP="00220355">
      <w:pPr>
        <w:spacing w:line="360" w:lineRule="auto"/>
        <w:rPr>
          <w:rFonts w:ascii="Times New Roman" w:hAnsi="Times New Roman" w:cs="Times New Roman"/>
          <w:b/>
          <w:bCs/>
          <w:color w:val="000000" w:themeColor="text1"/>
          <w:szCs w:val="21"/>
        </w:rPr>
      </w:pPr>
      <w:r w:rsidRPr="00C03CDD">
        <w:rPr>
          <w:rFonts w:ascii="Times New Roman" w:hAnsi="Times New Roman" w:cs="Times New Roman"/>
          <w:b/>
          <w:bCs/>
          <w:color w:val="000000" w:themeColor="text1"/>
          <w:szCs w:val="21"/>
        </w:rPr>
        <w:t>Figure 1. Schematic overview of the benchmarking study.</w:t>
      </w:r>
    </w:p>
    <w:p w14:paraId="00A0C3B8" w14:textId="07738AB5" w:rsidR="00C52BD2" w:rsidRPr="006C76EF" w:rsidRDefault="00C52BD2" w:rsidP="00220355">
      <w:pPr>
        <w:spacing w:line="360" w:lineRule="auto"/>
        <w:rPr>
          <w:rFonts w:ascii="Times New Roman" w:hAnsi="Times New Roman" w:cs="Times New Roman"/>
          <w:color w:val="000000" w:themeColor="text1"/>
          <w:szCs w:val="21"/>
        </w:rPr>
      </w:pPr>
      <w:r w:rsidRPr="00C03CDD">
        <w:rPr>
          <w:rFonts w:ascii="Times New Roman" w:hAnsi="Times New Roman" w:cs="Times New Roman"/>
          <w:b/>
          <w:bCs/>
          <w:color w:val="000000" w:themeColor="text1"/>
          <w:szCs w:val="21"/>
        </w:rPr>
        <w:t>A.</w:t>
      </w:r>
      <w:r w:rsidRPr="00C03CDD">
        <w:rPr>
          <w:rFonts w:ascii="Times New Roman" w:hAnsi="Times New Roman" w:cs="Times New Roman"/>
          <w:color w:val="000000" w:themeColor="text1"/>
          <w:szCs w:val="21"/>
        </w:rPr>
        <w:t xml:space="preserve"> Seventeen HLA-I binding prediction methods were evaluated, including eight DNN-based or DNN-matrix hybrid approaches, six attention-enhanced DNN models, and three methods incorporating self-attention mechanisms.</w:t>
      </w:r>
      <w:r>
        <w:rPr>
          <w:rFonts w:ascii="Times New Roman" w:hAnsi="Times New Roman" w:cs="Times New Roman" w:hint="eastAsia"/>
          <w:color w:val="000000" w:themeColor="text1"/>
          <w:szCs w:val="21"/>
        </w:rPr>
        <w:t xml:space="preserve"> </w:t>
      </w:r>
      <w:r>
        <w:rPr>
          <w:rFonts w:ascii="Times New Roman" w:hAnsi="Times New Roman" w:cs="Times New Roman" w:hint="eastAsia"/>
          <w:b/>
          <w:bCs/>
          <w:color w:val="000000" w:themeColor="text1"/>
          <w:szCs w:val="21"/>
        </w:rPr>
        <w:t xml:space="preserve">B. </w:t>
      </w:r>
      <w:r w:rsidRPr="00C03CDD">
        <w:rPr>
          <w:rFonts w:ascii="Times New Roman" w:hAnsi="Times New Roman" w:cs="Times New Roman"/>
          <w:color w:val="000000" w:themeColor="text1"/>
          <w:szCs w:val="21"/>
        </w:rPr>
        <w:t>A diverse set of data from multiple databases was curated to assemble a comprehensive benchmark validation dataset.</w:t>
      </w:r>
      <w:r>
        <w:rPr>
          <w:rFonts w:ascii="Times New Roman" w:hAnsi="Times New Roman" w:cs="Times New Roman" w:hint="eastAsia"/>
          <w:color w:val="000000" w:themeColor="text1"/>
          <w:szCs w:val="21"/>
        </w:rPr>
        <w:t xml:space="preserve"> </w:t>
      </w:r>
      <w:r>
        <w:rPr>
          <w:rFonts w:ascii="Times New Roman" w:hAnsi="Times New Roman" w:cs="Times New Roman" w:hint="eastAsia"/>
          <w:b/>
          <w:bCs/>
          <w:color w:val="000000" w:themeColor="text1"/>
          <w:szCs w:val="21"/>
        </w:rPr>
        <w:t>C.</w:t>
      </w:r>
      <w:r w:rsidRPr="00C03CDD">
        <w:rPr>
          <w:rFonts w:ascii="Times New Roman" w:hAnsi="Times New Roman" w:cs="Times New Roman"/>
          <w:b/>
          <w:bCs/>
          <w:color w:val="000000" w:themeColor="text1"/>
          <w:szCs w:val="21"/>
        </w:rPr>
        <w:t xml:space="preserve"> </w:t>
      </w:r>
      <w:r w:rsidRPr="00C03CDD">
        <w:rPr>
          <w:rFonts w:ascii="Times New Roman" w:hAnsi="Times New Roman" w:cs="Times New Roman"/>
          <w:color w:val="000000" w:themeColor="text1"/>
          <w:szCs w:val="21"/>
        </w:rPr>
        <w:t>The performance of the methods was assessed across a range of evaluation metrics.</w:t>
      </w:r>
      <w:r>
        <w:rPr>
          <w:rFonts w:ascii="Times New Roman" w:hAnsi="Times New Roman" w:cs="Times New Roman" w:hint="eastAsia"/>
          <w:color w:val="000000" w:themeColor="text1"/>
          <w:szCs w:val="21"/>
        </w:rPr>
        <w:t xml:space="preserve"> </w:t>
      </w:r>
      <w:r>
        <w:rPr>
          <w:rFonts w:ascii="Times New Roman" w:hAnsi="Times New Roman" w:cs="Times New Roman" w:hint="eastAsia"/>
          <w:b/>
          <w:bCs/>
          <w:color w:val="000000" w:themeColor="text1"/>
          <w:szCs w:val="21"/>
        </w:rPr>
        <w:t>D.</w:t>
      </w:r>
      <w:r w:rsidRPr="00C03CDD">
        <w:rPr>
          <w:rFonts w:ascii="Times New Roman" w:hAnsi="Times New Roman" w:cs="Times New Roman"/>
          <w:b/>
          <w:bCs/>
          <w:color w:val="000000" w:themeColor="text1"/>
          <w:szCs w:val="21"/>
        </w:rPr>
        <w:t xml:space="preserve"> </w:t>
      </w:r>
      <w:r w:rsidRPr="00C03CDD">
        <w:rPr>
          <w:rFonts w:ascii="Times New Roman" w:hAnsi="Times New Roman" w:cs="Times New Roman"/>
          <w:color w:val="000000" w:themeColor="text1"/>
          <w:szCs w:val="21"/>
        </w:rPr>
        <w:t>The comparison also incorporated variations across different HLA-I alleles and peptide lengths, with local instance-based explanations applied to select methods for interpretability.</w:t>
      </w:r>
      <w:r w:rsidR="006C76EF">
        <w:rPr>
          <w:rFonts w:ascii="Times New Roman" w:hAnsi="Times New Roman" w:cs="Times New Roman" w:hint="eastAsia"/>
          <w:color w:val="000000" w:themeColor="text1"/>
          <w:szCs w:val="21"/>
        </w:rPr>
        <w:t xml:space="preserve"> </w:t>
      </w:r>
      <w:r w:rsidR="006C76EF" w:rsidRPr="00EA3C13">
        <w:rPr>
          <w:rFonts w:ascii="Times New Roman" w:hAnsi="Times New Roman" w:cs="Times New Roman" w:hint="eastAsia"/>
          <w:color w:val="000000" w:themeColor="text1"/>
          <w:szCs w:val="21"/>
        </w:rPr>
        <w:t>Abbreviations:</w:t>
      </w:r>
      <w:r>
        <w:rPr>
          <w:rFonts w:ascii="Times New Roman" w:hAnsi="Times New Roman" w:cs="Times New Roman" w:hint="eastAsia"/>
          <w:color w:val="000000" w:themeColor="text1"/>
          <w:szCs w:val="21"/>
        </w:rPr>
        <w:t xml:space="preserve"> </w:t>
      </w:r>
      <w:r w:rsidRPr="007E1814">
        <w:rPr>
          <w:rFonts w:ascii="Times New Roman" w:hAnsi="Times New Roman" w:cs="Times New Roman"/>
          <w:color w:val="000000" w:themeColor="text1"/>
          <w:szCs w:val="21"/>
        </w:rPr>
        <w:t>DNN</w:t>
      </w:r>
      <w:r>
        <w:rPr>
          <w:rFonts w:ascii="Times New Roman" w:hAnsi="Times New Roman" w:cs="Times New Roman" w:hint="eastAsia"/>
          <w:color w:val="000000" w:themeColor="text1"/>
          <w:szCs w:val="21"/>
        </w:rPr>
        <w:t xml:space="preserve">, </w:t>
      </w:r>
      <w:r w:rsidRPr="007E1814">
        <w:rPr>
          <w:rFonts w:ascii="Times New Roman" w:hAnsi="Times New Roman" w:cs="Times New Roman"/>
          <w:color w:val="000000" w:themeColor="text1"/>
          <w:szCs w:val="21"/>
        </w:rPr>
        <w:t>deep neural network</w:t>
      </w:r>
      <w:r>
        <w:rPr>
          <w:rFonts w:ascii="Times New Roman" w:hAnsi="Times New Roman" w:cs="Times New Roman" w:hint="eastAsia"/>
          <w:color w:val="000000" w:themeColor="text1"/>
          <w:szCs w:val="21"/>
        </w:rPr>
        <w:t>.</w:t>
      </w:r>
    </w:p>
    <w:p w14:paraId="6B4F7224" w14:textId="77777777" w:rsidR="006D789F" w:rsidRDefault="006D789F" w:rsidP="00220355">
      <w:pPr>
        <w:widowControl/>
        <w:spacing w:line="360" w:lineRule="auto"/>
        <w:rPr>
          <w:rFonts w:ascii="Times New Roman" w:hAnsi="Times New Roman" w:cs="Arial"/>
          <w:sz w:val="24"/>
        </w:rPr>
      </w:pPr>
    </w:p>
    <w:p w14:paraId="287C2B89" w14:textId="77777777" w:rsidR="00C52BD2" w:rsidRPr="00C03CDD" w:rsidRDefault="00C52BD2" w:rsidP="00220355">
      <w:pPr>
        <w:spacing w:line="360" w:lineRule="auto"/>
        <w:rPr>
          <w:rFonts w:ascii="Times New Roman" w:hAnsi="Times New Roman" w:cs="Times New Roman"/>
          <w:b/>
          <w:bCs/>
          <w:color w:val="000000" w:themeColor="text1"/>
          <w:szCs w:val="21"/>
        </w:rPr>
      </w:pPr>
      <w:r w:rsidRPr="00C03CDD">
        <w:rPr>
          <w:rFonts w:ascii="Times New Roman" w:hAnsi="Times New Roman" w:cs="Times New Roman"/>
          <w:b/>
          <w:bCs/>
          <w:color w:val="000000" w:themeColor="text1"/>
          <w:szCs w:val="21"/>
        </w:rPr>
        <w:t>Figure 2. Performance evaluation of HLA-I peptide binding predictors</w:t>
      </w:r>
    </w:p>
    <w:p w14:paraId="2F609D38" w14:textId="7EDA65B4" w:rsidR="00C52BD2" w:rsidRDefault="00EA3C13" w:rsidP="00220355">
      <w:pPr>
        <w:widowControl/>
        <w:spacing w:line="360" w:lineRule="auto"/>
        <w:rPr>
          <w:rFonts w:ascii="Times New Roman" w:hAnsi="Times New Roman" w:cs="Times New Roman"/>
          <w:color w:val="000000" w:themeColor="text1"/>
          <w:szCs w:val="21"/>
        </w:rPr>
      </w:pPr>
      <w:r w:rsidRPr="00EA3C13">
        <w:rPr>
          <w:rFonts w:ascii="Times New Roman" w:hAnsi="Times New Roman" w:cs="Times New Roman" w:hint="eastAsia"/>
          <w:b/>
          <w:bCs/>
          <w:color w:val="000000" w:themeColor="text1"/>
          <w:szCs w:val="21"/>
        </w:rPr>
        <w:t xml:space="preserve">A. </w:t>
      </w:r>
      <w:r w:rsidRPr="00EA3C13">
        <w:rPr>
          <w:rFonts w:ascii="Times New Roman" w:hAnsi="Times New Roman" w:cs="Times New Roman" w:hint="eastAsia"/>
          <w:color w:val="000000" w:themeColor="text1"/>
          <w:szCs w:val="21"/>
        </w:rPr>
        <w:t xml:space="preserve">Distribution of the testing dataset across 44 HLA-I alleles (HLA-A, HLA-B, and HLA-C) and peptide lengths (8-11 amino acids) with a 1:1 positive-to-negative ratio. </w:t>
      </w:r>
      <w:r w:rsidR="00931BF7" w:rsidRPr="00931BF7">
        <w:rPr>
          <w:rFonts w:ascii="Times New Roman" w:hAnsi="Times New Roman" w:cs="Times New Roman" w:hint="eastAsia"/>
          <w:b/>
          <w:bCs/>
          <w:color w:val="000000" w:themeColor="text1"/>
          <w:szCs w:val="21"/>
        </w:rPr>
        <w:t xml:space="preserve">B. </w:t>
      </w:r>
      <w:r w:rsidR="00931BF7" w:rsidRPr="00931BF7">
        <w:rPr>
          <w:rFonts w:ascii="Times New Roman" w:hAnsi="Times New Roman" w:cs="Times New Roman" w:hint="eastAsia"/>
          <w:color w:val="000000" w:themeColor="text1"/>
          <w:szCs w:val="21"/>
        </w:rPr>
        <w:t xml:space="preserve">Zoomed-in bar plots detailing the AUROC and AUPRC, along with their 95% confidence intervals (95% CIs), for various HLA-I peptide binding predictors evaluated at four different positive-to-negative dataset ratios (1:1, 1:4, 1:9, and 1:99). </w:t>
      </w:r>
      <w:r w:rsidR="00931BF7" w:rsidRPr="00931BF7">
        <w:rPr>
          <w:rFonts w:ascii="Times New Roman" w:hAnsi="Times New Roman" w:cs="Times New Roman" w:hint="eastAsia"/>
          <w:b/>
          <w:bCs/>
          <w:color w:val="000000" w:themeColor="text1"/>
          <w:szCs w:val="21"/>
        </w:rPr>
        <w:t xml:space="preserve">C. </w:t>
      </w:r>
      <w:r w:rsidR="00931BF7" w:rsidRPr="00931BF7">
        <w:rPr>
          <w:rFonts w:ascii="Times New Roman" w:hAnsi="Times New Roman" w:cs="Times New Roman" w:hint="eastAsia"/>
          <w:color w:val="000000" w:themeColor="text1"/>
          <w:szCs w:val="21"/>
        </w:rPr>
        <w:t>Comparison of overall AUROC and AUPRC performances among three predefined classes of predictors across the four dataset ratios. Statistical significance between the predictor classes was assessed using the Wilcoxon rank-sum test.</w:t>
      </w:r>
      <w:r w:rsidRPr="00EA3C13">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b/>
          <w:bCs/>
          <w:color w:val="000000" w:themeColor="text1"/>
          <w:szCs w:val="21"/>
        </w:rPr>
        <w:t xml:space="preserve">D. </w:t>
      </w:r>
      <w:r w:rsidRPr="00EA3C13">
        <w:rPr>
          <w:rFonts w:ascii="Times New Roman" w:hAnsi="Times New Roman" w:cs="Times New Roman" w:hint="eastAsia"/>
          <w:color w:val="000000" w:themeColor="text1"/>
          <w:szCs w:val="21"/>
        </w:rPr>
        <w:t xml:space="preserve">Heatmap illustrating confusion matrix-based performance metrics, including the Comprehensive score, MCC, F1-score, accuracy, precision, Sn, and </w:t>
      </w:r>
      <w:proofErr w:type="spellStart"/>
      <w:r w:rsidRPr="00EA3C13">
        <w:rPr>
          <w:rFonts w:ascii="Times New Roman" w:hAnsi="Times New Roman" w:cs="Times New Roman" w:hint="eastAsia"/>
          <w:color w:val="000000" w:themeColor="text1"/>
          <w:szCs w:val="21"/>
        </w:rPr>
        <w:t>Sp</w:t>
      </w:r>
      <w:proofErr w:type="spellEnd"/>
      <w:r w:rsidRPr="00EA3C13">
        <w:rPr>
          <w:rFonts w:ascii="Times New Roman" w:hAnsi="Times New Roman" w:cs="Times New Roman" w:hint="eastAsia"/>
          <w:color w:val="000000" w:themeColor="text1"/>
          <w:szCs w:val="21"/>
        </w:rPr>
        <w:t xml:space="preserve"> for all evaluated predictors, calculated based on the 1:9 positive-to-negative ratio dataset. </w:t>
      </w:r>
      <w:r w:rsidRPr="00EA3C13">
        <w:rPr>
          <w:rFonts w:ascii="Times New Roman" w:hAnsi="Times New Roman" w:cs="Times New Roman" w:hint="eastAsia"/>
          <w:b/>
          <w:bCs/>
          <w:color w:val="000000" w:themeColor="text1"/>
          <w:szCs w:val="21"/>
        </w:rPr>
        <w:t>E.</w:t>
      </w:r>
      <w:r w:rsidRPr="00EA3C13">
        <w:rPr>
          <w:rFonts w:ascii="Times New Roman" w:hAnsi="Times New Roman" w:cs="Times New Roman" w:hint="eastAsia"/>
          <w:color w:val="000000" w:themeColor="text1"/>
          <w:szCs w:val="21"/>
        </w:rPr>
        <w:t xml:space="preserve"> Computational resource consumption analysis, showing CPU usage, physical memory consumption, and calculation time for the predictors across 4,000 selected samples.</w:t>
      </w:r>
      <w:r w:rsidR="006C76EF">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color w:val="000000" w:themeColor="text1"/>
          <w:szCs w:val="21"/>
        </w:rPr>
        <w:t xml:space="preserve">Abbreviations: AUROC, area under the receiver operating characteristic curve; AUPRC, area under the precision-recall curve; </w:t>
      </w:r>
      <w:r w:rsidR="00931BF7" w:rsidRPr="00931BF7">
        <w:rPr>
          <w:rFonts w:ascii="Times New Roman" w:hAnsi="Times New Roman" w:cs="Times New Roman"/>
          <w:color w:val="000000" w:themeColor="text1"/>
          <w:szCs w:val="21"/>
        </w:rPr>
        <w:t>CI, confidence interval</w:t>
      </w:r>
      <w:r w:rsidR="00931BF7">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color w:val="000000" w:themeColor="text1"/>
          <w:szCs w:val="21"/>
        </w:rPr>
        <w:t xml:space="preserve">Sn, sensitivity; </w:t>
      </w:r>
      <w:proofErr w:type="spellStart"/>
      <w:r w:rsidRPr="00EA3C13">
        <w:rPr>
          <w:rFonts w:ascii="Times New Roman" w:hAnsi="Times New Roman" w:cs="Times New Roman" w:hint="eastAsia"/>
          <w:color w:val="000000" w:themeColor="text1"/>
          <w:szCs w:val="21"/>
        </w:rPr>
        <w:t>Sp</w:t>
      </w:r>
      <w:proofErr w:type="spellEnd"/>
      <w:r w:rsidRPr="00EA3C13">
        <w:rPr>
          <w:rFonts w:ascii="Times New Roman" w:hAnsi="Times New Roman" w:cs="Times New Roman" w:hint="eastAsia"/>
          <w:color w:val="000000" w:themeColor="text1"/>
          <w:szCs w:val="21"/>
        </w:rPr>
        <w:t>, specificity; MCC, Matthews correlation coefficient.</w:t>
      </w:r>
    </w:p>
    <w:p w14:paraId="74BD620D" w14:textId="77777777" w:rsidR="00B549AF" w:rsidRPr="00EA3C13" w:rsidRDefault="00B549AF" w:rsidP="00220355">
      <w:pPr>
        <w:widowControl/>
        <w:spacing w:line="360" w:lineRule="auto"/>
        <w:rPr>
          <w:rFonts w:ascii="Times New Roman" w:hAnsi="Times New Roman" w:cs="Arial"/>
          <w:sz w:val="24"/>
        </w:rPr>
      </w:pPr>
    </w:p>
    <w:p w14:paraId="5BBA48EA" w14:textId="77777777" w:rsidR="00C52BD2" w:rsidRPr="00C03CDD" w:rsidRDefault="00C52BD2" w:rsidP="00220355">
      <w:pPr>
        <w:spacing w:line="360" w:lineRule="auto"/>
        <w:rPr>
          <w:rFonts w:ascii="Times New Roman" w:hAnsi="Times New Roman" w:cs="Times New Roman"/>
          <w:b/>
          <w:bCs/>
          <w:color w:val="000000" w:themeColor="text1"/>
          <w:szCs w:val="21"/>
        </w:rPr>
      </w:pPr>
      <w:r w:rsidRPr="00C03CDD">
        <w:rPr>
          <w:rFonts w:ascii="Times New Roman" w:hAnsi="Times New Roman" w:cs="Times New Roman"/>
          <w:b/>
          <w:bCs/>
          <w:color w:val="000000" w:themeColor="text1"/>
          <w:szCs w:val="21"/>
        </w:rPr>
        <w:t>Figure 3. Performance of HLA-I peptide binding predictors across HLA-I types and peptide lengths.</w:t>
      </w:r>
    </w:p>
    <w:p w14:paraId="148C1EB0" w14:textId="1672B6EC" w:rsidR="00C52BD2" w:rsidRPr="00C03CDD" w:rsidRDefault="00982699" w:rsidP="00220355">
      <w:pPr>
        <w:spacing w:line="360" w:lineRule="auto"/>
        <w:rPr>
          <w:rFonts w:ascii="Times New Roman" w:hAnsi="Times New Roman" w:cs="Times New Roman"/>
          <w:color w:val="000000" w:themeColor="text1"/>
          <w:szCs w:val="21"/>
        </w:rPr>
      </w:pPr>
      <w:r w:rsidRPr="00982699">
        <w:rPr>
          <w:rFonts w:ascii="Times New Roman" w:hAnsi="Times New Roman" w:cs="Times New Roman"/>
          <w:color w:val="000000" w:themeColor="text1"/>
          <w:szCs w:val="21"/>
        </w:rPr>
        <w:t xml:space="preserve">All evaluations in this figure are based on the testing dataset with a 1:9 positive-to-negative ratio, assessing key metrics including AUROC, AUPRC, F1-score, accuracy, MCC, precision, Sn, and Sp. </w:t>
      </w:r>
      <w:r w:rsidRPr="00982699">
        <w:rPr>
          <w:rFonts w:ascii="Times New Roman" w:hAnsi="Times New Roman" w:cs="Times New Roman"/>
          <w:b/>
          <w:bCs/>
          <w:color w:val="000000" w:themeColor="text1"/>
          <w:szCs w:val="21"/>
        </w:rPr>
        <w:t>A.</w:t>
      </w:r>
      <w:r w:rsidRPr="00982699">
        <w:rPr>
          <w:rFonts w:ascii="Times New Roman" w:hAnsi="Times New Roman" w:cs="Times New Roman"/>
          <w:color w:val="000000" w:themeColor="text1"/>
          <w:szCs w:val="21"/>
        </w:rPr>
        <w:t xml:space="preserve"> Performance of the models across different peptide length strata, with lighter shades indicating superior performance. </w:t>
      </w:r>
      <w:r w:rsidRPr="00982699">
        <w:rPr>
          <w:rFonts w:ascii="Times New Roman" w:hAnsi="Times New Roman" w:cs="Times New Roman"/>
          <w:b/>
          <w:bCs/>
          <w:color w:val="000000" w:themeColor="text1"/>
          <w:szCs w:val="21"/>
        </w:rPr>
        <w:t>B.</w:t>
      </w:r>
      <w:r w:rsidRPr="00982699">
        <w:rPr>
          <w:rFonts w:ascii="Times New Roman" w:hAnsi="Times New Roman" w:cs="Times New Roman"/>
          <w:color w:val="000000" w:themeColor="text1"/>
          <w:szCs w:val="21"/>
        </w:rPr>
        <w:t xml:space="preserve"> Performance of the models across different HLA type strata (HLA-A, HLA-B, and HLA-C), with lighter shades indicating superior performance. </w:t>
      </w:r>
      <w:r w:rsidRPr="00982699">
        <w:rPr>
          <w:rFonts w:ascii="Times New Roman" w:hAnsi="Times New Roman" w:cs="Times New Roman"/>
          <w:b/>
          <w:bCs/>
          <w:color w:val="000000" w:themeColor="text1"/>
          <w:szCs w:val="21"/>
        </w:rPr>
        <w:t>C.</w:t>
      </w:r>
      <w:r w:rsidRPr="00982699">
        <w:rPr>
          <w:rFonts w:ascii="Times New Roman" w:hAnsi="Times New Roman" w:cs="Times New Roman"/>
          <w:color w:val="000000" w:themeColor="text1"/>
          <w:szCs w:val="21"/>
        </w:rPr>
        <w:t xml:space="preserve"> Performance ranking of the three predefined predictor classes across various scenarios—including the overall dataset, specific peptide lengths, and specific HLA types—with the highest-performing class indicated in the topmost block of each group.</w:t>
      </w:r>
    </w:p>
    <w:p w14:paraId="1953CCF5" w14:textId="77777777" w:rsidR="00C52BD2" w:rsidRDefault="00C52BD2" w:rsidP="00220355">
      <w:pPr>
        <w:widowControl/>
        <w:spacing w:line="360" w:lineRule="auto"/>
        <w:rPr>
          <w:rFonts w:ascii="Times New Roman" w:hAnsi="Times New Roman" w:cs="Arial"/>
          <w:sz w:val="24"/>
        </w:rPr>
      </w:pPr>
    </w:p>
    <w:p w14:paraId="1D8839D3" w14:textId="77777777" w:rsidR="000E59F4" w:rsidRPr="003C059E" w:rsidRDefault="000E59F4" w:rsidP="000E59F4">
      <w:pPr>
        <w:spacing w:line="360" w:lineRule="auto"/>
        <w:rPr>
          <w:rFonts w:ascii="Times New Roman" w:hAnsi="Times New Roman" w:cs="Times New Roman"/>
          <w:b/>
          <w:bCs/>
          <w:color w:val="000000" w:themeColor="text1"/>
          <w:szCs w:val="21"/>
        </w:rPr>
      </w:pPr>
      <w:r w:rsidRPr="003C059E">
        <w:rPr>
          <w:rFonts w:ascii="Times New Roman" w:hAnsi="Times New Roman" w:cs="Times New Roman"/>
          <w:b/>
          <w:bCs/>
          <w:color w:val="000000" w:themeColor="text1"/>
          <w:szCs w:val="21"/>
        </w:rPr>
        <w:t>Figure 4. Explainable AI insights for HLA-I peptide binding predictors.</w:t>
      </w:r>
    </w:p>
    <w:p w14:paraId="0E1F05A2" w14:textId="77777777" w:rsidR="000E59F4" w:rsidRPr="003C059E" w:rsidRDefault="000E59F4" w:rsidP="000E59F4">
      <w:pPr>
        <w:spacing w:line="360" w:lineRule="auto"/>
        <w:jc w:val="both"/>
        <w:rPr>
          <w:rFonts w:ascii="Times New Roman" w:hAnsi="Times New Roman" w:cs="Times New Roman"/>
          <w:color w:val="000000" w:themeColor="text1"/>
          <w:sz w:val="21"/>
          <w:szCs w:val="21"/>
        </w:rPr>
      </w:pPr>
      <w:r w:rsidRPr="00015B2A">
        <w:rPr>
          <w:rFonts w:ascii="Times New Roman" w:hAnsi="Times New Roman" w:cs="Times New Roman" w:hint="eastAsia"/>
          <w:b/>
          <w:bCs/>
          <w:color w:val="000000" w:themeColor="text1"/>
          <w:szCs w:val="21"/>
        </w:rPr>
        <w:t xml:space="preserve">A-C. </w:t>
      </w:r>
      <w:r w:rsidRPr="00015B2A">
        <w:rPr>
          <w:rFonts w:ascii="Times New Roman" w:hAnsi="Times New Roman" w:cs="Times New Roman" w:hint="eastAsia"/>
          <w:color w:val="000000" w:themeColor="text1"/>
          <w:szCs w:val="21"/>
        </w:rPr>
        <w:t xml:space="preserve">Binding motifs for HLA-A*02:01 9-mer (A), HLA-B*15:02 9-mer (B), and HLA-C*05:01 9-mer (C). </w:t>
      </w:r>
      <w:r w:rsidRPr="00015B2A">
        <w:rPr>
          <w:rFonts w:ascii="Times New Roman" w:hAnsi="Times New Roman" w:cs="Times New Roman" w:hint="eastAsia"/>
          <w:b/>
          <w:bCs/>
          <w:color w:val="000000" w:themeColor="text1"/>
          <w:szCs w:val="21"/>
        </w:rPr>
        <w:t xml:space="preserve">D-F. </w:t>
      </w:r>
      <w:r w:rsidRPr="00015B2A">
        <w:rPr>
          <w:rFonts w:ascii="Times New Roman" w:hAnsi="Times New Roman" w:cs="Times New Roman" w:hint="eastAsia"/>
          <w:color w:val="000000" w:themeColor="text1"/>
          <w:szCs w:val="21"/>
        </w:rPr>
        <w:t xml:space="preserve">Median SHAP values across 100 peptides for each allele, generated by eight different predictors. </w:t>
      </w:r>
      <w:r w:rsidRPr="008204FF">
        <w:rPr>
          <w:rFonts w:ascii="Times New Roman" w:hAnsi="Times New Roman" w:cs="Times New Roman" w:hint="eastAsia"/>
          <w:b/>
          <w:bCs/>
          <w:color w:val="000000" w:themeColor="text1"/>
          <w:szCs w:val="21"/>
        </w:rPr>
        <w:t>G-I.</w:t>
      </w:r>
      <w:r w:rsidRPr="00015B2A">
        <w:rPr>
          <w:rFonts w:ascii="Times New Roman" w:hAnsi="Times New Roman" w:cs="Times New Roman" w:hint="eastAsia"/>
          <w:color w:val="000000" w:themeColor="text1"/>
          <w:szCs w:val="21"/>
        </w:rPr>
        <w:t xml:space="preserve"> Peptide-HLA structures predicted by APE-Gen2.0, with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values for each peptide residue calculated by </w:t>
      </w:r>
      <w:proofErr w:type="spellStart"/>
      <w:r w:rsidRPr="00015B2A">
        <w:rPr>
          <w:rFonts w:ascii="Times New Roman" w:hAnsi="Times New Roman" w:cs="Times New Roman" w:hint="eastAsia"/>
          <w:color w:val="000000" w:themeColor="text1"/>
          <w:szCs w:val="21"/>
        </w:rPr>
        <w:t>BAlaS</w:t>
      </w:r>
      <w:proofErr w:type="spellEnd"/>
      <w:r w:rsidRPr="00015B2A">
        <w:rPr>
          <w:rFonts w:ascii="Times New Roman" w:hAnsi="Times New Roman" w:cs="Times New Roman" w:hint="eastAsia"/>
          <w:color w:val="000000" w:themeColor="text1"/>
          <w:szCs w:val="21"/>
        </w:rPr>
        <w:t xml:space="preserve">. Higher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indicates a greater contribution to binding (specifically,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w:t>
      </w:r>
      <w:r w:rsidRPr="003C059E">
        <w:rPr>
          <w:rFonts w:ascii="Times New Roman" w:hAnsi="Times New Roman" w:cs="Times New Roman"/>
          <w:color w:val="000000" w:themeColor="text1"/>
          <w:szCs w:val="21"/>
        </w:rPr>
        <w:t>≥</w:t>
      </w:r>
      <w:r w:rsidRPr="00015B2A">
        <w:rPr>
          <w:rFonts w:ascii="Times New Roman" w:hAnsi="Times New Roman" w:cs="Times New Roman" w:hint="eastAsia"/>
          <w:color w:val="000000" w:themeColor="text1"/>
          <w:szCs w:val="21"/>
        </w:rPr>
        <w:t>4.18</w:t>
      </w:r>
      <w:r>
        <w:rPr>
          <w:rFonts w:ascii="Times New Roman" w:hAnsi="Times New Roman" w:cs="Times New Roman" w:hint="eastAsia"/>
          <w:color w:val="000000" w:themeColor="text1"/>
          <w:szCs w:val="21"/>
        </w:rPr>
        <w:t>4</w:t>
      </w:r>
      <w:r w:rsidRPr="00015B2A">
        <w:rPr>
          <w:rFonts w:ascii="Times New Roman" w:hAnsi="Times New Roman" w:cs="Times New Roman" w:hint="eastAsia"/>
          <w:color w:val="000000" w:themeColor="text1"/>
          <w:szCs w:val="21"/>
        </w:rPr>
        <w:t xml:space="preserve"> kJ/mol indicates a major contribution, 0</w:t>
      </w:r>
      <w:r w:rsidRPr="00015B2A">
        <w:rPr>
          <w:rFonts w:ascii="Times New Roman" w:hAnsi="Times New Roman" w:cs="Times New Roman" w:hint="eastAsia"/>
          <w:color w:val="000000" w:themeColor="text1"/>
          <w:szCs w:val="21"/>
        </w:rPr>
        <w:t>–</w:t>
      </w:r>
      <w:r w:rsidRPr="00015B2A">
        <w:rPr>
          <w:rFonts w:ascii="Times New Roman" w:hAnsi="Times New Roman" w:cs="Times New Roman" w:hint="eastAsia"/>
          <w:color w:val="000000" w:themeColor="text1"/>
          <w:szCs w:val="21"/>
        </w:rPr>
        <w:t xml:space="preserve">4.18 kJ/mol indicates a moderate contribution, and &lt; </w:t>
      </w:r>
      <w:r>
        <w:rPr>
          <w:rFonts w:ascii="Times New Roman" w:hAnsi="Times New Roman" w:cs="Times New Roman" w:hint="eastAsia"/>
          <w:color w:val="000000" w:themeColor="text1"/>
          <w:szCs w:val="21"/>
        </w:rPr>
        <w:t>-4.184</w:t>
      </w:r>
      <w:r w:rsidRPr="00015B2A">
        <w:rPr>
          <w:rFonts w:ascii="Times New Roman" w:hAnsi="Times New Roman" w:cs="Times New Roman" w:hint="eastAsia"/>
          <w:color w:val="000000" w:themeColor="text1"/>
          <w:szCs w:val="21"/>
        </w:rPr>
        <w:t xml:space="preserve"> kJ/mol indicates an adverse effect), while the total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of the complex reflects its stability (lower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corresponds to greater base structure stability). </w:t>
      </w:r>
      <w:r w:rsidRPr="00015B2A">
        <w:rPr>
          <w:rFonts w:ascii="Times New Roman" w:hAnsi="Times New Roman" w:cs="Times New Roman" w:hint="eastAsia"/>
          <w:b/>
          <w:bCs/>
          <w:color w:val="000000" w:themeColor="text1"/>
          <w:szCs w:val="21"/>
        </w:rPr>
        <w:t>J-K.</w:t>
      </w:r>
      <w:r w:rsidRPr="00015B2A">
        <w:rPr>
          <w:rFonts w:ascii="Times New Roman" w:hAnsi="Times New Roman" w:cs="Times New Roman" w:hint="eastAsia"/>
          <w:color w:val="000000" w:themeColor="text1"/>
          <w:szCs w:val="21"/>
        </w:rPr>
        <w:t xml:space="preserve"> SHAP values for each peptide residue and binary binding outcomes across the predictors. Abbreviations: XAI, explainable artificial intelligence; SHAP, </w:t>
      </w:r>
      <w:proofErr w:type="spellStart"/>
      <w:r w:rsidRPr="00015B2A">
        <w:rPr>
          <w:rFonts w:ascii="Times New Roman" w:hAnsi="Times New Roman" w:cs="Times New Roman" w:hint="eastAsia"/>
          <w:color w:val="000000" w:themeColor="text1"/>
          <w:szCs w:val="21"/>
        </w:rPr>
        <w:t>SHapley</w:t>
      </w:r>
      <w:proofErr w:type="spellEnd"/>
      <w:r w:rsidRPr="00015B2A">
        <w:rPr>
          <w:rFonts w:ascii="Times New Roman" w:hAnsi="Times New Roman" w:cs="Times New Roman" w:hint="eastAsia"/>
          <w:color w:val="000000" w:themeColor="text1"/>
          <w:szCs w:val="21"/>
        </w:rPr>
        <w:t xml:space="preserve"> Additive </w:t>
      </w:r>
      <w:proofErr w:type="spellStart"/>
      <w:r w:rsidRPr="00015B2A">
        <w:rPr>
          <w:rFonts w:ascii="Times New Roman" w:hAnsi="Times New Roman" w:cs="Times New Roman" w:hint="eastAsia"/>
          <w:color w:val="000000" w:themeColor="text1"/>
          <w:szCs w:val="21"/>
        </w:rPr>
        <w:t>exPlanations</w:t>
      </w:r>
      <w:proofErr w:type="spellEnd"/>
      <w:r w:rsidRPr="00015B2A">
        <w:rPr>
          <w:rFonts w:ascii="Times New Roman" w:hAnsi="Times New Roman" w:cs="Times New Roman" w:hint="eastAsia"/>
          <w:color w:val="000000" w:themeColor="text1"/>
          <w:szCs w:val="21"/>
        </w:rPr>
        <w:t xml:space="preserve">;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Gibbs free energy;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G, change in Gibbs free energy.</w:t>
      </w:r>
    </w:p>
    <w:p w14:paraId="06300541" w14:textId="3D43C0FD" w:rsidR="006D789F" w:rsidRDefault="006D789F" w:rsidP="00220355">
      <w:pPr>
        <w:widowControl/>
        <w:spacing w:line="360" w:lineRule="auto"/>
        <w:rPr>
          <w:rFonts w:ascii="Times New Roman" w:hAnsi="Times New Roman" w:cs="Arial"/>
          <w:b/>
          <w:bCs/>
          <w:sz w:val="24"/>
        </w:rPr>
      </w:pPr>
      <w:r>
        <w:rPr>
          <w:rFonts w:ascii="Times New Roman" w:hAnsi="Times New Roman" w:cs="Arial"/>
          <w:b/>
          <w:bCs/>
          <w:sz w:val="24"/>
        </w:rPr>
        <w:br w:type="page"/>
      </w:r>
    </w:p>
    <w:p w14:paraId="2C0DEB75" w14:textId="2F3DF120" w:rsidR="00857590" w:rsidRPr="00EA4A83" w:rsidRDefault="00EA4A83" w:rsidP="00220355">
      <w:pPr>
        <w:spacing w:line="360" w:lineRule="auto"/>
        <w:rPr>
          <w:rFonts w:ascii="Times New Roman" w:hAnsi="Times New Roman" w:cs="Arial"/>
          <w:b/>
          <w:bCs/>
          <w:sz w:val="24"/>
        </w:rPr>
      </w:pPr>
      <w:r w:rsidRPr="00914531">
        <w:rPr>
          <w:rFonts w:ascii="Times New Roman" w:hAnsi="Times New Roman" w:cs="Arial" w:hint="eastAsia"/>
          <w:b/>
          <w:bCs/>
          <w:sz w:val="24"/>
        </w:rPr>
        <w:lastRenderedPageBreak/>
        <w:t xml:space="preserve">Supplementary </w:t>
      </w:r>
      <w:r>
        <w:rPr>
          <w:rFonts w:ascii="Times New Roman" w:hAnsi="Times New Roman" w:cs="Arial" w:hint="eastAsia"/>
          <w:b/>
          <w:bCs/>
          <w:sz w:val="24"/>
        </w:rPr>
        <w:t>Figures</w:t>
      </w:r>
      <w:r w:rsidR="006D789F">
        <w:rPr>
          <w:rFonts w:ascii="Times New Roman" w:hAnsi="Times New Roman" w:cs="Arial"/>
          <w:b/>
          <w:bCs/>
          <w:sz w:val="24"/>
        </w:rPr>
        <w:t>’</w:t>
      </w:r>
      <w:r w:rsidRPr="00914531">
        <w:rPr>
          <w:rFonts w:ascii="Times New Roman" w:hAnsi="Times New Roman" w:cs="Arial" w:hint="eastAsia"/>
          <w:b/>
          <w:bCs/>
          <w:sz w:val="24"/>
        </w:rPr>
        <w:t xml:space="preserve"> Title and Legend</w:t>
      </w:r>
    </w:p>
    <w:p w14:paraId="74E9CE6C" w14:textId="77777777" w:rsidR="00EA4A83" w:rsidRDefault="00EA4A83" w:rsidP="00220355">
      <w:pPr>
        <w:widowControl/>
        <w:spacing w:line="360" w:lineRule="auto"/>
        <w:rPr>
          <w:rFonts w:ascii="Times New Roman" w:hAnsi="Times New Roman" w:cs="Arial"/>
          <w:sz w:val="24"/>
        </w:rPr>
      </w:pPr>
    </w:p>
    <w:p w14:paraId="62ACD71E" w14:textId="77777777" w:rsidR="00B564B8" w:rsidRDefault="00B8293A" w:rsidP="00220355">
      <w:pPr>
        <w:widowControl/>
        <w:spacing w:line="360" w:lineRule="auto"/>
        <w:rPr>
          <w:rFonts w:ascii="Times New Roman" w:hAnsi="Times New Roman" w:cs="Times New Roman"/>
          <w:b/>
          <w:bCs/>
          <w:szCs w:val="21"/>
        </w:rPr>
      </w:pPr>
      <w:r w:rsidRPr="00B32865">
        <w:rPr>
          <w:rFonts w:ascii="Times New Roman" w:hAnsi="Times New Roman" w:cs="Times New Roman"/>
          <w:b/>
          <w:bCs/>
          <w:szCs w:val="21"/>
        </w:rPr>
        <w:t>Supplementary Figure S1.</w:t>
      </w:r>
      <w:r w:rsidRPr="0070500F">
        <w:rPr>
          <w:b/>
          <w:bCs/>
        </w:rPr>
        <w:t xml:space="preserve"> </w:t>
      </w:r>
      <w:r w:rsidRPr="0070500F">
        <w:rPr>
          <w:rFonts w:ascii="Times New Roman" w:hAnsi="Times New Roman" w:cs="Times New Roman"/>
          <w:b/>
          <w:bCs/>
          <w:szCs w:val="21"/>
        </w:rPr>
        <w:t xml:space="preserve">Distribution of filtered HLA-I positive binding peptides by length and allele type. </w:t>
      </w:r>
    </w:p>
    <w:p w14:paraId="2EC6F878" w14:textId="2AB451A4" w:rsidR="00B8293A" w:rsidRDefault="00B8293A" w:rsidP="00220355">
      <w:pPr>
        <w:widowControl/>
        <w:spacing w:line="360" w:lineRule="auto"/>
        <w:rPr>
          <w:rFonts w:ascii="Times New Roman" w:hAnsi="Times New Roman" w:cs="Times New Roman"/>
        </w:rPr>
      </w:pPr>
      <w:r w:rsidRPr="0070500F">
        <w:rPr>
          <w:rFonts w:ascii="Times New Roman" w:hAnsi="Times New Roman" w:cs="Times New Roman"/>
          <w:b/>
          <w:bCs/>
          <w:szCs w:val="21"/>
        </w:rPr>
        <w:t>A.</w:t>
      </w:r>
      <w:r w:rsidRPr="0070500F">
        <w:rPr>
          <w:rFonts w:ascii="Times New Roman" w:hAnsi="Times New Roman" w:cs="Times New Roman"/>
          <w:szCs w:val="21"/>
        </w:rPr>
        <w:t xml:space="preserve"> The overall count distribution of positive peptides ranging from 5 to 20 amino acids (AA) in length within the curated testing dataset. </w:t>
      </w:r>
      <w:r w:rsidRPr="0070500F">
        <w:rPr>
          <w:rFonts w:ascii="Times New Roman" w:hAnsi="Times New Roman" w:cs="Times New Roman"/>
          <w:b/>
          <w:bCs/>
          <w:szCs w:val="21"/>
        </w:rPr>
        <w:t>B-F.</w:t>
      </w:r>
      <w:r w:rsidRPr="0070500F">
        <w:rPr>
          <w:rFonts w:ascii="Times New Roman" w:hAnsi="Times New Roman" w:cs="Times New Roman"/>
          <w:szCs w:val="21"/>
        </w:rPr>
        <w:t xml:space="preserve"> The count distribution of positive peptides across the 44 selected HLA-I alleles for specific peptide lengths: 8-mer (B), 9-mer (C), 10-mer (D), 11-mer (E), and 12-mer (F). A dashed red horizontal line indicates a minimum sample size threshold of 20 peptides. For each length stratum, HLA alleles failing to meet this threshold (&lt; 20 positive peptides) are explicitly highlighted with red text on the x-axis and colored in grey, whereas alleles meeting the threshold are colored in blue.</w:t>
      </w:r>
    </w:p>
    <w:p w14:paraId="76AEC922" w14:textId="77777777" w:rsidR="00B8293A" w:rsidRDefault="00B8293A" w:rsidP="00220355">
      <w:pPr>
        <w:widowControl/>
        <w:spacing w:line="360" w:lineRule="auto"/>
        <w:rPr>
          <w:rFonts w:ascii="Times New Roman" w:hAnsi="Times New Roman" w:cs="Arial"/>
          <w:sz w:val="24"/>
        </w:rPr>
      </w:pPr>
    </w:p>
    <w:p w14:paraId="0587D6B3" w14:textId="77777777" w:rsidR="00B564B8" w:rsidRDefault="00561026" w:rsidP="00220355">
      <w:pPr>
        <w:widowControl/>
        <w:spacing w:line="360" w:lineRule="auto"/>
        <w:rPr>
          <w:rFonts w:ascii="Times New Roman" w:hAnsi="Times New Roman" w:cs="Times New Roman"/>
          <w:b/>
          <w:bCs/>
          <w:szCs w:val="21"/>
        </w:rPr>
      </w:pPr>
      <w:r w:rsidRPr="00587DAA">
        <w:rPr>
          <w:rFonts w:ascii="Times New Roman" w:hAnsi="Times New Roman" w:cs="Times New Roman"/>
          <w:b/>
          <w:bCs/>
          <w:szCs w:val="21"/>
        </w:rPr>
        <w:t xml:space="preserve">Supplementary Figure S2. Detailed AUROC and AUPRC performance evaluation of HLA-I peptide binding predictors. </w:t>
      </w:r>
    </w:p>
    <w:p w14:paraId="74FD9DB9" w14:textId="1BC5923C" w:rsidR="00561026" w:rsidRPr="00F9633F" w:rsidRDefault="00561026" w:rsidP="00220355">
      <w:pPr>
        <w:widowControl/>
        <w:spacing w:line="360" w:lineRule="auto"/>
        <w:rPr>
          <w:rFonts w:ascii="Times New Roman" w:hAnsi="Times New Roman" w:cs="Times New Roman"/>
        </w:rPr>
      </w:pPr>
      <w:r w:rsidRPr="00587DAA">
        <w:rPr>
          <w:rFonts w:ascii="Times New Roman" w:hAnsi="Times New Roman" w:cs="Times New Roman"/>
          <w:b/>
          <w:bCs/>
          <w:szCs w:val="21"/>
        </w:rPr>
        <w:t>A.</w:t>
      </w:r>
      <w:r w:rsidRPr="00587DAA">
        <w:rPr>
          <w:rFonts w:ascii="Times New Roman" w:hAnsi="Times New Roman" w:cs="Times New Roman"/>
          <w:szCs w:val="21"/>
        </w:rPr>
        <w:t xml:space="preserve"> Scatter plots illustrating the AUROC (top) and AUPRC (bottom) values for individual HLA-I alleles across all evaluated predictors. </w:t>
      </w:r>
      <w:r w:rsidRPr="00587DAA">
        <w:rPr>
          <w:rFonts w:ascii="Times New Roman" w:hAnsi="Times New Roman" w:cs="Times New Roman"/>
          <w:b/>
          <w:bCs/>
          <w:szCs w:val="21"/>
        </w:rPr>
        <w:t>B.</w:t>
      </w:r>
      <w:r w:rsidRPr="00587DAA">
        <w:rPr>
          <w:rFonts w:ascii="Times New Roman" w:hAnsi="Times New Roman" w:cs="Times New Roman"/>
          <w:szCs w:val="21"/>
        </w:rPr>
        <w:t xml:space="preserve"> Line plots displaying the trend of mean AUROC (top) and AUPRC (bottom) values evaluated across different peptide lengths. </w:t>
      </w:r>
      <w:r w:rsidRPr="00587DAA">
        <w:rPr>
          <w:rFonts w:ascii="Times New Roman" w:hAnsi="Times New Roman" w:cs="Times New Roman"/>
          <w:b/>
          <w:bCs/>
          <w:szCs w:val="21"/>
        </w:rPr>
        <w:t>C.</w:t>
      </w:r>
      <w:r w:rsidRPr="00587DAA">
        <w:rPr>
          <w:rFonts w:ascii="Times New Roman" w:hAnsi="Times New Roman" w:cs="Times New Roman"/>
          <w:szCs w:val="21"/>
        </w:rPr>
        <w:t xml:space="preserve"> Violin plots overlaid with box-and-whisker plots depicting the distribution of AUROC (left) and AUPRC (right) scores. The distributions are presented for all alleles combined (top) and stratified by specific HLA loci (HLA-A, HLA-B, and HLA-C, respectively). </w:t>
      </w:r>
      <w:r w:rsidRPr="00587DAA">
        <w:rPr>
          <w:rFonts w:ascii="Times New Roman" w:hAnsi="Times New Roman" w:cs="Times New Roman"/>
          <w:b/>
          <w:bCs/>
          <w:szCs w:val="21"/>
        </w:rPr>
        <w:t xml:space="preserve">D. </w:t>
      </w:r>
      <w:r w:rsidRPr="00587DAA">
        <w:rPr>
          <w:rFonts w:ascii="Times New Roman" w:hAnsi="Times New Roman" w:cs="Times New Roman"/>
          <w:szCs w:val="21"/>
        </w:rPr>
        <w:t>Bar plots comparing the mean AUROC (left) and AUPRC (right) with their 95% confidence intervals (95% CIs). The upper panels display metrics evaluated by HLA-I allele (n = 44), while the lower panels show metrics calculated for individual conditions considering both allele and peptide length (n = 176). Statistical significance for inter-method comparisons (the top-performing model versus others) was assessed using pairwise Wilcoxon tests with Bonferroni correction (*P &lt; 0.05, **P &lt; 0.01, ***P &lt; 0.001).</w:t>
      </w:r>
    </w:p>
    <w:p w14:paraId="210AD483" w14:textId="77777777" w:rsidR="00B8293A" w:rsidRDefault="00B8293A" w:rsidP="00220355">
      <w:pPr>
        <w:widowControl/>
        <w:spacing w:line="360" w:lineRule="auto"/>
        <w:rPr>
          <w:rFonts w:ascii="Times New Roman" w:hAnsi="Times New Roman" w:cs="Arial"/>
          <w:sz w:val="24"/>
        </w:rPr>
      </w:pPr>
    </w:p>
    <w:p w14:paraId="228EA8D2" w14:textId="77777777" w:rsidR="00B564B8" w:rsidRDefault="00220355" w:rsidP="00220355">
      <w:pPr>
        <w:widowControl/>
        <w:spacing w:line="360" w:lineRule="auto"/>
        <w:rPr>
          <w:rFonts w:ascii="Times New Roman" w:hAnsi="Times New Roman" w:cs="Times New Roman"/>
        </w:rPr>
      </w:pPr>
      <w:r w:rsidRPr="000F2E4A">
        <w:rPr>
          <w:rFonts w:ascii="Times New Roman" w:hAnsi="Times New Roman" w:cs="Times New Roman"/>
          <w:b/>
          <w:bCs/>
        </w:rPr>
        <w:lastRenderedPageBreak/>
        <w:t>Supplementary Figure S3. Optimization of decision thresholds based on the comprehensive performance score for individual predictors.</w:t>
      </w:r>
      <w:r w:rsidRPr="000F2E4A">
        <w:rPr>
          <w:rFonts w:ascii="Times New Roman" w:hAnsi="Times New Roman" w:cs="Times New Roman"/>
        </w:rPr>
        <w:t xml:space="preserve"> </w:t>
      </w:r>
    </w:p>
    <w:p w14:paraId="06331D91" w14:textId="47444EC5" w:rsidR="00220355" w:rsidRDefault="00220355" w:rsidP="00220355">
      <w:pPr>
        <w:widowControl/>
        <w:spacing w:line="360" w:lineRule="auto"/>
        <w:rPr>
          <w:rFonts w:ascii="Times New Roman" w:hAnsi="Times New Roman" w:cs="Times New Roman"/>
        </w:rPr>
      </w:pPr>
      <w:r w:rsidRPr="000F2E4A">
        <w:rPr>
          <w:rFonts w:ascii="Times New Roman" w:hAnsi="Times New Roman" w:cs="Times New Roman"/>
        </w:rPr>
        <w:t>Line plots illustrating the trajectory of the comprehensive score across tool-specific candidate thresholds for the evaluated HLA-I peptide binding predictors. For each predictor, a solid black line traces the comprehensive score across the full range of candidate thresholds. A red dot highlights the peak comprehensive score, with a corresponding vertical dotted red line pinpointing the exact optimal threshold value. Additionally, a horizontal dashed red line designates the 90% stability zone (defined as 90% of the maximum comprehensive score), highlighting the threshold range within which each model maintains robust predictive performance.</w:t>
      </w:r>
    </w:p>
    <w:p w14:paraId="7B446F75" w14:textId="77777777" w:rsidR="00220355" w:rsidRDefault="00220355" w:rsidP="00220355">
      <w:pPr>
        <w:widowControl/>
        <w:spacing w:line="360" w:lineRule="auto"/>
        <w:rPr>
          <w:rFonts w:ascii="Times New Roman" w:hAnsi="Times New Roman" w:cs="Arial"/>
          <w:sz w:val="24"/>
        </w:rPr>
      </w:pPr>
    </w:p>
    <w:p w14:paraId="563145E6" w14:textId="77777777" w:rsidR="00B564B8" w:rsidRDefault="00603313" w:rsidP="00603313">
      <w:pPr>
        <w:widowControl/>
        <w:spacing w:line="360" w:lineRule="auto"/>
        <w:rPr>
          <w:rFonts w:ascii="Times New Roman" w:hAnsi="Times New Roman" w:cs="Times New Roman"/>
        </w:rPr>
      </w:pPr>
      <w:r w:rsidRPr="00605FBC">
        <w:rPr>
          <w:rFonts w:ascii="Times New Roman" w:hAnsi="Times New Roman" w:cs="Times New Roman"/>
          <w:b/>
          <w:bCs/>
        </w:rPr>
        <w:t>Supplementary Figure S4. Model performance degradation across varying data imbalance scenarios.</w:t>
      </w:r>
      <w:r w:rsidRPr="00605FBC">
        <w:rPr>
          <w:rFonts w:ascii="Times New Roman" w:hAnsi="Times New Roman" w:cs="Times New Roman"/>
        </w:rPr>
        <w:t xml:space="preserve"> </w:t>
      </w:r>
    </w:p>
    <w:p w14:paraId="4874BB79" w14:textId="55EF3E2E" w:rsidR="00603313" w:rsidRPr="000C438D" w:rsidRDefault="00603313" w:rsidP="00603313">
      <w:pPr>
        <w:widowControl/>
        <w:spacing w:line="360" w:lineRule="auto"/>
        <w:rPr>
          <w:rFonts w:ascii="Times New Roman" w:hAnsi="Times New Roman" w:cs="Times New Roman"/>
        </w:rPr>
      </w:pPr>
      <w:r w:rsidRPr="00605FBC">
        <w:rPr>
          <w:rFonts w:ascii="Times New Roman" w:hAnsi="Times New Roman" w:cs="Times New Roman"/>
        </w:rPr>
        <w:t>Cleveland dot plots illustrating the variation in seven key performance metrics (accuracy, sensitivity, specificity, precision, F1-score, MCC, and the comprehensive score) across four different positive-to-negative dataset ratios (1:1, 1:4, 1:9, and 1:99). Each colored dot represents the metric value for a specific predictor under a given dataset ratio. Vertical grey lines connect the points for each individual tool, visually highlighting the range of metric variation and performance stability across different levels of data imbalance. The prediction models on the x-axis are ranked in descending order based on their comprehensive score achieved in the 1:9 ratio scenario. Abbreviation: MCC, Matthews correlation coefficient.</w:t>
      </w:r>
    </w:p>
    <w:p w14:paraId="3AED9B89" w14:textId="77777777" w:rsidR="00603313" w:rsidRDefault="00603313" w:rsidP="00220355">
      <w:pPr>
        <w:widowControl/>
        <w:spacing w:line="360" w:lineRule="auto"/>
        <w:rPr>
          <w:rFonts w:ascii="Times New Roman" w:hAnsi="Times New Roman" w:cs="Arial"/>
          <w:sz w:val="24"/>
        </w:rPr>
      </w:pPr>
    </w:p>
    <w:p w14:paraId="7C182BD0" w14:textId="77777777" w:rsidR="0074596D" w:rsidRPr="000C438D" w:rsidRDefault="0074596D" w:rsidP="0074596D">
      <w:pPr>
        <w:spacing w:line="360" w:lineRule="auto"/>
        <w:rPr>
          <w:rFonts w:ascii="Times New Roman" w:hAnsi="Times New Roman" w:cs="Times New Roman"/>
          <w:b/>
          <w:bCs/>
        </w:rPr>
      </w:pPr>
      <w:r w:rsidRPr="000C438D">
        <w:rPr>
          <w:rFonts w:ascii="Times New Roman" w:hAnsi="Times New Roman" w:cs="Times New Roman"/>
          <w:b/>
          <w:bCs/>
        </w:rPr>
        <w:t>Supplementary Figure S</w:t>
      </w:r>
      <w:r w:rsidRPr="000C438D">
        <w:rPr>
          <w:rFonts w:ascii="Times New Roman" w:hAnsi="Times New Roman" w:cs="Times New Roman" w:hint="eastAsia"/>
          <w:b/>
          <w:bCs/>
        </w:rPr>
        <w:t>5</w:t>
      </w:r>
      <w:r w:rsidRPr="000C438D">
        <w:rPr>
          <w:rFonts w:ascii="Times New Roman" w:hAnsi="Times New Roman" w:cs="Times New Roman"/>
          <w:b/>
          <w:bCs/>
        </w:rPr>
        <w:t>. Position and residue specificity of 11 HLA-I alleles.</w:t>
      </w:r>
    </w:p>
    <w:p w14:paraId="4655C2AC" w14:textId="77777777" w:rsidR="0074596D" w:rsidRPr="000C438D" w:rsidRDefault="0074596D" w:rsidP="0074596D">
      <w:pPr>
        <w:spacing w:line="360" w:lineRule="auto"/>
        <w:rPr>
          <w:rFonts w:ascii="Times New Roman" w:hAnsi="Times New Roman" w:cs="Times New Roman"/>
        </w:rPr>
      </w:pPr>
      <w:r w:rsidRPr="000C438D">
        <w:rPr>
          <w:rFonts w:ascii="Times New Roman" w:hAnsi="Times New Roman" w:cs="Times New Roman"/>
        </w:rPr>
        <w:t xml:space="preserve">Position and residue specificity for 8-, 9-, 10-, and 11-mer peptides of the following HLA-I alleles: </w:t>
      </w:r>
      <w:r w:rsidRPr="000C438D">
        <w:rPr>
          <w:rFonts w:ascii="Times New Roman" w:hAnsi="Times New Roman" w:cs="Times New Roman"/>
          <w:b/>
          <w:bCs/>
        </w:rPr>
        <w:t xml:space="preserve">A. </w:t>
      </w:r>
      <w:r w:rsidRPr="000C438D">
        <w:rPr>
          <w:rFonts w:ascii="Times New Roman" w:hAnsi="Times New Roman" w:cs="Times New Roman"/>
        </w:rPr>
        <w:t>HLA-B</w:t>
      </w:r>
      <w:r w:rsidRPr="000C438D">
        <w:rPr>
          <w:rFonts w:ascii="Times New Roman" w:hAnsi="Times New Roman" w:cs="Times New Roman" w:hint="eastAsia"/>
        </w:rPr>
        <w:t>*</w:t>
      </w:r>
      <w:r w:rsidRPr="000C438D">
        <w:rPr>
          <w:rFonts w:ascii="Times New Roman" w:hAnsi="Times New Roman" w:cs="Times New Roman"/>
        </w:rPr>
        <w:t>07:02,</w:t>
      </w:r>
      <w:r w:rsidRPr="000C438D">
        <w:rPr>
          <w:rFonts w:ascii="Times New Roman" w:hAnsi="Times New Roman" w:cs="Times New Roman"/>
          <w:b/>
          <w:bCs/>
        </w:rPr>
        <w:t xml:space="preserve">B. </w:t>
      </w:r>
      <w:r w:rsidRPr="000C438D">
        <w:rPr>
          <w:rFonts w:ascii="Times New Roman" w:hAnsi="Times New Roman" w:cs="Times New Roman"/>
        </w:rPr>
        <w:t>HLA-C</w:t>
      </w:r>
      <w:r w:rsidRPr="000C438D">
        <w:rPr>
          <w:rFonts w:ascii="Times New Roman" w:hAnsi="Times New Roman" w:cs="Times New Roman" w:hint="eastAsia"/>
        </w:rPr>
        <w:t>*</w:t>
      </w:r>
      <w:r w:rsidRPr="000C438D">
        <w:rPr>
          <w:rFonts w:ascii="Times New Roman" w:hAnsi="Times New Roman" w:cs="Times New Roman"/>
        </w:rPr>
        <w:t>08:02,</w:t>
      </w:r>
      <w:r w:rsidRPr="000C438D">
        <w:rPr>
          <w:rFonts w:ascii="Times New Roman" w:hAnsi="Times New Roman" w:cs="Times New Roman"/>
          <w:b/>
          <w:bCs/>
        </w:rPr>
        <w:t>C.</w:t>
      </w:r>
      <w:r w:rsidRPr="000C438D">
        <w:rPr>
          <w:rFonts w:ascii="Times New Roman" w:hAnsi="Times New Roman" w:cs="Times New Roman"/>
        </w:rPr>
        <w:t xml:space="preserve"> HLA-A</w:t>
      </w:r>
      <w:r w:rsidRPr="000C438D">
        <w:rPr>
          <w:rFonts w:ascii="Times New Roman" w:hAnsi="Times New Roman" w:cs="Times New Roman" w:hint="eastAsia"/>
        </w:rPr>
        <w:t>*</w:t>
      </w:r>
      <w:r w:rsidRPr="000C438D">
        <w:rPr>
          <w:rFonts w:ascii="Times New Roman" w:hAnsi="Times New Roman" w:cs="Times New Roman"/>
        </w:rPr>
        <w:t>33:01,</w:t>
      </w:r>
      <w:r w:rsidRPr="000C438D">
        <w:rPr>
          <w:rFonts w:ascii="Times New Roman" w:hAnsi="Times New Roman" w:cs="Times New Roman"/>
          <w:b/>
          <w:bCs/>
        </w:rPr>
        <w:t xml:space="preserve"> D.</w:t>
      </w:r>
      <w:r w:rsidRPr="000C438D">
        <w:rPr>
          <w:rFonts w:ascii="Times New Roman" w:hAnsi="Times New Roman" w:cs="Times New Roman"/>
        </w:rPr>
        <w:t xml:space="preserve"> HLA-A</w:t>
      </w:r>
      <w:r w:rsidRPr="000C438D">
        <w:rPr>
          <w:rFonts w:ascii="Times New Roman" w:hAnsi="Times New Roman" w:cs="Times New Roman" w:hint="eastAsia"/>
        </w:rPr>
        <w:t>*</w:t>
      </w:r>
      <w:r w:rsidRPr="000C438D">
        <w:rPr>
          <w:rFonts w:ascii="Times New Roman" w:hAnsi="Times New Roman" w:cs="Times New Roman"/>
        </w:rPr>
        <w:t xml:space="preserve">33:03, </w:t>
      </w:r>
      <w:r w:rsidRPr="000C438D">
        <w:rPr>
          <w:rFonts w:ascii="Times New Roman" w:hAnsi="Times New Roman" w:cs="Times New Roman"/>
          <w:b/>
          <w:bCs/>
        </w:rPr>
        <w:t xml:space="preserve">E. </w:t>
      </w:r>
      <w:r w:rsidRPr="000C438D">
        <w:rPr>
          <w:rFonts w:ascii="Times New Roman" w:hAnsi="Times New Roman" w:cs="Times New Roman"/>
        </w:rPr>
        <w:t>HLA-B</w:t>
      </w:r>
      <w:r w:rsidRPr="000C438D">
        <w:rPr>
          <w:rFonts w:ascii="Times New Roman" w:hAnsi="Times New Roman" w:cs="Times New Roman" w:hint="eastAsia"/>
        </w:rPr>
        <w:t>*</w:t>
      </w:r>
      <w:r w:rsidRPr="000C438D">
        <w:rPr>
          <w:rFonts w:ascii="Times New Roman" w:hAnsi="Times New Roman" w:cs="Times New Roman"/>
        </w:rPr>
        <w:t xml:space="preserve">35:01, </w:t>
      </w:r>
      <w:r w:rsidRPr="000C438D">
        <w:rPr>
          <w:rFonts w:ascii="Times New Roman" w:hAnsi="Times New Roman" w:cs="Times New Roman"/>
          <w:b/>
          <w:bCs/>
        </w:rPr>
        <w:t xml:space="preserve">F. </w:t>
      </w:r>
      <w:r w:rsidRPr="000C438D">
        <w:rPr>
          <w:rFonts w:ascii="Times New Roman" w:hAnsi="Times New Roman" w:cs="Times New Roman"/>
        </w:rPr>
        <w:t>HLA-B</w:t>
      </w:r>
      <w:r w:rsidRPr="000C438D">
        <w:rPr>
          <w:rFonts w:ascii="Times New Roman" w:hAnsi="Times New Roman" w:cs="Times New Roman" w:hint="eastAsia"/>
        </w:rPr>
        <w:t>*</w:t>
      </w:r>
      <w:r w:rsidRPr="000C438D">
        <w:rPr>
          <w:rFonts w:ascii="Times New Roman" w:hAnsi="Times New Roman" w:cs="Times New Roman"/>
        </w:rPr>
        <w:t xml:space="preserve">35:02, </w:t>
      </w:r>
      <w:r w:rsidRPr="000C438D">
        <w:rPr>
          <w:rFonts w:ascii="Times New Roman" w:hAnsi="Times New Roman" w:cs="Times New Roman"/>
          <w:b/>
          <w:bCs/>
        </w:rPr>
        <w:t>G.</w:t>
      </w:r>
      <w:r w:rsidRPr="000C438D">
        <w:rPr>
          <w:rFonts w:ascii="Times New Roman" w:hAnsi="Times New Roman" w:cs="Times New Roman"/>
        </w:rPr>
        <w:t xml:space="preserve"> HLA-B</w:t>
      </w:r>
      <w:r w:rsidRPr="000C438D">
        <w:rPr>
          <w:rFonts w:ascii="Times New Roman" w:hAnsi="Times New Roman" w:cs="Times New Roman" w:hint="eastAsia"/>
        </w:rPr>
        <w:t>*</w:t>
      </w:r>
      <w:r w:rsidRPr="000C438D">
        <w:rPr>
          <w:rFonts w:ascii="Times New Roman" w:hAnsi="Times New Roman" w:cs="Times New Roman"/>
        </w:rPr>
        <w:t xml:space="preserve">35:03, </w:t>
      </w:r>
      <w:r w:rsidRPr="000C438D">
        <w:rPr>
          <w:rFonts w:ascii="Times New Roman" w:hAnsi="Times New Roman" w:cs="Times New Roman"/>
          <w:b/>
          <w:bCs/>
        </w:rPr>
        <w:t>H.</w:t>
      </w:r>
      <w:r w:rsidRPr="000C438D">
        <w:rPr>
          <w:rFonts w:ascii="Times New Roman" w:hAnsi="Times New Roman" w:cs="Times New Roman"/>
        </w:rPr>
        <w:t xml:space="preserve"> HLA-B</w:t>
      </w:r>
      <w:r w:rsidRPr="000C438D">
        <w:rPr>
          <w:rFonts w:ascii="Times New Roman" w:hAnsi="Times New Roman" w:cs="Times New Roman" w:hint="eastAsia"/>
        </w:rPr>
        <w:t>*</w:t>
      </w:r>
      <w:r w:rsidRPr="000C438D">
        <w:rPr>
          <w:rFonts w:ascii="Times New Roman" w:hAnsi="Times New Roman" w:cs="Times New Roman"/>
        </w:rPr>
        <w:t xml:space="preserve">40:01, </w:t>
      </w:r>
      <w:r w:rsidRPr="000C438D">
        <w:rPr>
          <w:rFonts w:ascii="Times New Roman" w:hAnsi="Times New Roman" w:cs="Times New Roman"/>
          <w:b/>
          <w:bCs/>
        </w:rPr>
        <w:t xml:space="preserve">I. </w:t>
      </w:r>
      <w:r w:rsidRPr="000C438D">
        <w:rPr>
          <w:rFonts w:ascii="Times New Roman" w:hAnsi="Times New Roman" w:cs="Times New Roman"/>
        </w:rPr>
        <w:t>HLA-B</w:t>
      </w:r>
      <w:r w:rsidRPr="000C438D">
        <w:rPr>
          <w:rFonts w:ascii="Times New Roman" w:hAnsi="Times New Roman" w:cs="Times New Roman" w:hint="eastAsia"/>
        </w:rPr>
        <w:t>*</w:t>
      </w:r>
      <w:r w:rsidRPr="000C438D">
        <w:rPr>
          <w:rFonts w:ascii="Times New Roman" w:hAnsi="Times New Roman" w:cs="Times New Roman"/>
        </w:rPr>
        <w:t xml:space="preserve">40:02, </w:t>
      </w:r>
      <w:r w:rsidRPr="000C438D">
        <w:rPr>
          <w:rFonts w:ascii="Times New Roman" w:hAnsi="Times New Roman" w:cs="Times New Roman"/>
          <w:b/>
          <w:bCs/>
        </w:rPr>
        <w:t xml:space="preserve">J. </w:t>
      </w:r>
      <w:r w:rsidRPr="000C438D">
        <w:rPr>
          <w:rFonts w:ascii="Times New Roman" w:hAnsi="Times New Roman" w:cs="Times New Roman"/>
        </w:rPr>
        <w:t>HLA-B</w:t>
      </w:r>
      <w:r w:rsidRPr="000C438D">
        <w:rPr>
          <w:rFonts w:ascii="Times New Roman" w:hAnsi="Times New Roman" w:cs="Times New Roman" w:hint="eastAsia"/>
        </w:rPr>
        <w:t>*</w:t>
      </w:r>
      <w:r w:rsidRPr="000C438D">
        <w:rPr>
          <w:rFonts w:ascii="Times New Roman" w:hAnsi="Times New Roman" w:cs="Times New Roman"/>
        </w:rPr>
        <w:t xml:space="preserve">44:02, and </w:t>
      </w:r>
      <w:r w:rsidRPr="000C438D">
        <w:rPr>
          <w:rFonts w:ascii="Times New Roman" w:hAnsi="Times New Roman" w:cs="Times New Roman"/>
          <w:b/>
          <w:bCs/>
        </w:rPr>
        <w:t>K.</w:t>
      </w:r>
      <w:r w:rsidRPr="000C438D">
        <w:rPr>
          <w:rFonts w:ascii="Times New Roman" w:hAnsi="Times New Roman" w:cs="Times New Roman"/>
        </w:rPr>
        <w:t xml:space="preserve"> HLA-B*44:03.</w:t>
      </w:r>
    </w:p>
    <w:p w14:paraId="5683DDF3" w14:textId="77777777" w:rsidR="00603313" w:rsidRDefault="00603313" w:rsidP="00220355">
      <w:pPr>
        <w:widowControl/>
        <w:spacing w:line="360" w:lineRule="auto"/>
        <w:rPr>
          <w:rFonts w:ascii="Times New Roman" w:hAnsi="Times New Roman" w:cs="Arial"/>
          <w:sz w:val="24"/>
        </w:rPr>
      </w:pPr>
    </w:p>
    <w:p w14:paraId="00E75FB8" w14:textId="77777777" w:rsidR="00872965" w:rsidRPr="000C438D" w:rsidRDefault="00872965" w:rsidP="00872965">
      <w:pPr>
        <w:spacing w:line="360" w:lineRule="auto"/>
        <w:rPr>
          <w:rFonts w:ascii="Times New Roman" w:hAnsi="Times New Roman" w:cs="Times New Roman"/>
          <w:b/>
          <w:bCs/>
        </w:rPr>
      </w:pPr>
      <w:r w:rsidRPr="000C438D">
        <w:rPr>
          <w:rFonts w:ascii="Times New Roman" w:hAnsi="Times New Roman" w:cs="Times New Roman"/>
          <w:b/>
          <w:bCs/>
        </w:rPr>
        <w:t>Supplementary Figure S</w:t>
      </w:r>
      <w:r w:rsidRPr="000C438D">
        <w:rPr>
          <w:rFonts w:ascii="Times New Roman" w:hAnsi="Times New Roman" w:cs="Times New Roman" w:hint="eastAsia"/>
          <w:b/>
          <w:bCs/>
        </w:rPr>
        <w:t>6</w:t>
      </w:r>
      <w:r w:rsidRPr="000C438D">
        <w:rPr>
          <w:rFonts w:ascii="Times New Roman" w:hAnsi="Times New Roman" w:cs="Times New Roman"/>
          <w:b/>
          <w:bCs/>
        </w:rPr>
        <w:t>. Validity of test dataset for explainable AI.</w:t>
      </w:r>
    </w:p>
    <w:p w14:paraId="474FBF47" w14:textId="77777777" w:rsidR="00872965" w:rsidRPr="000C438D" w:rsidRDefault="00872965" w:rsidP="00872965">
      <w:pPr>
        <w:spacing w:line="360" w:lineRule="auto"/>
        <w:rPr>
          <w:rFonts w:ascii="Times New Roman" w:hAnsi="Times New Roman" w:cs="Times New Roman"/>
        </w:rPr>
      </w:pPr>
      <w:r w:rsidRPr="000C438D">
        <w:rPr>
          <w:rFonts w:ascii="Times New Roman" w:hAnsi="Times New Roman" w:cs="Times New Roman"/>
          <w:b/>
          <w:bCs/>
        </w:rPr>
        <w:t xml:space="preserve">A-C. </w:t>
      </w:r>
      <w:r w:rsidRPr="000C438D">
        <w:rPr>
          <w:rFonts w:ascii="Times New Roman" w:hAnsi="Times New Roman" w:cs="Times New Roman"/>
        </w:rPr>
        <w:t xml:space="preserve">Binding motifs for each selected HLA-I allele in the test dataset. </w:t>
      </w:r>
      <w:r w:rsidRPr="000C438D">
        <w:rPr>
          <w:rFonts w:ascii="Times New Roman" w:hAnsi="Times New Roman" w:cs="Times New Roman"/>
          <w:b/>
          <w:bCs/>
        </w:rPr>
        <w:t>D-F.</w:t>
      </w:r>
      <w:r w:rsidRPr="000C438D">
        <w:rPr>
          <w:rFonts w:ascii="Times New Roman" w:hAnsi="Times New Roman" w:cs="Times New Roman"/>
        </w:rPr>
        <w:t xml:space="preserve"> FN ratio of each predictor in the test dataset compared to the original dataset. A lower FN ratio indicates better prediction performance. FN, False negative.</w:t>
      </w:r>
    </w:p>
    <w:p w14:paraId="10B2B181" w14:textId="77777777" w:rsidR="0074596D" w:rsidRDefault="0074596D" w:rsidP="00220355">
      <w:pPr>
        <w:widowControl/>
        <w:spacing w:line="360" w:lineRule="auto"/>
        <w:rPr>
          <w:rFonts w:ascii="Times New Roman" w:hAnsi="Times New Roman" w:cs="Arial"/>
          <w:sz w:val="24"/>
        </w:rPr>
      </w:pPr>
    </w:p>
    <w:p w14:paraId="3C659EDF" w14:textId="77777777" w:rsidR="00D910FB" w:rsidRDefault="00D910FB" w:rsidP="00D910FB">
      <w:pPr>
        <w:widowControl/>
        <w:spacing w:line="360" w:lineRule="auto"/>
        <w:rPr>
          <w:rFonts w:ascii="Times New Roman" w:hAnsi="Times New Roman" w:cs="Times New Roman"/>
        </w:rPr>
      </w:pPr>
      <w:r w:rsidRPr="00FB1B33">
        <w:rPr>
          <w:rFonts w:ascii="Times New Roman" w:hAnsi="Times New Roman" w:cs="Times New Roman"/>
          <w:b/>
          <w:bCs/>
        </w:rPr>
        <w:t>Supplementary Figure S7. Correlation between positional information content and explainable AI attribution scores.</w:t>
      </w:r>
      <w:r w:rsidRPr="00FB1B33">
        <w:rPr>
          <w:rFonts w:ascii="Times New Roman" w:hAnsi="Times New Roman" w:cs="Times New Roman"/>
        </w:rPr>
        <w:t xml:space="preserve"> </w:t>
      </w:r>
    </w:p>
    <w:p w14:paraId="218CB0EC" w14:textId="77777777" w:rsidR="00D910FB" w:rsidRPr="000C438D" w:rsidRDefault="00D910FB" w:rsidP="00D910FB">
      <w:pPr>
        <w:widowControl/>
        <w:spacing w:line="360" w:lineRule="auto"/>
        <w:rPr>
          <w:rFonts w:ascii="Times New Roman" w:hAnsi="Times New Roman" w:cs="Times New Roman"/>
        </w:rPr>
      </w:pPr>
      <w:r w:rsidRPr="00FB1B33">
        <w:rPr>
          <w:rFonts w:ascii="Times New Roman" w:hAnsi="Times New Roman" w:cs="Times New Roman"/>
        </w:rPr>
        <w:t>Scatter plots illustrating the relationship between the Position Weight Matrix (PWM) information content (measured in bits) and the mean absolute attribution scores derived from SHAP (</w:t>
      </w:r>
      <w:r w:rsidRPr="00FB1B33">
        <w:rPr>
          <w:rFonts w:ascii="Times New Roman" w:hAnsi="Times New Roman" w:cs="Times New Roman"/>
          <w:b/>
          <w:bCs/>
        </w:rPr>
        <w:t>A</w:t>
      </w:r>
      <w:r w:rsidRPr="00FB1B33">
        <w:rPr>
          <w:rFonts w:ascii="Times New Roman" w:hAnsi="Times New Roman" w:cs="Times New Roman"/>
        </w:rPr>
        <w:t>) and LIME (</w:t>
      </w:r>
      <w:r w:rsidRPr="00FB1B33">
        <w:rPr>
          <w:rFonts w:ascii="Times New Roman" w:hAnsi="Times New Roman" w:cs="Times New Roman"/>
          <w:b/>
          <w:bCs/>
        </w:rPr>
        <w:t>B</w:t>
      </w:r>
      <w:r w:rsidRPr="00FB1B33">
        <w:rPr>
          <w:rFonts w:ascii="Times New Roman" w:hAnsi="Times New Roman" w:cs="Times New Roman"/>
        </w:rPr>
        <w:t xml:space="preserve">) across various HLA-I peptide binding predictors. The analysis is based on a curated testing dataset consisting of 100 selected 9-mer peptides for each of the three target alleles (HLA-A*02:01, HLA-B*15:02, and HLA-C*05:01). Each point represents a specific amino acid position within the peptide, dynamically colored by its corresponding HLA allele. A dashed black line in each facet represents the linear regression fit. Statistical dependence between the ground-truth motif information content and the XAI-derived feature importance was evaluated using Spearman's rank correlation, with the correlation coefficient (R) and significance level (p-value) annotated for each predictor. Abbreviations: PWM, position weight matrix; XAI, explainable artificial intelligence; SHAP, </w:t>
      </w:r>
      <w:proofErr w:type="spellStart"/>
      <w:r w:rsidRPr="00FB1B33">
        <w:rPr>
          <w:rFonts w:ascii="Times New Roman" w:hAnsi="Times New Roman" w:cs="Times New Roman"/>
        </w:rPr>
        <w:t>SHapley</w:t>
      </w:r>
      <w:proofErr w:type="spellEnd"/>
      <w:r w:rsidRPr="00FB1B33">
        <w:rPr>
          <w:rFonts w:ascii="Times New Roman" w:hAnsi="Times New Roman" w:cs="Times New Roman"/>
        </w:rPr>
        <w:t xml:space="preserve"> Additive </w:t>
      </w:r>
      <w:proofErr w:type="spellStart"/>
      <w:r w:rsidRPr="00FB1B33">
        <w:rPr>
          <w:rFonts w:ascii="Times New Roman" w:hAnsi="Times New Roman" w:cs="Times New Roman"/>
        </w:rPr>
        <w:t>exPlanations</w:t>
      </w:r>
      <w:proofErr w:type="spellEnd"/>
      <w:r w:rsidRPr="00FB1B33">
        <w:rPr>
          <w:rFonts w:ascii="Times New Roman" w:hAnsi="Times New Roman" w:cs="Times New Roman"/>
        </w:rPr>
        <w:t>; LIME, Local Interpretable Model-agnostic Explanations.</w:t>
      </w:r>
    </w:p>
    <w:p w14:paraId="6F0E7403" w14:textId="77777777" w:rsidR="00872965" w:rsidRDefault="00872965" w:rsidP="00220355">
      <w:pPr>
        <w:widowControl/>
        <w:spacing w:line="360" w:lineRule="auto"/>
        <w:rPr>
          <w:rFonts w:ascii="Times New Roman" w:hAnsi="Times New Roman" w:cs="Arial"/>
          <w:sz w:val="24"/>
        </w:rPr>
      </w:pPr>
    </w:p>
    <w:p w14:paraId="5FB65758" w14:textId="77777777" w:rsidR="001C0BEA" w:rsidRDefault="001C0BEA" w:rsidP="001C0BEA">
      <w:pPr>
        <w:widowControl/>
        <w:spacing w:line="360" w:lineRule="auto"/>
        <w:rPr>
          <w:rFonts w:ascii="Times New Roman" w:hAnsi="Times New Roman" w:cs="Times New Roman"/>
        </w:rPr>
      </w:pPr>
      <w:r w:rsidRPr="00952A33">
        <w:rPr>
          <w:rFonts w:ascii="Times New Roman" w:hAnsi="Times New Roman" w:cs="Times New Roman"/>
          <w:b/>
          <w:bCs/>
        </w:rPr>
        <w:t>Supplementary Figure S8. Global agreement and peptide-level discrepancies between SHAP and LIME explainability methods.</w:t>
      </w:r>
      <w:r w:rsidRPr="00952A33">
        <w:rPr>
          <w:rFonts w:ascii="Times New Roman" w:hAnsi="Times New Roman" w:cs="Times New Roman"/>
        </w:rPr>
        <w:t xml:space="preserve"> </w:t>
      </w:r>
    </w:p>
    <w:p w14:paraId="7141A195" w14:textId="77777777" w:rsidR="001C0BEA" w:rsidRPr="000C438D" w:rsidRDefault="001C0BEA" w:rsidP="001C0BEA">
      <w:pPr>
        <w:widowControl/>
        <w:spacing w:line="360" w:lineRule="auto"/>
        <w:rPr>
          <w:rFonts w:ascii="Times New Roman" w:hAnsi="Times New Roman" w:cs="Times New Roman"/>
        </w:rPr>
      </w:pPr>
      <w:r w:rsidRPr="00952A33">
        <w:rPr>
          <w:rFonts w:ascii="Times New Roman" w:hAnsi="Times New Roman" w:cs="Times New Roman"/>
          <w:b/>
          <w:bCs/>
        </w:rPr>
        <w:t>A.</w:t>
      </w:r>
      <w:r w:rsidRPr="00952A33">
        <w:rPr>
          <w:rFonts w:ascii="Times New Roman" w:hAnsi="Times New Roman" w:cs="Times New Roman"/>
        </w:rPr>
        <w:t xml:space="preserve"> Scatter plots illustrating the global correlation between SHAP and LIME positional attribution scores for 9-mer peptides across all evaluated HLA-I binding predictors. Each point represents the paired SHAP (x-axis) and LIME (y-axis) scores for a specific amino acid residue. A dashed red line in each facet represents the linear regression fit. The overall </w:t>
      </w:r>
      <w:r w:rsidRPr="00952A33">
        <w:rPr>
          <w:rFonts w:ascii="Times New Roman" w:hAnsi="Times New Roman" w:cs="Times New Roman"/>
        </w:rPr>
        <w:lastRenderedPageBreak/>
        <w:t xml:space="preserve">agreement for each predictor is quantified and annotated using Spearman's rank correlation coefficient. </w:t>
      </w:r>
      <w:r w:rsidRPr="00952A33">
        <w:rPr>
          <w:rFonts w:ascii="Times New Roman" w:hAnsi="Times New Roman" w:cs="Times New Roman"/>
          <w:b/>
          <w:bCs/>
        </w:rPr>
        <w:t>B.</w:t>
      </w:r>
      <w:r w:rsidRPr="00952A33">
        <w:rPr>
          <w:rFonts w:ascii="Times New Roman" w:hAnsi="Times New Roman" w:cs="Times New Roman"/>
        </w:rPr>
        <w:t xml:space="preserve"> Line plots highlighting eight specific peptide-level examples demonstrating the strongest disagreement (i.e., the lowest Spearman correlation) between SHAP and LIME attributions. The positional attribution scores are plotted across the 9 amino acid positions, with red and blue lines representing SHAP and LIME scores, respectively. These examples showcase instances of divergent positional importance interpretations (e.g., conflicting attributions at the P9 anchor position) between the two explainable AI methods. Abbreviations: XAI, explainable artificial intelligence; SHAP, </w:t>
      </w:r>
      <w:proofErr w:type="spellStart"/>
      <w:r w:rsidRPr="00952A33">
        <w:rPr>
          <w:rFonts w:ascii="Times New Roman" w:hAnsi="Times New Roman" w:cs="Times New Roman"/>
        </w:rPr>
        <w:t>SHapley</w:t>
      </w:r>
      <w:proofErr w:type="spellEnd"/>
      <w:r w:rsidRPr="00952A33">
        <w:rPr>
          <w:rFonts w:ascii="Times New Roman" w:hAnsi="Times New Roman" w:cs="Times New Roman"/>
        </w:rPr>
        <w:t xml:space="preserve"> Additive </w:t>
      </w:r>
      <w:proofErr w:type="spellStart"/>
      <w:r w:rsidRPr="00952A33">
        <w:rPr>
          <w:rFonts w:ascii="Times New Roman" w:hAnsi="Times New Roman" w:cs="Times New Roman"/>
        </w:rPr>
        <w:t>exPlanations</w:t>
      </w:r>
      <w:proofErr w:type="spellEnd"/>
      <w:r w:rsidRPr="00952A33">
        <w:rPr>
          <w:rFonts w:ascii="Times New Roman" w:hAnsi="Times New Roman" w:cs="Times New Roman"/>
        </w:rPr>
        <w:t>; LIME, Local Interpretable Model-agnostic Explanations.</w:t>
      </w:r>
    </w:p>
    <w:p w14:paraId="14B6C81A" w14:textId="77777777" w:rsidR="001C0BEA" w:rsidRDefault="001C0BEA" w:rsidP="00220355">
      <w:pPr>
        <w:widowControl/>
        <w:spacing w:line="360" w:lineRule="auto"/>
        <w:rPr>
          <w:rFonts w:ascii="Times New Roman" w:hAnsi="Times New Roman" w:cs="Arial"/>
          <w:sz w:val="24"/>
        </w:rPr>
      </w:pPr>
    </w:p>
    <w:p w14:paraId="4A0AB8BC" w14:textId="77777777" w:rsidR="003379D0" w:rsidRDefault="003379D0" w:rsidP="003379D0">
      <w:pPr>
        <w:widowControl/>
        <w:spacing w:line="360" w:lineRule="auto"/>
        <w:rPr>
          <w:rFonts w:ascii="Times New Roman" w:hAnsi="Times New Roman" w:cs="Times New Roman"/>
        </w:rPr>
      </w:pPr>
      <w:r w:rsidRPr="00B42C89">
        <w:rPr>
          <w:rFonts w:ascii="Times New Roman" w:hAnsi="Times New Roman" w:cs="Times New Roman"/>
          <w:b/>
          <w:bCs/>
        </w:rPr>
        <w:t>Supplementary Figure S9. Cross-validation of positional importance using physical structural stability and explainable AI attributions.</w:t>
      </w:r>
      <w:r w:rsidRPr="00B42C89">
        <w:rPr>
          <w:rFonts w:ascii="Times New Roman" w:hAnsi="Times New Roman" w:cs="Times New Roman"/>
        </w:rPr>
        <w:t xml:space="preserve"> </w:t>
      </w:r>
    </w:p>
    <w:p w14:paraId="185DDBE4" w14:textId="77777777" w:rsidR="003379D0" w:rsidRPr="000C438D" w:rsidRDefault="003379D0" w:rsidP="003379D0">
      <w:pPr>
        <w:widowControl/>
        <w:spacing w:line="360" w:lineRule="auto"/>
        <w:rPr>
          <w:rFonts w:ascii="Times New Roman" w:hAnsi="Times New Roman" w:cs="Times New Roman"/>
        </w:rPr>
      </w:pPr>
      <w:r w:rsidRPr="00B42C89">
        <w:rPr>
          <w:rFonts w:ascii="Times New Roman" w:hAnsi="Times New Roman" w:cs="Times New Roman"/>
          <w:b/>
          <w:bCs/>
        </w:rPr>
        <w:t>A.</w:t>
      </w:r>
      <w:r w:rsidRPr="00B42C89">
        <w:rPr>
          <w:rFonts w:ascii="Times New Roman" w:hAnsi="Times New Roman" w:cs="Times New Roman"/>
        </w:rPr>
        <w:t xml:space="preserve"> The structural stability contribution of each amino acid position (P1 to P9) for three representative peptide-HLA-I complexes (HLA-A*02:01 with NAAERRGPL, HLA-B*15:02 with HVEKLARTL, and HLA-C*05:01 with SLIARLERL). Peptide-MHC structures were modeled using APE-Gen2.0, and the binding free energy changes (</w:t>
      </w:r>
      <w:proofErr w:type="spellStart"/>
      <w:r w:rsidRPr="00B42C89">
        <w:rPr>
          <w:rFonts w:ascii="Times New Roman" w:hAnsi="Times New Roman" w:cs="Times New Roman"/>
        </w:rPr>
        <w:t>InterDDG</w:t>
      </w:r>
      <w:proofErr w:type="spellEnd"/>
      <w:r w:rsidRPr="00B42C89">
        <w:rPr>
          <w:rFonts w:ascii="Times New Roman" w:hAnsi="Times New Roman" w:cs="Times New Roman"/>
        </w:rPr>
        <w:t xml:space="preserve">, or ΔΔG) were calculated via computational alanine scanning using </w:t>
      </w:r>
      <w:proofErr w:type="spellStart"/>
      <w:r w:rsidRPr="00B42C89">
        <w:rPr>
          <w:rFonts w:ascii="Times New Roman" w:hAnsi="Times New Roman" w:cs="Times New Roman"/>
        </w:rPr>
        <w:t>BAlaS</w:t>
      </w:r>
      <w:proofErr w:type="spellEnd"/>
      <w:r w:rsidRPr="00B42C89">
        <w:rPr>
          <w:rFonts w:ascii="Times New Roman" w:hAnsi="Times New Roman" w:cs="Times New Roman"/>
        </w:rPr>
        <w:t xml:space="preserve">. Green bars indicate the mean ΔΔG across all simulated structural conformations, with error bars representing the standard deviation (SD). </w:t>
      </w:r>
      <w:r w:rsidRPr="00B42C89">
        <w:rPr>
          <w:rFonts w:ascii="Times New Roman" w:hAnsi="Times New Roman" w:cs="Times New Roman"/>
          <w:b/>
          <w:bCs/>
        </w:rPr>
        <w:t>B.</w:t>
      </w:r>
      <w:r w:rsidRPr="00B42C89">
        <w:rPr>
          <w:rFonts w:ascii="Times New Roman" w:hAnsi="Times New Roman" w:cs="Times New Roman"/>
        </w:rPr>
        <w:t xml:space="preserve"> The corresponding explainable AI (XAI) positional attribution scores for the same three representative peptides. Orange and blue bars represent the mean SHAP and LIME scores, respectively, calculated across all evaluated prediction tools. Error bars denote the SD of the attribution scores among the different predictors, reflecting the cross-tool consensus on positional importance. Abbreviations: XAI, explainable artificial intelligence; SHAP, </w:t>
      </w:r>
      <w:proofErr w:type="spellStart"/>
      <w:r w:rsidRPr="00B42C89">
        <w:rPr>
          <w:rFonts w:ascii="Times New Roman" w:hAnsi="Times New Roman" w:cs="Times New Roman"/>
        </w:rPr>
        <w:t>SHapley</w:t>
      </w:r>
      <w:proofErr w:type="spellEnd"/>
      <w:r w:rsidRPr="00B42C89">
        <w:rPr>
          <w:rFonts w:ascii="Times New Roman" w:hAnsi="Times New Roman" w:cs="Times New Roman"/>
        </w:rPr>
        <w:t xml:space="preserve"> Additive </w:t>
      </w:r>
      <w:proofErr w:type="spellStart"/>
      <w:r w:rsidRPr="00B42C89">
        <w:rPr>
          <w:rFonts w:ascii="Times New Roman" w:hAnsi="Times New Roman" w:cs="Times New Roman"/>
        </w:rPr>
        <w:t>exPlanations</w:t>
      </w:r>
      <w:proofErr w:type="spellEnd"/>
      <w:r w:rsidRPr="00B42C89">
        <w:rPr>
          <w:rFonts w:ascii="Times New Roman" w:hAnsi="Times New Roman" w:cs="Times New Roman"/>
        </w:rPr>
        <w:t>; LIME, Local Interpretable Model-agnostic Explanations; ΔΔG, change in Gibbs free energy; SD, standard deviation.</w:t>
      </w:r>
    </w:p>
    <w:p w14:paraId="22985BE9" w14:textId="77777777" w:rsidR="003379D0" w:rsidRDefault="003379D0" w:rsidP="00220355">
      <w:pPr>
        <w:widowControl/>
        <w:spacing w:line="360" w:lineRule="auto"/>
        <w:rPr>
          <w:rFonts w:ascii="Times New Roman" w:hAnsi="Times New Roman" w:cs="Arial"/>
          <w:sz w:val="24"/>
        </w:rPr>
      </w:pPr>
    </w:p>
    <w:p w14:paraId="137874E0" w14:textId="77777777" w:rsidR="003379D0" w:rsidRPr="000C438D" w:rsidRDefault="003379D0" w:rsidP="003379D0">
      <w:pPr>
        <w:spacing w:line="360" w:lineRule="auto"/>
        <w:rPr>
          <w:rFonts w:ascii="Times New Roman" w:hAnsi="Times New Roman" w:cs="Times New Roman"/>
          <w:b/>
          <w:bCs/>
        </w:rPr>
      </w:pPr>
      <w:r w:rsidRPr="000C438D">
        <w:rPr>
          <w:rFonts w:ascii="Times New Roman" w:hAnsi="Times New Roman" w:cs="Times New Roman"/>
          <w:b/>
          <w:bCs/>
        </w:rPr>
        <w:t>Supplementary Figure S</w:t>
      </w:r>
      <w:r w:rsidRPr="000C438D">
        <w:rPr>
          <w:rFonts w:ascii="Times New Roman" w:hAnsi="Times New Roman" w:cs="Times New Roman" w:hint="eastAsia"/>
          <w:b/>
          <w:bCs/>
        </w:rPr>
        <w:t>10</w:t>
      </w:r>
      <w:r w:rsidRPr="000C438D">
        <w:rPr>
          <w:rFonts w:ascii="Times New Roman" w:hAnsi="Times New Roman" w:cs="Times New Roman"/>
          <w:b/>
          <w:bCs/>
        </w:rPr>
        <w:t>. LIME values of HLA-I peptide binding predictors.</w:t>
      </w:r>
    </w:p>
    <w:p w14:paraId="0F2874EB" w14:textId="77777777" w:rsidR="003379D0" w:rsidRPr="000C438D" w:rsidRDefault="003379D0" w:rsidP="003379D0">
      <w:pPr>
        <w:spacing w:line="360" w:lineRule="auto"/>
        <w:rPr>
          <w:rFonts w:ascii="Times New Roman" w:hAnsi="Times New Roman" w:cs="Times New Roman"/>
        </w:rPr>
      </w:pPr>
      <w:r w:rsidRPr="000C438D">
        <w:rPr>
          <w:rFonts w:ascii="Times New Roman" w:hAnsi="Times New Roman" w:cs="Times New Roman"/>
          <w:b/>
          <w:bCs/>
        </w:rPr>
        <w:t>A-C.</w:t>
      </w:r>
      <w:r w:rsidRPr="000C438D">
        <w:rPr>
          <w:rFonts w:ascii="Times New Roman" w:hAnsi="Times New Roman" w:cs="Times New Roman"/>
        </w:rPr>
        <w:t xml:space="preserve"> Median LIME values generated by eight predictors across 100 peptides for each allele. </w:t>
      </w:r>
      <w:r w:rsidRPr="000C438D">
        <w:rPr>
          <w:rFonts w:ascii="Times New Roman" w:hAnsi="Times New Roman" w:cs="Times New Roman"/>
          <w:b/>
          <w:bCs/>
        </w:rPr>
        <w:lastRenderedPageBreak/>
        <w:t xml:space="preserve">D-F. </w:t>
      </w:r>
      <w:r w:rsidRPr="000C438D">
        <w:rPr>
          <w:rFonts w:ascii="Times New Roman" w:hAnsi="Times New Roman" w:cs="Times New Roman"/>
        </w:rPr>
        <w:t>LIME values for each residue of the ligand peptide and corresponding binary binding results across predictors.</w:t>
      </w:r>
      <w:r w:rsidRPr="00CB0242">
        <w:rPr>
          <w:rFonts w:ascii="Times New Roman" w:hAnsi="Times New Roman" w:cs="Times New Roman"/>
        </w:rPr>
        <w:t xml:space="preserve"> </w:t>
      </w:r>
      <w:r w:rsidRPr="00952A33">
        <w:rPr>
          <w:rFonts w:ascii="Times New Roman" w:hAnsi="Times New Roman" w:cs="Times New Roman"/>
        </w:rPr>
        <w:t>Abbreviations: LIME, Local Interpretable Model-agnostic Explanations.</w:t>
      </w:r>
    </w:p>
    <w:p w14:paraId="313D84E7" w14:textId="77777777" w:rsidR="003379D0" w:rsidRDefault="003379D0" w:rsidP="00220355">
      <w:pPr>
        <w:widowControl/>
        <w:spacing w:line="360" w:lineRule="auto"/>
        <w:rPr>
          <w:rFonts w:ascii="Times New Roman" w:hAnsi="Times New Roman" w:cs="Arial"/>
          <w:sz w:val="24"/>
        </w:rPr>
      </w:pPr>
    </w:p>
    <w:p w14:paraId="4F348FA9" w14:textId="77777777" w:rsidR="003379D0" w:rsidRDefault="003379D0" w:rsidP="003379D0">
      <w:pPr>
        <w:widowControl/>
        <w:spacing w:line="360" w:lineRule="auto"/>
        <w:rPr>
          <w:rFonts w:ascii="Times New Roman" w:hAnsi="Times New Roman" w:cs="Times New Roman"/>
        </w:rPr>
      </w:pPr>
      <w:r w:rsidRPr="00045DDC">
        <w:rPr>
          <w:rFonts w:ascii="Times New Roman" w:hAnsi="Times New Roman" w:cs="Times New Roman"/>
          <w:b/>
          <w:bCs/>
        </w:rPr>
        <w:t>Supplementary Figure S11. Correlation between biophysical structural stability and explainable AI attribution scores.</w:t>
      </w:r>
      <w:r w:rsidRPr="00045DDC">
        <w:rPr>
          <w:rFonts w:ascii="Times New Roman" w:hAnsi="Times New Roman" w:cs="Times New Roman"/>
        </w:rPr>
        <w:t xml:space="preserve"> </w:t>
      </w:r>
    </w:p>
    <w:p w14:paraId="2E78343E" w14:textId="77777777" w:rsidR="003379D0" w:rsidRPr="00045DDC" w:rsidRDefault="003379D0" w:rsidP="003379D0">
      <w:pPr>
        <w:widowControl/>
        <w:spacing w:line="360" w:lineRule="auto"/>
        <w:rPr>
          <w:rFonts w:ascii="Times New Roman" w:hAnsi="Times New Roman" w:cs="Times New Roman"/>
        </w:rPr>
      </w:pPr>
      <w:r w:rsidRPr="00045DDC">
        <w:rPr>
          <w:rFonts w:ascii="Times New Roman" w:hAnsi="Times New Roman" w:cs="Times New Roman"/>
        </w:rPr>
        <w:t xml:space="preserve">Scatter plots demonstrating the relationship between the computed mean binding free energy change (ΔΔG) and attribution scores from </w:t>
      </w:r>
      <w:r w:rsidRPr="00045DDC">
        <w:rPr>
          <w:rFonts w:ascii="Times New Roman" w:hAnsi="Times New Roman" w:cs="Times New Roman"/>
          <w:b/>
          <w:bCs/>
        </w:rPr>
        <w:t>(A)</w:t>
      </w:r>
      <w:r w:rsidRPr="00045DDC">
        <w:rPr>
          <w:rFonts w:ascii="Times New Roman" w:hAnsi="Times New Roman" w:cs="Times New Roman"/>
        </w:rPr>
        <w:t xml:space="preserve"> SHAP and </w:t>
      </w:r>
      <w:r w:rsidRPr="00045DDC">
        <w:rPr>
          <w:rFonts w:ascii="Times New Roman" w:hAnsi="Times New Roman" w:cs="Times New Roman"/>
          <w:b/>
          <w:bCs/>
        </w:rPr>
        <w:t>(B)</w:t>
      </w:r>
      <w:r w:rsidRPr="00045DDC">
        <w:rPr>
          <w:rFonts w:ascii="Times New Roman" w:hAnsi="Times New Roman" w:cs="Times New Roman"/>
        </w:rPr>
        <w:t xml:space="preserve"> LIME across various HLA-I peptide binding predictors. Each point represents an individual amino acid residue from the three representative peptide-HLA complexes, color-coded by the specific peptide sequence. A dashed black line in each facet represents the linear regression fit. The statistical dependence between the biophysical ΔΔG (kJ/mol) and the XAI attribution scores was evaluated using Spearman's rank correlation, with the correlation coefficient (R) and significance level (p-value) annotated for each predictor. Abbreviations: XAI, explainable artificial intelligence; SHAP, </w:t>
      </w:r>
      <w:proofErr w:type="spellStart"/>
      <w:r w:rsidRPr="00045DDC">
        <w:rPr>
          <w:rFonts w:ascii="Times New Roman" w:hAnsi="Times New Roman" w:cs="Times New Roman"/>
        </w:rPr>
        <w:t>SHapley</w:t>
      </w:r>
      <w:proofErr w:type="spellEnd"/>
      <w:r w:rsidRPr="00045DDC">
        <w:rPr>
          <w:rFonts w:ascii="Times New Roman" w:hAnsi="Times New Roman" w:cs="Times New Roman"/>
        </w:rPr>
        <w:t xml:space="preserve"> Additive </w:t>
      </w:r>
      <w:proofErr w:type="spellStart"/>
      <w:r w:rsidRPr="00045DDC">
        <w:rPr>
          <w:rFonts w:ascii="Times New Roman" w:hAnsi="Times New Roman" w:cs="Times New Roman"/>
        </w:rPr>
        <w:t>exPlanations</w:t>
      </w:r>
      <w:proofErr w:type="spellEnd"/>
      <w:r w:rsidRPr="00045DDC">
        <w:rPr>
          <w:rFonts w:ascii="Times New Roman" w:hAnsi="Times New Roman" w:cs="Times New Roman"/>
        </w:rPr>
        <w:t>; LIME, Local Interpretable Model-agnostic Explanations; ΔΔG, change in Gibbs free energy.</w:t>
      </w:r>
    </w:p>
    <w:p w14:paraId="15453E68" w14:textId="77777777" w:rsidR="003379D0" w:rsidRDefault="003379D0" w:rsidP="00220355">
      <w:pPr>
        <w:widowControl/>
        <w:spacing w:line="360" w:lineRule="auto"/>
        <w:rPr>
          <w:rFonts w:ascii="Times New Roman" w:hAnsi="Times New Roman" w:cs="Arial"/>
          <w:sz w:val="24"/>
        </w:rPr>
      </w:pPr>
    </w:p>
    <w:p w14:paraId="03BBF4E9" w14:textId="77777777" w:rsidR="003379D0" w:rsidRDefault="003379D0" w:rsidP="003379D0">
      <w:pPr>
        <w:widowControl/>
        <w:spacing w:line="360" w:lineRule="auto"/>
        <w:rPr>
          <w:rFonts w:ascii="Times New Roman" w:hAnsi="Times New Roman" w:cs="Times New Roman"/>
        </w:rPr>
      </w:pPr>
      <w:r w:rsidRPr="00045DDC">
        <w:rPr>
          <w:rFonts w:ascii="Times New Roman" w:hAnsi="Times New Roman" w:cs="Times New Roman"/>
          <w:b/>
          <w:bCs/>
        </w:rPr>
        <w:t>Supplementary Figure S12. Distribution of explainable AI attribution scores stratified by biophysical energetic importance.</w:t>
      </w:r>
      <w:r w:rsidRPr="00045DDC">
        <w:rPr>
          <w:rFonts w:ascii="Times New Roman" w:hAnsi="Times New Roman" w:cs="Times New Roman"/>
        </w:rPr>
        <w:t xml:space="preserve"> </w:t>
      </w:r>
    </w:p>
    <w:p w14:paraId="5CAF4C16" w14:textId="77777777" w:rsidR="003379D0" w:rsidRPr="00045DDC" w:rsidRDefault="003379D0" w:rsidP="003379D0">
      <w:pPr>
        <w:widowControl/>
        <w:spacing w:line="360" w:lineRule="auto"/>
        <w:rPr>
          <w:rFonts w:ascii="Times New Roman" w:hAnsi="Times New Roman" w:cs="Times New Roman"/>
        </w:rPr>
      </w:pPr>
      <w:r w:rsidRPr="00045DDC">
        <w:rPr>
          <w:rFonts w:ascii="Times New Roman" w:hAnsi="Times New Roman" w:cs="Times New Roman"/>
        </w:rPr>
        <w:t xml:space="preserve">Boxplots comparing the distribution of </w:t>
      </w:r>
      <w:r w:rsidRPr="00045DDC">
        <w:rPr>
          <w:rFonts w:ascii="Times New Roman" w:hAnsi="Times New Roman" w:cs="Times New Roman"/>
          <w:b/>
          <w:bCs/>
        </w:rPr>
        <w:t>(A)</w:t>
      </w:r>
      <w:r w:rsidRPr="00045DDC">
        <w:rPr>
          <w:rFonts w:ascii="Times New Roman" w:hAnsi="Times New Roman" w:cs="Times New Roman"/>
        </w:rPr>
        <w:t xml:space="preserve"> SHAP and </w:t>
      </w:r>
      <w:r w:rsidRPr="00045DDC">
        <w:rPr>
          <w:rFonts w:ascii="Times New Roman" w:hAnsi="Times New Roman" w:cs="Times New Roman"/>
          <w:b/>
          <w:bCs/>
        </w:rPr>
        <w:t>(B)</w:t>
      </w:r>
      <w:r w:rsidRPr="00045DDC">
        <w:rPr>
          <w:rFonts w:ascii="Times New Roman" w:hAnsi="Times New Roman" w:cs="Times New Roman"/>
        </w:rPr>
        <w:t xml:space="preserve"> LIME attribution scores between biophysically critical and non-critical amino acid residues across different predictors. Residues were classified into two categories based on their computed mean ΔΔG: Critical (ΔΔG ≥ 4.184 kJ/mol, depicted in red) and Non-Critical (ΔΔG &lt; 4.184 kJ/mol, depicted in blue). Individual data points are overlaid as jitter to show the underlying distribution. Statistical significance between the two energetic importance groups was calculated using the two-sided Wilcoxon rank-sum test, with exact p-values displayed for each model. Abbreviations: XAI, explainable artificial intelligence; SHAP, </w:t>
      </w:r>
      <w:proofErr w:type="spellStart"/>
      <w:r w:rsidRPr="00045DDC">
        <w:rPr>
          <w:rFonts w:ascii="Times New Roman" w:hAnsi="Times New Roman" w:cs="Times New Roman"/>
        </w:rPr>
        <w:t>SHapley</w:t>
      </w:r>
      <w:proofErr w:type="spellEnd"/>
      <w:r w:rsidRPr="00045DDC">
        <w:rPr>
          <w:rFonts w:ascii="Times New Roman" w:hAnsi="Times New Roman" w:cs="Times New Roman"/>
        </w:rPr>
        <w:t xml:space="preserve"> Additive </w:t>
      </w:r>
      <w:proofErr w:type="spellStart"/>
      <w:r w:rsidRPr="00045DDC">
        <w:rPr>
          <w:rFonts w:ascii="Times New Roman" w:hAnsi="Times New Roman" w:cs="Times New Roman"/>
        </w:rPr>
        <w:lastRenderedPageBreak/>
        <w:t>exPlanations</w:t>
      </w:r>
      <w:proofErr w:type="spellEnd"/>
      <w:r w:rsidRPr="00045DDC">
        <w:rPr>
          <w:rFonts w:ascii="Times New Roman" w:hAnsi="Times New Roman" w:cs="Times New Roman"/>
        </w:rPr>
        <w:t>; LIME, Local Interpretable Model-agnostic Explanations; ΔΔG, change in Gibbs free energy.</w:t>
      </w:r>
    </w:p>
    <w:p w14:paraId="3D8F5758" w14:textId="77777777" w:rsidR="003379D0" w:rsidRPr="003379D0" w:rsidRDefault="003379D0" w:rsidP="00220355">
      <w:pPr>
        <w:widowControl/>
        <w:spacing w:line="360" w:lineRule="auto"/>
        <w:rPr>
          <w:rFonts w:ascii="Times New Roman" w:hAnsi="Times New Roman" w:cs="Arial"/>
          <w:sz w:val="24"/>
        </w:rPr>
      </w:pPr>
    </w:p>
    <w:p w14:paraId="04002143" w14:textId="1408AE28" w:rsidR="00857590" w:rsidRPr="000E7A98" w:rsidRDefault="00857590" w:rsidP="00220355">
      <w:pPr>
        <w:widowControl/>
        <w:spacing w:line="360" w:lineRule="auto"/>
        <w:rPr>
          <w:rFonts w:ascii="Times New Roman" w:hAnsi="Times New Roman" w:cs="Arial"/>
          <w:sz w:val="24"/>
        </w:rPr>
      </w:pPr>
      <w:r w:rsidRPr="000E7A98">
        <w:rPr>
          <w:rFonts w:ascii="Times New Roman" w:hAnsi="Times New Roman" w:cs="Arial"/>
          <w:sz w:val="24"/>
        </w:rPr>
        <w:br w:type="page"/>
      </w:r>
    </w:p>
    <w:p w14:paraId="561C4288" w14:textId="67F1B96D" w:rsidR="00914531" w:rsidRPr="00914531" w:rsidRDefault="00914531" w:rsidP="00220355">
      <w:pPr>
        <w:spacing w:line="360" w:lineRule="auto"/>
        <w:rPr>
          <w:rFonts w:ascii="Times New Roman" w:hAnsi="Times New Roman" w:cs="Arial"/>
          <w:b/>
          <w:bCs/>
          <w:sz w:val="24"/>
        </w:rPr>
      </w:pPr>
      <w:r w:rsidRPr="00914531">
        <w:rPr>
          <w:rFonts w:ascii="Times New Roman" w:hAnsi="Times New Roman" w:cs="Arial" w:hint="eastAsia"/>
          <w:b/>
          <w:bCs/>
          <w:sz w:val="24"/>
        </w:rPr>
        <w:lastRenderedPageBreak/>
        <w:t>Supplementary Table</w:t>
      </w:r>
      <w:r w:rsidR="00AA203A">
        <w:rPr>
          <w:rFonts w:ascii="Times New Roman" w:hAnsi="Times New Roman" w:cs="Arial" w:hint="eastAsia"/>
          <w:b/>
          <w:bCs/>
          <w:sz w:val="24"/>
        </w:rPr>
        <w:t>s</w:t>
      </w:r>
      <w:r w:rsidR="006D789F">
        <w:rPr>
          <w:rFonts w:ascii="Times New Roman" w:hAnsi="Times New Roman" w:cs="Arial"/>
          <w:b/>
          <w:bCs/>
          <w:sz w:val="24"/>
        </w:rPr>
        <w:t>’</w:t>
      </w:r>
      <w:r w:rsidRPr="00914531">
        <w:rPr>
          <w:rFonts w:ascii="Times New Roman" w:hAnsi="Times New Roman" w:cs="Arial" w:hint="eastAsia"/>
          <w:b/>
          <w:bCs/>
          <w:sz w:val="24"/>
        </w:rPr>
        <w:t xml:space="preserve"> Title and Legend</w:t>
      </w:r>
    </w:p>
    <w:p w14:paraId="2D370D6F" w14:textId="77777777" w:rsidR="000D2A34" w:rsidRDefault="000D2A34" w:rsidP="00220355">
      <w:pPr>
        <w:spacing w:line="360" w:lineRule="auto"/>
        <w:rPr>
          <w:rFonts w:ascii="Times New Roman" w:hAnsi="Times New Roman" w:cs="Arial"/>
          <w:b/>
          <w:bCs/>
          <w:sz w:val="24"/>
        </w:rPr>
      </w:pPr>
    </w:p>
    <w:p w14:paraId="53E391FF" w14:textId="5ADB66D7" w:rsidR="00FE7B1C" w:rsidRPr="00842BDE" w:rsidRDefault="00FE7B1C" w:rsidP="00220355">
      <w:pPr>
        <w:spacing w:line="360" w:lineRule="auto"/>
        <w:rPr>
          <w:rFonts w:ascii="Times New Roman" w:hAnsi="Times New Roman" w:cs="Arial"/>
          <w:b/>
          <w:bCs/>
          <w:sz w:val="24"/>
        </w:rPr>
      </w:pPr>
      <w:r w:rsidRPr="000D2A34">
        <w:rPr>
          <w:rFonts w:ascii="Times New Roman" w:hAnsi="Times New Roman" w:cs="Arial"/>
          <w:b/>
          <w:bCs/>
          <w:sz w:val="24"/>
        </w:rPr>
        <w:t>Supplementary Table S1. List of computational methods for HLA-I peptide binding prediction.</w:t>
      </w:r>
      <w:r w:rsidR="00842BDE">
        <w:rPr>
          <w:rFonts w:ascii="Times New Roman" w:hAnsi="Times New Roman" w:cs="Arial" w:hint="eastAsia"/>
          <w:b/>
          <w:bCs/>
          <w:sz w:val="24"/>
        </w:rPr>
        <w:t xml:space="preserve"> </w:t>
      </w:r>
      <w:r w:rsidR="00BA3172" w:rsidRPr="00BA3172">
        <w:rPr>
          <w:rFonts w:ascii="Times New Roman" w:hAnsi="Times New Roman" w:cs="Arial"/>
          <w:sz w:val="24"/>
        </w:rPr>
        <w:t xml:space="preserve">This table provides a comprehensive overview of the 17 state-of-the-art computational predictors evaluated in this study. The algorithms are broadly categorized into three groups based on their underlying neural network architectures: Deep Neural Networks (DNNs) or DNN-matrix hybrids, Attention-enhanced DNNs, and Self-attention-enhanced DNNs. For each method, the table details its publication date, a brief description of the core algorithm and features, the composition of the training dataset, the date of its last software update, and the source URL for accessibility. Abbreviations: HLA-I, human leukocyte antigen class I; DNN, deep neural network; BA, binding affinity; EL, eluted ligand; PS, presentation score; IEDB, Immune Epitope Database; CNN, convolutional neural network; </w:t>
      </w:r>
      <w:proofErr w:type="spellStart"/>
      <w:r w:rsidR="00BA3172" w:rsidRPr="00BA3172">
        <w:rPr>
          <w:rFonts w:ascii="Times New Roman" w:hAnsi="Times New Roman" w:cs="Arial"/>
          <w:sz w:val="24"/>
        </w:rPr>
        <w:t>pMHC</w:t>
      </w:r>
      <w:proofErr w:type="spellEnd"/>
      <w:r w:rsidR="00BA3172" w:rsidRPr="00BA3172">
        <w:rPr>
          <w:rFonts w:ascii="Times New Roman" w:hAnsi="Times New Roman" w:cs="Arial"/>
          <w:sz w:val="24"/>
        </w:rPr>
        <w:t>, peptide-major histocompatibility complex.</w:t>
      </w:r>
    </w:p>
    <w:p w14:paraId="6B80310E" w14:textId="77777777" w:rsidR="00BA3172" w:rsidRDefault="00BA3172" w:rsidP="00220355">
      <w:pPr>
        <w:spacing w:line="360" w:lineRule="auto"/>
        <w:rPr>
          <w:rFonts w:ascii="Times New Roman" w:hAnsi="Times New Roman" w:cs="Arial"/>
          <w:b/>
          <w:bCs/>
          <w:sz w:val="24"/>
        </w:rPr>
      </w:pPr>
    </w:p>
    <w:p w14:paraId="1F2D69D9" w14:textId="5864A24D" w:rsidR="00FE7B1C" w:rsidRPr="000D2A34" w:rsidRDefault="00FE7B1C" w:rsidP="00220355">
      <w:pPr>
        <w:spacing w:line="360" w:lineRule="auto"/>
        <w:rPr>
          <w:rFonts w:ascii="Times New Roman" w:hAnsi="Times New Roman" w:cs="Arial"/>
          <w:b/>
          <w:bCs/>
          <w:sz w:val="24"/>
        </w:rPr>
      </w:pPr>
      <w:r w:rsidRPr="000D2A34">
        <w:rPr>
          <w:rFonts w:ascii="Times New Roman" w:hAnsi="Times New Roman" w:cs="Arial"/>
          <w:b/>
          <w:bCs/>
          <w:sz w:val="24"/>
        </w:rPr>
        <w:t>Supplementary Table S2. Traffic-light summary of usability and software characteristics for HLA-I predictors</w:t>
      </w:r>
      <w:r w:rsidR="00626701">
        <w:rPr>
          <w:rFonts w:ascii="Times New Roman" w:hAnsi="Times New Roman" w:cs="Arial" w:hint="eastAsia"/>
          <w:b/>
          <w:bCs/>
          <w:sz w:val="24"/>
        </w:rPr>
        <w:t xml:space="preserve">. </w:t>
      </w:r>
      <w:r w:rsidR="00626701" w:rsidRPr="00626701">
        <w:rPr>
          <w:rFonts w:ascii="Times New Roman" w:hAnsi="Times New Roman" w:cs="Arial"/>
          <w:sz w:val="24"/>
        </w:rPr>
        <w:t xml:space="preserve">This table provides a qualitative, user-centric evaluation of the practical deployment and operational characteristics for the 17 assessed predictors. A traffic-light color-coding system is employed to indicate the level of user-friendliness and resource demand: green represents highly favorable characteristics (e.g., low barrier to entry, minimal compute requirements, high stability), yellow indicates moderate friction or acceptable performance, and red denotes unfavorable characteristics (e.g., heavy hardware dependency or complex installation procedures). The evaluation criteria encompass an accuracy estimate based on general benchmark consensus, compute requirements for running predictions, install friction (ranging from accessible web servers to complex Conda environments), setup time required to configure the environment, documentation quality of user manuals or repositories, runtime failure rate reflecting tool stability </w:t>
      </w:r>
      <w:r w:rsidR="00626701" w:rsidRPr="00626701">
        <w:rPr>
          <w:rFonts w:ascii="Times New Roman" w:hAnsi="Times New Roman" w:cs="Arial"/>
          <w:sz w:val="24"/>
        </w:rPr>
        <w:lastRenderedPageBreak/>
        <w:t>during large-scale data processing, and the software license governing availability and usage terms.</w:t>
      </w:r>
    </w:p>
    <w:p w14:paraId="7A9E628C" w14:textId="77777777" w:rsidR="00FE7B1C" w:rsidRPr="000E7A98" w:rsidRDefault="00FE7B1C" w:rsidP="00220355">
      <w:pPr>
        <w:spacing w:line="360" w:lineRule="auto"/>
        <w:rPr>
          <w:rFonts w:ascii="Times New Roman" w:hAnsi="Times New Roman" w:cs="Arial"/>
          <w:sz w:val="24"/>
        </w:rPr>
      </w:pPr>
    </w:p>
    <w:p w14:paraId="0C7925A1" w14:textId="12E79A3D"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S3. Summary of the curated benchmarking dataset (1:1 Positive-to-Negative Ratio).</w:t>
      </w:r>
      <w:r w:rsidR="00FE6F8C">
        <w:rPr>
          <w:rFonts w:ascii="Times New Roman" w:hAnsi="Times New Roman" w:cs="Arial" w:hint="eastAsia"/>
          <w:b/>
          <w:bCs/>
          <w:sz w:val="24"/>
        </w:rPr>
        <w:t xml:space="preserve"> </w:t>
      </w:r>
      <w:r w:rsidR="00FE6F8C" w:rsidRPr="00FE6F8C">
        <w:rPr>
          <w:rFonts w:ascii="Times New Roman" w:hAnsi="Times New Roman" w:cs="Arial"/>
          <w:sz w:val="24"/>
        </w:rPr>
        <w:t>This table details the exact counts of positive (binding) and negative (non-binding) peptide samples across 44 selected HLA-I alleles and four peptide lengths (8, 9, 10, and 11 amino acids). The dataset is strictly balanced to maintain a 1:1 positive-to-negative ratio for each allele and length stratum, establishing the foundational testing data for baseline model evaluations.</w:t>
      </w:r>
    </w:p>
    <w:p w14:paraId="6982AFA7" w14:textId="77777777" w:rsidR="00FE6F8C" w:rsidRPr="00FE6F8C" w:rsidRDefault="00FE6F8C" w:rsidP="00220355">
      <w:pPr>
        <w:spacing w:line="360" w:lineRule="auto"/>
        <w:rPr>
          <w:rFonts w:ascii="Times New Roman" w:hAnsi="Times New Roman" w:cs="Arial"/>
          <w:b/>
          <w:bCs/>
          <w:sz w:val="24"/>
        </w:rPr>
      </w:pPr>
    </w:p>
    <w:p w14:paraId="37CB8B76" w14:textId="00A2DFAB"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S4. AUROC and AUPRC with CI95 in different Positive-to-Negative Ratio</w:t>
      </w:r>
      <w:r w:rsidR="005B703F">
        <w:rPr>
          <w:rFonts w:ascii="Times New Roman" w:hAnsi="Times New Roman" w:cs="Arial" w:hint="eastAsia"/>
          <w:b/>
          <w:bCs/>
          <w:sz w:val="24"/>
        </w:rPr>
        <w:t xml:space="preserve">. </w:t>
      </w:r>
      <w:r w:rsidR="005B703F" w:rsidRPr="005B703F">
        <w:rPr>
          <w:rFonts w:ascii="Times New Roman" w:hAnsi="Times New Roman" w:cs="Arial"/>
          <w:sz w:val="24"/>
        </w:rPr>
        <w:t>This table presents the detailed predictive performance metrics for all 17 evaluated HLA-I peptide binding predictors. The comprehensive metrics encompass point estimates alongside their corresponding confidence intervals (CIs) derived from rigorous bootstrap resampling analysis. This statistical approach provides a robust and reliable assessment of each individual computational tool's predictive accuracy and precision across the benchmarking dataset.</w:t>
      </w:r>
    </w:p>
    <w:p w14:paraId="455F3A5A" w14:textId="77777777" w:rsidR="005B703F" w:rsidRPr="005B703F" w:rsidRDefault="005B703F" w:rsidP="00220355">
      <w:pPr>
        <w:spacing w:line="360" w:lineRule="auto"/>
        <w:rPr>
          <w:rFonts w:ascii="Times New Roman" w:hAnsi="Times New Roman" w:cs="Arial"/>
          <w:b/>
          <w:bCs/>
          <w:sz w:val="24"/>
        </w:rPr>
      </w:pPr>
    </w:p>
    <w:p w14:paraId="4D7EC306" w14:textId="5E221A13"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S5. Statistical testing delta AUC in different Positive-to-Negative Ratio</w:t>
      </w:r>
      <w:r w:rsidR="004A308B">
        <w:rPr>
          <w:rFonts w:ascii="Times New Roman" w:hAnsi="Times New Roman" w:cs="Arial" w:hint="eastAsia"/>
          <w:b/>
          <w:bCs/>
          <w:sz w:val="24"/>
        </w:rPr>
        <w:t xml:space="preserve">. </w:t>
      </w:r>
      <w:r w:rsidR="004A308B" w:rsidRPr="004A308B">
        <w:rPr>
          <w:rFonts w:ascii="Times New Roman" w:hAnsi="Times New Roman" w:cs="Arial"/>
          <w:sz w:val="24"/>
        </w:rPr>
        <w:t>This table details the pairwise statistical comparisons evaluating the relative performance between a designated baseline reference tool and the other evaluated predictors. The analysis rigorously quantifies the differences in the area under the curve (Delta AUC) utilizing bootstrap hypothesis testing. This allows for the precise determination of the statistical significance regarding the performance superiority or inferiority between the compared computational methods.</w:t>
      </w:r>
    </w:p>
    <w:p w14:paraId="409A7AB0" w14:textId="77777777" w:rsidR="004A308B" w:rsidRPr="004A308B" w:rsidRDefault="004A308B" w:rsidP="00220355">
      <w:pPr>
        <w:spacing w:line="360" w:lineRule="auto"/>
        <w:rPr>
          <w:rFonts w:ascii="Times New Roman" w:hAnsi="Times New Roman" w:cs="Arial"/>
          <w:b/>
          <w:bCs/>
          <w:sz w:val="24"/>
        </w:rPr>
      </w:pPr>
    </w:p>
    <w:p w14:paraId="671594F3" w14:textId="7A6C4DD4" w:rsidR="00FE7B1C" w:rsidRPr="000D2A34" w:rsidRDefault="00FE7B1C" w:rsidP="00220355">
      <w:pPr>
        <w:spacing w:line="360" w:lineRule="auto"/>
        <w:rPr>
          <w:rFonts w:ascii="Times New Roman" w:hAnsi="Times New Roman" w:cs="Arial"/>
          <w:b/>
          <w:bCs/>
          <w:sz w:val="24"/>
        </w:rPr>
      </w:pPr>
      <w:r w:rsidRPr="000D2A34">
        <w:rPr>
          <w:rFonts w:ascii="Times New Roman" w:hAnsi="Times New Roman" w:cs="Arial"/>
          <w:b/>
          <w:bCs/>
          <w:sz w:val="24"/>
        </w:rPr>
        <w:t xml:space="preserve">Supplementary Table S6. Tool stability across different </w:t>
      </w:r>
      <w:proofErr w:type="spellStart"/>
      <w:r w:rsidRPr="000D2A34">
        <w:rPr>
          <w:rFonts w:ascii="Times New Roman" w:hAnsi="Times New Roman" w:cs="Arial"/>
          <w:b/>
          <w:bCs/>
          <w:sz w:val="24"/>
        </w:rPr>
        <w:t>Postive</w:t>
      </w:r>
      <w:proofErr w:type="spellEnd"/>
      <w:r w:rsidRPr="000D2A34">
        <w:rPr>
          <w:rFonts w:ascii="Times New Roman" w:hAnsi="Times New Roman" w:cs="Arial"/>
          <w:b/>
          <w:bCs/>
          <w:sz w:val="24"/>
        </w:rPr>
        <w:t xml:space="preserve">-to-Negative </w:t>
      </w:r>
      <w:r w:rsidRPr="000D2A34">
        <w:rPr>
          <w:rFonts w:ascii="Times New Roman" w:hAnsi="Times New Roman" w:cs="Arial"/>
          <w:b/>
          <w:bCs/>
          <w:sz w:val="24"/>
        </w:rPr>
        <w:lastRenderedPageBreak/>
        <w:t>Ratio</w:t>
      </w:r>
      <w:r w:rsidR="00B637DF">
        <w:rPr>
          <w:rFonts w:ascii="Times New Roman" w:hAnsi="Times New Roman" w:cs="Arial" w:hint="eastAsia"/>
          <w:b/>
          <w:bCs/>
          <w:sz w:val="24"/>
        </w:rPr>
        <w:t>.</w:t>
      </w:r>
      <w:r w:rsidR="00B637DF" w:rsidRPr="00B637DF">
        <w:rPr>
          <w:rFonts w:ascii="Times New Roman" w:hAnsi="Times New Roman" w:cs="Arial" w:hint="eastAsia"/>
          <w:sz w:val="24"/>
        </w:rPr>
        <w:t xml:space="preserve"> </w:t>
      </w:r>
      <w:r w:rsidR="00B637DF" w:rsidRPr="00AC457E">
        <w:rPr>
          <w:rFonts w:ascii="Times New Roman" w:hAnsi="Times New Roman" w:cs="Arial" w:hint="eastAsia"/>
          <w:sz w:val="24"/>
        </w:rPr>
        <w:t>This table summarizes the stability and robustness metrics of each HLA-I peptide binding predictor when subjected to different testing folds, which represent varying positive-to-negative dataset ratios. It highlights the performance variance, degradation, and overall resilience for each method across these diverse imbalance conditions, providing critical insights into the consistency and operational reliability of the models under increasingly challenging and realistic prediction scenarios.</w:t>
      </w:r>
    </w:p>
    <w:p w14:paraId="3CA321F4" w14:textId="77777777" w:rsidR="00FE7B1C" w:rsidRPr="000E7A98" w:rsidRDefault="00FE7B1C" w:rsidP="00220355">
      <w:pPr>
        <w:spacing w:line="360" w:lineRule="auto"/>
        <w:rPr>
          <w:rFonts w:ascii="Times New Roman" w:hAnsi="Times New Roman" w:cs="Arial"/>
          <w:sz w:val="24"/>
        </w:rPr>
      </w:pPr>
    </w:p>
    <w:p w14:paraId="558CAE30" w14:textId="1A3DC9B0" w:rsidR="00AC457E"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S7. Best threshold recommendation for each tool (Based on 1:9 Positive-to-Negative Ratio)</w:t>
      </w:r>
      <w:r w:rsidR="00AC457E">
        <w:rPr>
          <w:rFonts w:ascii="Times New Roman" w:hAnsi="Times New Roman" w:cs="Arial" w:hint="eastAsia"/>
          <w:b/>
          <w:bCs/>
          <w:sz w:val="24"/>
        </w:rPr>
        <w:t xml:space="preserve">. </w:t>
      </w:r>
      <w:r w:rsidR="00237FA4" w:rsidRPr="00237FA4">
        <w:rPr>
          <w:rFonts w:ascii="Times New Roman" w:hAnsi="Times New Roman" w:cs="Arial" w:hint="eastAsia"/>
          <w:sz w:val="24"/>
        </w:rPr>
        <w:t>This table presents the optimal decision thresholds for the 17 evaluated HLA-I peptide binding predictors. These recommended cut-off values were analytically determined to maximize the comprehensive performance score under a highly imbalanced testing scenario (1:9 positive-to-negative ratio), providing practical guidance for deploying these computational tools in realistic predictive tasks.</w:t>
      </w:r>
    </w:p>
    <w:p w14:paraId="78863872" w14:textId="77777777" w:rsidR="00237FA4" w:rsidRPr="00237FA4" w:rsidRDefault="00237FA4" w:rsidP="00220355">
      <w:pPr>
        <w:spacing w:line="360" w:lineRule="auto"/>
        <w:rPr>
          <w:rFonts w:ascii="Times New Roman" w:hAnsi="Times New Roman" w:cs="Arial"/>
          <w:sz w:val="24"/>
        </w:rPr>
      </w:pPr>
    </w:p>
    <w:p w14:paraId="2B316B62" w14:textId="5A5D52EB"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S8. Stability of comprehensive scores under threshold variations (based on 1:9 Positive-to-Negative Ratio)</w:t>
      </w:r>
      <w:r w:rsidR="00237FA4">
        <w:rPr>
          <w:rFonts w:ascii="Times New Roman" w:hAnsi="Times New Roman" w:cs="Arial" w:hint="eastAsia"/>
          <w:b/>
          <w:bCs/>
          <w:sz w:val="24"/>
        </w:rPr>
        <w:t xml:space="preserve">. </w:t>
      </w:r>
      <w:r w:rsidR="00237FA4" w:rsidRPr="00237FA4">
        <w:rPr>
          <w:rFonts w:ascii="Times New Roman" w:hAnsi="Times New Roman" w:cs="Arial"/>
          <w:sz w:val="24"/>
        </w:rPr>
        <w:t>This table provides quantitative metrics detailing the robustness of the comprehensive performance score for each of the 17 evaluated tools when subjected to threshold variations. Evaluated under a 1:9 positive-to-negative dataset ratio, these stability metrics highlight the operational resilience of each predictor, indicating how sensitive a tool's overall performance is to deviations from its optimal decision threshold.</w:t>
      </w:r>
    </w:p>
    <w:p w14:paraId="27759A8C" w14:textId="77777777" w:rsidR="00237FA4" w:rsidRPr="00237FA4" w:rsidRDefault="00237FA4" w:rsidP="00220355">
      <w:pPr>
        <w:spacing w:line="360" w:lineRule="auto"/>
        <w:rPr>
          <w:rFonts w:ascii="Times New Roman" w:hAnsi="Times New Roman" w:cs="Arial"/>
          <w:b/>
          <w:bCs/>
          <w:sz w:val="24"/>
        </w:rPr>
      </w:pPr>
    </w:p>
    <w:p w14:paraId="46693C67" w14:textId="53A77D2A"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S9. The performance estimated based on whole benchmarking dataset for each prediction tool in different Positive-to-Negative Ratio.</w:t>
      </w:r>
      <w:r w:rsidR="00C35735">
        <w:rPr>
          <w:rFonts w:ascii="Times New Roman" w:hAnsi="Times New Roman" w:cs="Arial" w:hint="eastAsia"/>
          <w:b/>
          <w:bCs/>
          <w:sz w:val="24"/>
        </w:rPr>
        <w:t xml:space="preserve"> </w:t>
      </w:r>
      <w:r w:rsidR="00C35735" w:rsidRPr="00C35735">
        <w:rPr>
          <w:rFonts w:ascii="Times New Roman" w:hAnsi="Times New Roman" w:cs="Arial"/>
          <w:sz w:val="24"/>
        </w:rPr>
        <w:t xml:space="preserve">This table provides a comprehensive summary of the overall predictive performance for all 17 evaluated HLA-I peptide binding predictors, calculated across </w:t>
      </w:r>
      <w:r w:rsidR="00C35735" w:rsidRPr="00C35735">
        <w:rPr>
          <w:rFonts w:ascii="Times New Roman" w:hAnsi="Times New Roman" w:cs="Arial"/>
          <w:sz w:val="24"/>
        </w:rPr>
        <w:lastRenderedPageBreak/>
        <w:t>the entirety of the benchmarking dataset. To reflect real-world data imbalance scenarios, the performance of each tool is systematically presented under four distinct positive-to-negative dataset ratios (1:1, 1:4, 1:9, and 1:99). The detailed evaluation encompasses a full suite of metrics, including AUROC, AUPRC, sensitivity, specificity, precision, F1-score, accuracy, Matthews correlation coefficient (MCC), and the derived comprehensive score. This consolidated overview allows for a direct quantitative comparison of how each predictor's performance and metric balance shift as the proportion of negative (non-binding) background peptides incrementally increases.</w:t>
      </w:r>
    </w:p>
    <w:p w14:paraId="649D209A" w14:textId="77777777" w:rsidR="00C35735" w:rsidRPr="00C35735" w:rsidRDefault="00C35735" w:rsidP="00220355">
      <w:pPr>
        <w:spacing w:line="360" w:lineRule="auto"/>
        <w:rPr>
          <w:rFonts w:ascii="Times New Roman" w:hAnsi="Times New Roman" w:cs="Arial"/>
          <w:b/>
          <w:bCs/>
          <w:sz w:val="24"/>
        </w:rPr>
      </w:pPr>
    </w:p>
    <w:p w14:paraId="316ACC65" w14:textId="458C4D7F" w:rsidR="00FE7B1C" w:rsidRDefault="00FE7B1C" w:rsidP="00220355">
      <w:pPr>
        <w:spacing w:line="360" w:lineRule="auto"/>
        <w:rPr>
          <w:rFonts w:ascii="Times New Roman" w:hAnsi="Times New Roman" w:cs="Arial"/>
          <w:sz w:val="24"/>
        </w:rPr>
      </w:pPr>
      <w:r w:rsidRPr="000D2A34">
        <w:rPr>
          <w:rFonts w:ascii="Times New Roman" w:hAnsi="Times New Roman" w:cs="Arial"/>
          <w:b/>
          <w:bCs/>
          <w:sz w:val="24"/>
        </w:rPr>
        <w:t>Supplementary Table S10. Comprehensive performance metrics of 17 MHC binding prediction tools across all specific strata.</w:t>
      </w:r>
      <w:r w:rsidR="00A06127">
        <w:rPr>
          <w:rFonts w:ascii="Times New Roman" w:hAnsi="Times New Roman" w:cs="Arial" w:hint="eastAsia"/>
          <w:b/>
          <w:bCs/>
          <w:sz w:val="24"/>
        </w:rPr>
        <w:t xml:space="preserve"> </w:t>
      </w:r>
      <w:r w:rsidR="00A06127" w:rsidRPr="00A06127">
        <w:rPr>
          <w:rFonts w:ascii="Times New Roman" w:hAnsi="Times New Roman" w:cs="Arial"/>
          <w:sz w:val="24"/>
        </w:rPr>
        <w:t>This table presents highly granular, stratum-specific predictive performance data for all 17 evaluated tools across four data imbalance scenarios (1:1, 1:4, 1:9, and 1:99 positive-to-negative ratios). The evaluations are systematically categorized into four distinct strata levels: the overall dataset, specific peptide lengths, individual HLA-I alleles, and single conditions combining both specific alleles and lengths. For every unique combination of tool, dataset ratio, and stratum, the table provides the raw confusion matrix counts (true positives, true negatives, false positives, and false negatives) alongside a complete suite of calculated performance indicators, including AUROC, AUPRC, sensitivity, specificity, precision, F1-score, accuracy, MCC, and the comprehensive score. This exhaustive dataset enables an in-depth, high-resolution assessment of each predictor's strengths and limitations under highly specific biological constraints and varying background noise levels.</w:t>
      </w:r>
    </w:p>
    <w:p w14:paraId="51825945" w14:textId="77777777" w:rsidR="00A06127" w:rsidRPr="00A06127" w:rsidRDefault="00A06127" w:rsidP="00220355">
      <w:pPr>
        <w:spacing w:line="360" w:lineRule="auto"/>
        <w:rPr>
          <w:rFonts w:ascii="Times New Roman" w:hAnsi="Times New Roman" w:cs="Arial"/>
          <w:b/>
          <w:bCs/>
          <w:sz w:val="24"/>
        </w:rPr>
      </w:pPr>
    </w:p>
    <w:p w14:paraId="2C4F58D6" w14:textId="4AF8B0F8" w:rsidR="00857590" w:rsidRDefault="00857590" w:rsidP="00220355">
      <w:pPr>
        <w:spacing w:line="360" w:lineRule="auto"/>
        <w:rPr>
          <w:rFonts w:ascii="Times New Roman" w:hAnsi="Times New Roman" w:cs="Arial"/>
          <w:sz w:val="24"/>
        </w:rPr>
      </w:pPr>
      <w:r w:rsidRPr="000D2A34">
        <w:rPr>
          <w:rFonts w:ascii="Times New Roman" w:hAnsi="Times New Roman" w:cs="Arial"/>
          <w:b/>
          <w:bCs/>
          <w:sz w:val="24"/>
        </w:rPr>
        <w:t>Supplementary Table S11. The computational resource consuming information estimated based on 4000 peptides for each prediction tool.</w:t>
      </w:r>
      <w:r w:rsidR="00175D2B">
        <w:rPr>
          <w:rFonts w:ascii="Times New Roman" w:hAnsi="Times New Roman" w:cs="Arial" w:hint="eastAsia"/>
          <w:b/>
          <w:bCs/>
          <w:sz w:val="24"/>
        </w:rPr>
        <w:t xml:space="preserve"> </w:t>
      </w:r>
      <w:r w:rsidR="00175D2B" w:rsidRPr="00175D2B">
        <w:rPr>
          <w:rFonts w:ascii="Times New Roman" w:hAnsi="Times New Roman" w:cs="Arial"/>
          <w:sz w:val="24"/>
        </w:rPr>
        <w:t xml:space="preserve">This table details the hardware resource utilization and computational efficiency of the evaluated HLA-I </w:t>
      </w:r>
      <w:r w:rsidR="00175D2B" w:rsidRPr="00175D2B">
        <w:rPr>
          <w:rFonts w:ascii="Times New Roman" w:hAnsi="Times New Roman" w:cs="Arial"/>
          <w:sz w:val="24"/>
        </w:rPr>
        <w:lastRenderedPageBreak/>
        <w:t>peptide binding predictors. To ensure a fair and standardized comparison, a uniform subset of 4,000 peptides was processed by each computational tool. The recorded metrics encompass execution time (including user time, system time, and elapsed wall-clock time), overall CPU utilization percentage, and peak memory consumption (represented by the maximum resident set size). Additional system-level profiling data, such as page faults, context switches, and file system inputs/outputs, are also provided. These benchmarks offer practical insights into the computational burden and scalability of each method, aiding researchers in selecting appropriate predictors based on their available computational infrastructure.</w:t>
      </w:r>
    </w:p>
    <w:p w14:paraId="2FE32ACA" w14:textId="77777777" w:rsidR="00175D2B" w:rsidRPr="00175D2B" w:rsidRDefault="00175D2B" w:rsidP="00220355">
      <w:pPr>
        <w:spacing w:line="360" w:lineRule="auto"/>
        <w:rPr>
          <w:rFonts w:ascii="Times New Roman" w:hAnsi="Times New Roman" w:cs="Arial"/>
          <w:b/>
          <w:bCs/>
          <w:sz w:val="24"/>
        </w:rPr>
      </w:pPr>
    </w:p>
    <w:p w14:paraId="79ADC5E4" w14:textId="718E8E7B" w:rsidR="00857590" w:rsidRDefault="00857590" w:rsidP="00220355">
      <w:pPr>
        <w:spacing w:line="360" w:lineRule="auto"/>
        <w:rPr>
          <w:rFonts w:ascii="Times New Roman" w:hAnsi="Times New Roman" w:cs="Arial"/>
          <w:sz w:val="24"/>
        </w:rPr>
      </w:pPr>
      <w:r w:rsidRPr="000D2A34">
        <w:rPr>
          <w:rFonts w:ascii="Times New Roman" w:hAnsi="Times New Roman" w:cs="Arial"/>
          <w:b/>
          <w:bCs/>
          <w:sz w:val="24"/>
        </w:rPr>
        <w:t>Supplementary Table S12. Computational resource consumption of different predictors based on 1:4 and 1:9 Positive-to-Negative Ratio datasets.</w:t>
      </w:r>
      <w:r w:rsidR="004935E7">
        <w:rPr>
          <w:rFonts w:ascii="Times New Roman" w:hAnsi="Times New Roman" w:cs="Arial" w:hint="eastAsia"/>
          <w:b/>
          <w:bCs/>
          <w:sz w:val="24"/>
        </w:rPr>
        <w:t xml:space="preserve"> </w:t>
      </w:r>
      <w:r w:rsidR="004935E7" w:rsidRPr="004935E7">
        <w:rPr>
          <w:rFonts w:ascii="Times New Roman" w:hAnsi="Times New Roman" w:cs="Arial"/>
          <w:sz w:val="24"/>
        </w:rPr>
        <w:t>This table summarizes the extensive hardware resource utilization and execution efficiency of the evaluated HLA-I peptide binding predictors when processing large-scale, imbalanced datasets. Performance profiling metrics were recorded during the complete execution of both the 1:4 and 1:9 positive-to-negative ratio testing sets to assess model scalability. The documented metrics for each computational tool include the final execution status, average and peak CPU usage, peak memory usage, peak resident set size (RSS), total elapsed wall-clock time, and theoretic processing time. Together, these benchmarks provide a comprehensive evaluation of the computational burden and hardware demands required to deploy these prediction models in realistic, high-throughput bioinformatics pipelines.</w:t>
      </w:r>
    </w:p>
    <w:p w14:paraId="7686AEAE" w14:textId="77777777" w:rsidR="004935E7" w:rsidRPr="004935E7" w:rsidRDefault="004935E7" w:rsidP="00220355">
      <w:pPr>
        <w:spacing w:line="360" w:lineRule="auto"/>
        <w:rPr>
          <w:rFonts w:ascii="Times New Roman" w:hAnsi="Times New Roman" w:cs="Arial"/>
          <w:b/>
          <w:bCs/>
          <w:sz w:val="24"/>
        </w:rPr>
      </w:pPr>
    </w:p>
    <w:p w14:paraId="2AD8B7F1" w14:textId="725080B2" w:rsidR="00857590" w:rsidRDefault="00857590" w:rsidP="00220355">
      <w:pPr>
        <w:spacing w:line="360" w:lineRule="auto"/>
        <w:rPr>
          <w:rFonts w:ascii="Times New Roman" w:hAnsi="Times New Roman" w:cs="Arial"/>
          <w:sz w:val="24"/>
        </w:rPr>
      </w:pPr>
      <w:r w:rsidRPr="00863F3B">
        <w:rPr>
          <w:rFonts w:ascii="Times New Roman" w:hAnsi="Times New Roman" w:cs="Times New Roman"/>
          <w:b/>
          <w:bCs/>
          <w:sz w:val="24"/>
        </w:rPr>
        <w:t xml:space="preserve">Supplementary Table S13. GPU performance comparison </w:t>
      </w:r>
      <w:r w:rsidR="00863F3B">
        <w:rPr>
          <w:rFonts w:ascii="Times New Roman" w:hAnsi="Times New Roman" w:cs="Times New Roman" w:hint="eastAsia"/>
          <w:b/>
          <w:bCs/>
          <w:sz w:val="24"/>
        </w:rPr>
        <w:t>(</w:t>
      </w:r>
      <w:r w:rsidRPr="00863F3B">
        <w:rPr>
          <w:rFonts w:ascii="Times New Roman" w:hAnsi="Times New Roman" w:cs="Times New Roman"/>
          <w:b/>
          <w:bCs/>
          <w:sz w:val="24"/>
        </w:rPr>
        <w:t>Based on 1:99 Positive-to-Negative Ratio</w:t>
      </w:r>
      <w:r w:rsidR="00863F3B">
        <w:rPr>
          <w:rFonts w:ascii="Times New Roman" w:hAnsi="Times New Roman" w:cs="Times New Roman" w:hint="eastAsia"/>
          <w:b/>
          <w:bCs/>
          <w:sz w:val="24"/>
        </w:rPr>
        <w:t>)</w:t>
      </w:r>
      <w:r w:rsidR="00861914">
        <w:rPr>
          <w:rFonts w:ascii="Times New Roman" w:hAnsi="Times New Roman" w:cs="Times New Roman" w:hint="eastAsia"/>
          <w:b/>
          <w:bCs/>
          <w:sz w:val="24"/>
        </w:rPr>
        <w:t xml:space="preserve">. </w:t>
      </w:r>
      <w:r w:rsidR="00861914" w:rsidRPr="00861914">
        <w:rPr>
          <w:rFonts w:ascii="Times New Roman" w:hAnsi="Times New Roman" w:cs="Arial"/>
          <w:sz w:val="24"/>
        </w:rPr>
        <w:t xml:space="preserve">This table details the graphics processing unit (GPU) performance and resource utilization of five specific HLA-I peptide binding predictors capable of GPU acceleration. To address the computational demands of large-scale predictive tasks, these tools were deployed and evaluated using the highly </w:t>
      </w:r>
      <w:r w:rsidR="00861914" w:rsidRPr="00861914">
        <w:rPr>
          <w:rFonts w:ascii="Times New Roman" w:hAnsi="Times New Roman" w:cs="Arial"/>
          <w:sz w:val="24"/>
        </w:rPr>
        <w:lastRenderedPageBreak/>
        <w:t>imbalanced 1:99 positive-to-negative ratio testing dataset. The recorded performance metrics include the total execution time (in minutes), the maximum and average GPU utilization percentages, as well as the maximum and average GPU memory consumption (in gigabytes, GB). These benchmarks provide critical insights into the practical hardware requirements, scalability, and execution efficiency when leveraging GPU acceleration for high-throughput bioinformatics pipelines.</w:t>
      </w:r>
    </w:p>
    <w:p w14:paraId="0AEB3CF3" w14:textId="77777777" w:rsidR="00861914" w:rsidRPr="00861914" w:rsidRDefault="00861914" w:rsidP="00220355">
      <w:pPr>
        <w:spacing w:line="360" w:lineRule="auto"/>
        <w:rPr>
          <w:rFonts w:ascii="Times New Roman" w:hAnsi="Times New Roman" w:cs="Times New Roman"/>
          <w:b/>
          <w:bCs/>
          <w:sz w:val="24"/>
        </w:rPr>
      </w:pPr>
    </w:p>
    <w:p w14:paraId="7DABD092" w14:textId="4DEA7185" w:rsidR="00857590" w:rsidRDefault="00857590" w:rsidP="00220355">
      <w:pPr>
        <w:spacing w:line="360" w:lineRule="auto"/>
        <w:rPr>
          <w:rFonts w:ascii="Times New Roman" w:hAnsi="Times New Roman" w:cs="Arial"/>
          <w:sz w:val="24"/>
        </w:rPr>
      </w:pPr>
      <w:r w:rsidRPr="000D2A34">
        <w:rPr>
          <w:rFonts w:ascii="Times New Roman" w:hAnsi="Times New Roman" w:cs="Arial"/>
          <w:b/>
          <w:bCs/>
          <w:sz w:val="24"/>
        </w:rPr>
        <w:t>Supplementary Table S14. Position weight matrix (PWM) frequencies of naturally presented peptides across evaluated MHC class I alleles</w:t>
      </w:r>
      <w:r w:rsidR="00A81BE5">
        <w:rPr>
          <w:rFonts w:ascii="Times New Roman" w:hAnsi="Times New Roman" w:cs="Arial" w:hint="eastAsia"/>
          <w:b/>
          <w:bCs/>
          <w:sz w:val="24"/>
        </w:rPr>
        <w:t xml:space="preserve">. </w:t>
      </w:r>
      <w:r w:rsidR="00A81BE5" w:rsidRPr="00A81BE5">
        <w:rPr>
          <w:rFonts w:ascii="Times New Roman" w:hAnsi="Times New Roman" w:cs="Arial"/>
          <w:sz w:val="24"/>
        </w:rPr>
        <w:t>This table provides a comprehensive compendium of positional amino acid frequencies for naturally presented, true-positive HLA-I binding peptides extracted from the curated ground truth database. The Position Weight Matrix (PWM) data is systematically stratified by individual HLA-I allele, peptide length (spanning 8 to 11 amino acids), and specific residue position. For every defined stratum, the table reports the total number of contributing valid peptides alongside the exact observed frequency (probability) for each of the 20 standard amino acids. These empirical positional frequencies serve as the biological baseline for evaluating whether computational prediction models successfully capture and utilize genuine peptide-MHC binding motifs.</w:t>
      </w:r>
    </w:p>
    <w:p w14:paraId="64875893" w14:textId="77777777" w:rsidR="00A81BE5" w:rsidRPr="00A81BE5" w:rsidRDefault="00A81BE5" w:rsidP="00220355">
      <w:pPr>
        <w:spacing w:line="360" w:lineRule="auto"/>
        <w:rPr>
          <w:rFonts w:ascii="Times New Roman" w:hAnsi="Times New Roman" w:cs="Arial"/>
          <w:b/>
          <w:bCs/>
          <w:sz w:val="24"/>
        </w:rPr>
      </w:pPr>
    </w:p>
    <w:p w14:paraId="4D10CCA4" w14:textId="161E3478" w:rsidR="00857590" w:rsidRDefault="00857590" w:rsidP="00220355">
      <w:pPr>
        <w:spacing w:line="360" w:lineRule="auto"/>
        <w:rPr>
          <w:rFonts w:ascii="Times New Roman" w:hAnsi="Times New Roman" w:cs="Arial"/>
          <w:sz w:val="24"/>
        </w:rPr>
      </w:pPr>
      <w:r w:rsidRPr="000D2A34">
        <w:rPr>
          <w:rFonts w:ascii="Times New Roman" w:hAnsi="Times New Roman" w:cs="Arial"/>
          <w:b/>
          <w:bCs/>
          <w:sz w:val="24"/>
        </w:rPr>
        <w:t>Supplementary Table S15. Epitopes for calculating SHAP and LIME values and their prediction results of eight prediction tools.</w:t>
      </w:r>
      <w:r w:rsidR="00D44CF1">
        <w:rPr>
          <w:rFonts w:ascii="Times New Roman" w:hAnsi="Times New Roman" w:cs="Arial" w:hint="eastAsia"/>
          <w:b/>
          <w:bCs/>
          <w:sz w:val="24"/>
        </w:rPr>
        <w:t xml:space="preserve"> </w:t>
      </w:r>
      <w:r w:rsidR="00D44CF1" w:rsidRPr="00D44CF1">
        <w:rPr>
          <w:rFonts w:ascii="Times New Roman" w:hAnsi="Times New Roman" w:cs="Arial" w:hint="eastAsia"/>
          <w:sz w:val="24"/>
        </w:rPr>
        <w:t xml:space="preserve">This table provides a high-resolution, residue-level repository of explainable AI (XAI) attribution scores for 300 representative 9-mer peptides across three target HLA-I alleles (HLA-A*02:01, HLA-B*15:02, and HLA-C*05:01). For each peptide-allele combination, the table documents the amino acid sequence, the predicted binding outcomes from eight selected computational tools, and their corresponding SHAP and LIME values calculated for each of the nine positional residues (P1 to P9). This comprehensive </w:t>
      </w:r>
      <w:r w:rsidR="00D44CF1" w:rsidRPr="00D44CF1">
        <w:rPr>
          <w:rFonts w:ascii="Times New Roman" w:hAnsi="Times New Roman" w:cs="Arial" w:hint="eastAsia"/>
          <w:sz w:val="24"/>
        </w:rPr>
        <w:lastRenderedPageBreak/>
        <w:t>dataset captures the specific contribution of individual amino acids to the models' final binding predictions, serving as the foundational raw data for evaluating cross-tool interpretability consensus and mechanistically validating the captured binding motifs against biophysical benchmarks.</w:t>
      </w:r>
    </w:p>
    <w:p w14:paraId="7A2D00FE" w14:textId="77777777" w:rsidR="00D44CF1" w:rsidRPr="00D44CF1" w:rsidRDefault="00D44CF1" w:rsidP="00220355">
      <w:pPr>
        <w:spacing w:line="360" w:lineRule="auto"/>
        <w:rPr>
          <w:rFonts w:ascii="Times New Roman" w:hAnsi="Times New Roman" w:cs="Arial"/>
          <w:b/>
          <w:bCs/>
          <w:sz w:val="24"/>
        </w:rPr>
      </w:pPr>
    </w:p>
    <w:p w14:paraId="4037A6E8" w14:textId="5D38957B" w:rsidR="00857590" w:rsidRPr="00EE71D7" w:rsidRDefault="00857590" w:rsidP="00220355">
      <w:pPr>
        <w:spacing w:line="360" w:lineRule="auto"/>
        <w:rPr>
          <w:rFonts w:ascii="Times New Roman" w:hAnsi="Times New Roman" w:cs="Arial"/>
          <w:b/>
          <w:bCs/>
          <w:sz w:val="24"/>
        </w:rPr>
      </w:pPr>
      <w:r w:rsidRPr="000D2A34">
        <w:rPr>
          <w:rFonts w:ascii="Times New Roman" w:hAnsi="Times New Roman" w:cs="Arial"/>
          <w:b/>
          <w:bCs/>
          <w:sz w:val="24"/>
        </w:rPr>
        <w:t>Supplementary Table S16. Per-residue binding free energy contributions in three representative Peptide-MHC complexes</w:t>
      </w:r>
      <w:r w:rsidR="00EE71D7">
        <w:rPr>
          <w:rFonts w:ascii="Times New Roman" w:hAnsi="Times New Roman" w:cs="Arial" w:hint="eastAsia"/>
          <w:b/>
          <w:bCs/>
          <w:sz w:val="24"/>
        </w:rPr>
        <w:t xml:space="preserve">. </w:t>
      </w:r>
      <w:r w:rsidR="00EE71D7" w:rsidRPr="00EE71D7">
        <w:rPr>
          <w:rFonts w:ascii="Times New Roman" w:hAnsi="Times New Roman" w:cs="Arial"/>
          <w:sz w:val="24"/>
        </w:rPr>
        <w:t>This table provides a comprehensive, model-by-model record of the binding free energy contributions for each residue in three representative peptide-HLA-I complexes (HLA-A*02:01 with NAAERRGPL, HLA-B*15:02 with HVEKLARTL, and HLA-C*05:01 with SLIARLERL). For each complex, the dataset includes all structural conformations (represented by unique Model IDs) generated via ensemble docking. The detailed biophysical metrics for every residue position (P1–P9) encompass interface binding energy (</w:t>
      </w:r>
      <w:proofErr w:type="spellStart"/>
      <w:r w:rsidR="00EE71D7" w:rsidRPr="00EE71D7">
        <w:rPr>
          <w:rFonts w:ascii="Times New Roman" w:hAnsi="Times New Roman" w:cs="Arial"/>
          <w:sz w:val="24"/>
        </w:rPr>
        <w:t>InterDG</w:t>
      </w:r>
      <w:proofErr w:type="spellEnd"/>
      <w:r w:rsidR="00EE71D7" w:rsidRPr="00EE71D7">
        <w:rPr>
          <w:rFonts w:ascii="Times New Roman" w:hAnsi="Times New Roman" w:cs="Arial"/>
          <w:sz w:val="24"/>
        </w:rPr>
        <w:t>), the change in binding free energy upon alanine substitution (</w:t>
      </w:r>
      <w:proofErr w:type="spellStart"/>
      <w:r w:rsidR="00EE71D7" w:rsidRPr="00EE71D7">
        <w:rPr>
          <w:rFonts w:ascii="Times New Roman" w:hAnsi="Times New Roman" w:cs="Arial"/>
          <w:sz w:val="24"/>
        </w:rPr>
        <w:t>InterDDG</w:t>
      </w:r>
      <w:proofErr w:type="spellEnd"/>
      <w:r w:rsidR="00EE71D7" w:rsidRPr="00EE71D7">
        <w:rPr>
          <w:rFonts w:ascii="Times New Roman" w:hAnsi="Times New Roman" w:cs="Arial"/>
          <w:sz w:val="24"/>
        </w:rPr>
        <w:t>), and internal conformational energies (</w:t>
      </w:r>
      <w:proofErr w:type="spellStart"/>
      <w:r w:rsidR="00EE71D7" w:rsidRPr="00EE71D7">
        <w:rPr>
          <w:rFonts w:ascii="Times New Roman" w:hAnsi="Times New Roman" w:cs="Arial"/>
          <w:sz w:val="24"/>
        </w:rPr>
        <w:t>IntraDG</w:t>
      </w:r>
      <w:proofErr w:type="spellEnd"/>
      <w:r w:rsidR="00EE71D7" w:rsidRPr="00EE71D7">
        <w:rPr>
          <w:rFonts w:ascii="Times New Roman" w:hAnsi="Times New Roman" w:cs="Arial"/>
          <w:sz w:val="24"/>
        </w:rPr>
        <w:t>/</w:t>
      </w:r>
      <w:proofErr w:type="spellStart"/>
      <w:r w:rsidR="00EE71D7" w:rsidRPr="00EE71D7">
        <w:rPr>
          <w:rFonts w:ascii="Times New Roman" w:hAnsi="Times New Roman" w:cs="Arial"/>
          <w:sz w:val="24"/>
        </w:rPr>
        <w:t>IntraDDG</w:t>
      </w:r>
      <w:proofErr w:type="spellEnd"/>
      <w:r w:rsidR="00EE71D7" w:rsidRPr="00EE71D7">
        <w:rPr>
          <w:rFonts w:ascii="Times New Roman" w:hAnsi="Times New Roman" w:cs="Arial"/>
          <w:sz w:val="24"/>
        </w:rPr>
        <w:t>). This exhaustive raw dataset facilitates a granular analysis of the energetic stability across the structural ensemble, serving as the biophysical ground truth for validating model-specific explainability scores.</w:t>
      </w:r>
    </w:p>
    <w:p w14:paraId="69E5BDDA" w14:textId="77777777" w:rsidR="00857590" w:rsidRPr="000E7A98" w:rsidRDefault="00857590" w:rsidP="00220355">
      <w:pPr>
        <w:spacing w:line="360" w:lineRule="auto"/>
        <w:rPr>
          <w:rFonts w:ascii="Times New Roman" w:hAnsi="Times New Roman" w:cs="Arial"/>
          <w:sz w:val="24"/>
        </w:rPr>
      </w:pPr>
    </w:p>
    <w:sectPr w:rsidR="00857590" w:rsidRPr="000E7A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BF45" w14:textId="77777777" w:rsidR="00443462" w:rsidRDefault="00443462" w:rsidP="00FE7B1C">
      <w:pPr>
        <w:spacing w:after="0" w:line="240" w:lineRule="auto"/>
        <w:rPr>
          <w:rFonts w:hint="eastAsia"/>
        </w:rPr>
      </w:pPr>
      <w:r>
        <w:separator/>
      </w:r>
    </w:p>
  </w:endnote>
  <w:endnote w:type="continuationSeparator" w:id="0">
    <w:p w14:paraId="57AE912F" w14:textId="77777777" w:rsidR="00443462" w:rsidRDefault="00443462" w:rsidP="00FE7B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87B6" w14:textId="77777777" w:rsidR="00443462" w:rsidRDefault="00443462" w:rsidP="00FE7B1C">
      <w:pPr>
        <w:spacing w:after="0" w:line="240" w:lineRule="auto"/>
        <w:rPr>
          <w:rFonts w:hint="eastAsia"/>
        </w:rPr>
      </w:pPr>
      <w:r>
        <w:separator/>
      </w:r>
    </w:p>
  </w:footnote>
  <w:footnote w:type="continuationSeparator" w:id="0">
    <w:p w14:paraId="0658DD5C" w14:textId="77777777" w:rsidR="00443462" w:rsidRDefault="00443462" w:rsidP="00FE7B1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70"/>
    <w:rsid w:val="00015B2A"/>
    <w:rsid w:val="000A267B"/>
    <w:rsid w:val="000D2A34"/>
    <w:rsid w:val="000E59F4"/>
    <w:rsid w:val="000E7A98"/>
    <w:rsid w:val="00101569"/>
    <w:rsid w:val="00175D2B"/>
    <w:rsid w:val="001C0BEA"/>
    <w:rsid w:val="00220355"/>
    <w:rsid w:val="00237FA4"/>
    <w:rsid w:val="00297783"/>
    <w:rsid w:val="003379D0"/>
    <w:rsid w:val="003B3A74"/>
    <w:rsid w:val="003C4478"/>
    <w:rsid w:val="00443462"/>
    <w:rsid w:val="004935E7"/>
    <w:rsid w:val="004A308B"/>
    <w:rsid w:val="00561026"/>
    <w:rsid w:val="005B703F"/>
    <w:rsid w:val="00603313"/>
    <w:rsid w:val="00626701"/>
    <w:rsid w:val="006824C1"/>
    <w:rsid w:val="006C1439"/>
    <w:rsid w:val="006C76EF"/>
    <w:rsid w:val="006D3059"/>
    <w:rsid w:val="006D789F"/>
    <w:rsid w:val="0074596D"/>
    <w:rsid w:val="00781A4A"/>
    <w:rsid w:val="008204FF"/>
    <w:rsid w:val="00842BDE"/>
    <w:rsid w:val="00857590"/>
    <w:rsid w:val="00861914"/>
    <w:rsid w:val="00863F3B"/>
    <w:rsid w:val="00864324"/>
    <w:rsid w:val="00872965"/>
    <w:rsid w:val="008A6DCA"/>
    <w:rsid w:val="00904B70"/>
    <w:rsid w:val="00914531"/>
    <w:rsid w:val="00931BF7"/>
    <w:rsid w:val="00982699"/>
    <w:rsid w:val="00A06127"/>
    <w:rsid w:val="00A36064"/>
    <w:rsid w:val="00A81BE5"/>
    <w:rsid w:val="00AA203A"/>
    <w:rsid w:val="00AC457E"/>
    <w:rsid w:val="00B549AF"/>
    <w:rsid w:val="00B564B8"/>
    <w:rsid w:val="00B637DF"/>
    <w:rsid w:val="00B8293A"/>
    <w:rsid w:val="00BA3172"/>
    <w:rsid w:val="00C35735"/>
    <w:rsid w:val="00C40D00"/>
    <w:rsid w:val="00C52BD2"/>
    <w:rsid w:val="00C702FC"/>
    <w:rsid w:val="00C90F73"/>
    <w:rsid w:val="00CC144F"/>
    <w:rsid w:val="00D44CF1"/>
    <w:rsid w:val="00D910FB"/>
    <w:rsid w:val="00E62264"/>
    <w:rsid w:val="00EA3C13"/>
    <w:rsid w:val="00EA4A83"/>
    <w:rsid w:val="00EE71D7"/>
    <w:rsid w:val="00FB2412"/>
    <w:rsid w:val="00FB57F4"/>
    <w:rsid w:val="00FE6F8C"/>
    <w:rsid w:val="00FE7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E7AE4"/>
  <w15:chartTrackingRefBased/>
  <w15:docId w15:val="{0C3F7A77-13BF-45DE-BBBF-9380E4B2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4B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4B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4B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4B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4B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4B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4B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4B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4B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4B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4B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4B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4B70"/>
    <w:rPr>
      <w:rFonts w:cstheme="majorBidi"/>
      <w:color w:val="0F4761" w:themeColor="accent1" w:themeShade="BF"/>
      <w:sz w:val="28"/>
      <w:szCs w:val="28"/>
    </w:rPr>
  </w:style>
  <w:style w:type="character" w:customStyle="1" w:styleId="50">
    <w:name w:val="标题 5 字符"/>
    <w:basedOn w:val="a0"/>
    <w:link w:val="5"/>
    <w:uiPriority w:val="9"/>
    <w:semiHidden/>
    <w:rsid w:val="00904B70"/>
    <w:rPr>
      <w:rFonts w:cstheme="majorBidi"/>
      <w:color w:val="0F4761" w:themeColor="accent1" w:themeShade="BF"/>
      <w:sz w:val="24"/>
    </w:rPr>
  </w:style>
  <w:style w:type="character" w:customStyle="1" w:styleId="60">
    <w:name w:val="标题 6 字符"/>
    <w:basedOn w:val="a0"/>
    <w:link w:val="6"/>
    <w:uiPriority w:val="9"/>
    <w:semiHidden/>
    <w:rsid w:val="00904B70"/>
    <w:rPr>
      <w:rFonts w:cstheme="majorBidi"/>
      <w:b/>
      <w:bCs/>
      <w:color w:val="0F4761" w:themeColor="accent1" w:themeShade="BF"/>
    </w:rPr>
  </w:style>
  <w:style w:type="character" w:customStyle="1" w:styleId="70">
    <w:name w:val="标题 7 字符"/>
    <w:basedOn w:val="a0"/>
    <w:link w:val="7"/>
    <w:uiPriority w:val="9"/>
    <w:semiHidden/>
    <w:rsid w:val="00904B70"/>
    <w:rPr>
      <w:rFonts w:cstheme="majorBidi"/>
      <w:b/>
      <w:bCs/>
      <w:color w:val="595959" w:themeColor="text1" w:themeTint="A6"/>
    </w:rPr>
  </w:style>
  <w:style w:type="character" w:customStyle="1" w:styleId="80">
    <w:name w:val="标题 8 字符"/>
    <w:basedOn w:val="a0"/>
    <w:link w:val="8"/>
    <w:uiPriority w:val="9"/>
    <w:semiHidden/>
    <w:rsid w:val="00904B70"/>
    <w:rPr>
      <w:rFonts w:cstheme="majorBidi"/>
      <w:color w:val="595959" w:themeColor="text1" w:themeTint="A6"/>
    </w:rPr>
  </w:style>
  <w:style w:type="character" w:customStyle="1" w:styleId="90">
    <w:name w:val="标题 9 字符"/>
    <w:basedOn w:val="a0"/>
    <w:link w:val="9"/>
    <w:uiPriority w:val="9"/>
    <w:semiHidden/>
    <w:rsid w:val="00904B70"/>
    <w:rPr>
      <w:rFonts w:eastAsiaTheme="majorEastAsia" w:cstheme="majorBidi"/>
      <w:color w:val="595959" w:themeColor="text1" w:themeTint="A6"/>
    </w:rPr>
  </w:style>
  <w:style w:type="paragraph" w:styleId="a3">
    <w:name w:val="Title"/>
    <w:basedOn w:val="a"/>
    <w:next w:val="a"/>
    <w:link w:val="a4"/>
    <w:uiPriority w:val="10"/>
    <w:qFormat/>
    <w:rsid w:val="00904B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4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4B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4B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4B70"/>
    <w:pPr>
      <w:spacing w:before="160"/>
      <w:jc w:val="center"/>
    </w:pPr>
    <w:rPr>
      <w:i/>
      <w:iCs/>
      <w:color w:val="404040" w:themeColor="text1" w:themeTint="BF"/>
    </w:rPr>
  </w:style>
  <w:style w:type="character" w:customStyle="1" w:styleId="a8">
    <w:name w:val="引用 字符"/>
    <w:basedOn w:val="a0"/>
    <w:link w:val="a7"/>
    <w:uiPriority w:val="29"/>
    <w:rsid w:val="00904B70"/>
    <w:rPr>
      <w:i/>
      <w:iCs/>
      <w:color w:val="404040" w:themeColor="text1" w:themeTint="BF"/>
    </w:rPr>
  </w:style>
  <w:style w:type="paragraph" w:styleId="a9">
    <w:name w:val="List Paragraph"/>
    <w:basedOn w:val="a"/>
    <w:uiPriority w:val="34"/>
    <w:qFormat/>
    <w:rsid w:val="00904B70"/>
    <w:pPr>
      <w:ind w:left="720"/>
      <w:contextualSpacing/>
    </w:pPr>
  </w:style>
  <w:style w:type="character" w:styleId="aa">
    <w:name w:val="Intense Emphasis"/>
    <w:basedOn w:val="a0"/>
    <w:uiPriority w:val="21"/>
    <w:qFormat/>
    <w:rsid w:val="00904B70"/>
    <w:rPr>
      <w:i/>
      <w:iCs/>
      <w:color w:val="0F4761" w:themeColor="accent1" w:themeShade="BF"/>
    </w:rPr>
  </w:style>
  <w:style w:type="paragraph" w:styleId="ab">
    <w:name w:val="Intense Quote"/>
    <w:basedOn w:val="a"/>
    <w:next w:val="a"/>
    <w:link w:val="ac"/>
    <w:uiPriority w:val="30"/>
    <w:qFormat/>
    <w:rsid w:val="00904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4B70"/>
    <w:rPr>
      <w:i/>
      <w:iCs/>
      <w:color w:val="0F4761" w:themeColor="accent1" w:themeShade="BF"/>
    </w:rPr>
  </w:style>
  <w:style w:type="character" w:styleId="ad">
    <w:name w:val="Intense Reference"/>
    <w:basedOn w:val="a0"/>
    <w:uiPriority w:val="32"/>
    <w:qFormat/>
    <w:rsid w:val="00904B70"/>
    <w:rPr>
      <w:b/>
      <w:bCs/>
      <w:smallCaps/>
      <w:color w:val="0F4761" w:themeColor="accent1" w:themeShade="BF"/>
      <w:spacing w:val="5"/>
    </w:rPr>
  </w:style>
  <w:style w:type="paragraph" w:styleId="ae">
    <w:name w:val="header"/>
    <w:basedOn w:val="a"/>
    <w:link w:val="af"/>
    <w:uiPriority w:val="99"/>
    <w:unhideWhenUsed/>
    <w:rsid w:val="00FE7B1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7B1C"/>
    <w:rPr>
      <w:sz w:val="18"/>
      <w:szCs w:val="18"/>
    </w:rPr>
  </w:style>
  <w:style w:type="paragraph" w:styleId="af0">
    <w:name w:val="footer"/>
    <w:basedOn w:val="a"/>
    <w:link w:val="af1"/>
    <w:uiPriority w:val="99"/>
    <w:unhideWhenUsed/>
    <w:rsid w:val="00FE7B1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7B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15</Pages>
  <Words>3587</Words>
  <Characters>23428</Characters>
  <Application>Microsoft Office Word</Application>
  <DocSecurity>0</DocSecurity>
  <Lines>377</Lines>
  <Paragraphs>58</Paragraphs>
  <ScaleCrop>false</ScaleCrop>
  <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嘏 吴</dc:creator>
  <cp:keywords/>
  <dc:description/>
  <cp:lastModifiedBy>嘏 吴</cp:lastModifiedBy>
  <cp:revision>55</cp:revision>
  <dcterms:created xsi:type="dcterms:W3CDTF">2026-03-28T07:17:00Z</dcterms:created>
  <dcterms:modified xsi:type="dcterms:W3CDTF">2026-03-29T18:56:00Z</dcterms:modified>
</cp:coreProperties>
</file>