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rFonts w:ascii="Arial" w:cs="Arial" w:eastAsia="Arial" w:hAnsi="Arial"/>
          <w:b/>
          <w:bCs/>
          <w:color w:val="1B4F72"/>
          <w:sz w:val="72"/>
          <w:szCs w:val="72"/>
        </w:rPr>
        <w:t xml:space="preserve">KAIZEN</w:t>
      </w:r>
    </w:p>
    <w:p>
      <w:pPr>
        <w:spacing w:after="60"/>
        <w:jc w:val="center"/>
      </w:pPr>
      <w:r>
        <w:rPr>
          <w:rFonts w:ascii="Arial" w:cs="Arial" w:eastAsia="Arial" w:hAnsi="Arial"/>
          <w:b/>
          <w:bCs/>
          <w:color w:val="154360"/>
          <w:sz w:val="36"/>
          <w:szCs w:val="36"/>
        </w:rPr>
        <w:t xml:space="preserve">EXPERIMENTATION PLATFORM</w:t>
      </w:r>
    </w:p>
    <w:p>
      <w:pPr>
        <w:spacing w:after="200"/>
      </w:pPr>
    </w:p>
    <w:p>
      <w:pPr>
        <w:pBdr>
          <w:bottom w:val="single" w:color="2E86C1" w:sz="4" w:space="1"/>
        </w:pBdr>
        <w:jc w:val="center"/>
      </w:pPr>
    </w:p>
    <w:p>
      <w:pPr>
        <w:spacing w:after="200"/>
      </w:pPr>
    </w:p>
    <w:p>
      <w:pPr>
        <w:spacing w:after="80"/>
        <w:jc w:val="center"/>
      </w:pPr>
      <w:r>
        <w:rPr>
          <w:rFonts w:ascii="Arial" w:cs="Arial" w:eastAsia="Arial" w:hAnsi="Arial"/>
          <w:color w:val="333333"/>
          <w:sz w:val="32"/>
          <w:szCs w:val="32"/>
        </w:rPr>
        <w:t xml:space="preserve">User Guide &amp; Operations Manual</w:t>
      </w:r>
    </w:p>
    <w:p>
      <w:pPr>
        <w:spacing w:after="60"/>
        <w:jc w:val="center"/>
      </w:pPr>
      <w:r>
        <w:rPr>
          <w:rFonts w:ascii="Arial" w:cs="Arial" w:eastAsia="Arial" w:hAnsi="Arial"/>
          <w:i/>
          <w:iCs/>
          <w:color w:val="666666"/>
          <w:sz w:val="22"/>
          <w:szCs w:val="22"/>
        </w:rPr>
        <w:t xml:space="preserve">SVOD-Native Architecture for Streaming Platforms</w:t>
      </w:r>
    </w:p>
    <w:p>
      <w:pPr>
        <w:spacing w:after="600"/>
      </w:pPr>
    </w:p>
    <w:p>
      <w:pPr>
        <w:spacing w:after="80"/>
        <w:jc w:val="center"/>
      </w:pPr>
      <w:r>
        <w:rPr>
          <w:rFonts w:ascii="Arial" w:cs="Arial" w:eastAsia="Arial" w:hAnsi="Arial"/>
          <w:color w:val="666666"/>
          <w:sz w:val="22"/>
          <w:szCs w:val="22"/>
        </w:rPr>
        <w:t xml:space="preserve">Version 5.1  —  March 2026</w:t>
      </w:r>
    </w:p>
    <w:p>
      <w:pPr>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4F7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1. Introduction</w:t>
      </w:r>
    </w:p>
    <w:p>
      <w:pPr>
        <w:spacing w:after="120"/>
      </w:pPr>
      <w:r>
        <w:t xml:space="preserve">Kaizen is a purpose-built experimentation platform designed for SVOD streaming platforms. Unlike general-purpose experimentation tools, Kaizen treats streaming-specific concerns as first-class architectural primitives: interleaving experiments for ranking sensitivity, surrogate metrics for churn prediction, novelty effect detection, content catalog interference analysis, subscriber lifecycle segmentation, session-level randomization, playback quality experimentation, and content cold-start bandits.</w:t>
      </w:r>
    </w:p>
    <w:p>
      <w:pPr>
        <w:spacing w:after="120"/>
      </w:pPr>
      <w:r>
        <w:t xml:space="preserve">This guide covers everything you need to know to design, launch, monitor, and conclude experiments on the platform.</w:t>
      </w:r>
    </w:p>
    <w:p>
      <w:pPr>
        <w:pStyle w:val="Heading2"/>
      </w:pPr>
      <w:r>
        <w:t xml:space="preserve">1.1 Who This Guide Is For</w:t>
      </w:r>
    </w:p>
    <w:p>
      <w:pPr>
        <w:spacing w:after="120"/>
      </w:pPr>
      <w:r>
        <w:t xml:space="preserve">This manual is intended for the following roles:</w:t>
      </w:r>
    </w:p>
    <w:p>
      <w:pPr>
        <w:pStyle w:val="ListParagraph"/>
        <w:numPr>
          <w:ilvl w:val="0"/>
          <w:numId w:val="2"/>
        </w:numPr>
        <w:spacing w:after="60"/>
      </w:pPr>
      <w:r>
        <w:rPr>
          <w:b/>
          <w:bCs/>
        </w:rPr>
        <w:t xml:space="preserve">Product Managers</w:t>
      </w:r>
      <w:r>
        <w:t xml:space="preserve"> — Creating and managing A/B tests, interpreting results, making ship decisions</w:t>
      </w:r>
    </w:p>
    <w:p>
      <w:pPr>
        <w:pStyle w:val="ListParagraph"/>
        <w:numPr>
          <w:ilvl w:val="0"/>
          <w:numId w:val="2"/>
        </w:numPr>
        <w:spacing w:after="60"/>
      </w:pPr>
      <w:r>
        <w:rPr>
          <w:b/>
          <w:bCs/>
        </w:rPr>
        <w:t xml:space="preserve">Data Scientists</w:t>
      </w:r>
      <w:r>
        <w:t xml:space="preserve"> — Configuring advanced experiments (bandits, interleaving, sequential tests), analyzing results, exporting to notebooks</w:t>
      </w:r>
    </w:p>
    <w:p>
      <w:pPr>
        <w:pStyle w:val="ListParagraph"/>
        <w:numPr>
          <w:ilvl w:val="0"/>
          <w:numId w:val="2"/>
        </w:numPr>
        <w:spacing w:after="60"/>
      </w:pPr>
      <w:r>
        <w:rPr>
          <w:b/>
          <w:bCs/>
        </w:rPr>
        <w:t xml:space="preserve">Engineers</w:t>
      </w:r>
      <w:r>
        <w:t xml:space="preserve"> — Integrating client SDKs, sending events, managing feature flags, understanding the platform architecture</w:t>
      </w:r>
    </w:p>
    <w:p>
      <w:pPr>
        <w:pStyle w:val="ListParagraph"/>
        <w:numPr>
          <w:ilvl w:val="0"/>
          <w:numId w:val="2"/>
        </w:numPr>
        <w:spacing w:after="60"/>
      </w:pPr>
      <w:r>
        <w:rPr>
          <w:b/>
          <w:bCs/>
        </w:rPr>
        <w:t xml:space="preserve">Platform Operators</w:t>
      </w:r>
      <w:r>
        <w:t xml:space="preserve"> — Monitoring system health, managing guardrails, auditing experiment activity</w:t>
      </w:r>
    </w:p>
    <w:p>
      <w:pPr>
        <w:pStyle w:val="Heading2"/>
      </w:pPr>
      <w:r>
        <w:t xml:space="preserve">1.2 Platform Architecture at a Glance</w:t>
      </w:r>
    </w:p>
    <w:p>
      <w:pPr>
        <w:spacing w:after="120"/>
      </w:pPr>
      <w:r>
        <w:t xml:space="preserve">The platform is composed of seven interconnected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Language</w:t>
            </w:r>
          </w:p>
        </w:tc>
        <w:tc>
          <w:tcPr>
            <w:tcW w:type="dxa" w:w="5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M1: Assignment Service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Rust</w:t>
            </w:r>
          </w:p>
        </w:tc>
        <w:tc>
          <w:tcPr>
            <w:tcW w:type="dxa" w:w="5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Variant allocation, interleaving list construction, bandit arm delegation</w:t>
            </w:r>
          </w:p>
        </w:tc>
      </w:tr>
      <w:tr>
        <w:tc>
          <w:tcPr>
            <w:tcW w:type="dxa" w:w="2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M2: Event Pipeline</w:t>
            </w:r>
          </w:p>
        </w:tc>
        <w:tc>
          <w:tcPr>
            <w:tcW w:type="dxa" w:w="1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Rust + Go</w:t>
            </w:r>
          </w:p>
        </w:tc>
        <w:tc>
          <w:tcPr>
            <w:tcW w:type="dxa" w:w="57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Event validation, deduplication, Kafka publishing, SQL query logging</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M3: Metric Computation Engine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Go</w:t>
            </w:r>
          </w:p>
        </w:tc>
        <w:tc>
          <w:tcPr>
            <w:tcW w:type="dxa" w:w="5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Spark SQL orchestration for per-user metrics, interleaving scores, surrogates, QoE</w:t>
            </w:r>
          </w:p>
        </w:tc>
      </w:tr>
      <w:tr>
        <w:tc>
          <w:tcPr>
            <w:tcW w:type="dxa" w:w="2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M4a: Statistical Analysis Engine</w:t>
            </w:r>
          </w:p>
        </w:tc>
        <w:tc>
          <w:tcPr>
            <w:tcW w:type="dxa" w:w="1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Rust</w:t>
            </w:r>
          </w:p>
        </w:tc>
        <w:tc>
          <w:tcPr>
            <w:tcW w:type="dxa" w:w="57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All statistical computation: frequentist, mSPRT, GST, novelty, interference</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M4b: Bandit Policy Service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Rust</w:t>
            </w:r>
          </w:p>
        </w:tc>
        <w:tc>
          <w:tcPr>
            <w:tcW w:type="dxa" w:w="5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Bandit computation: Thompson Sampling, LinUCB, cold-start. Real-time arm selection</w:t>
            </w:r>
          </w:p>
        </w:tc>
      </w:tr>
      <w:tr>
        <w:tc>
          <w:tcPr>
            <w:tcW w:type="dxa" w:w="2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M5: Experiment Management</w:t>
            </w:r>
          </w:p>
        </w:tc>
        <w:tc>
          <w:tcPr>
            <w:tcW w:type="dxa" w:w="1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Go</w:t>
            </w:r>
          </w:p>
        </w:tc>
        <w:tc>
          <w:tcPr>
            <w:tcW w:type="dxa" w:w="57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CRUD, lifecycle state machine, auto-pause guardrails, bucket reuse management</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M6: Decision Support UI</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TypeScript</w:t>
            </w:r>
          </w:p>
        </w:tc>
        <w:tc>
          <w:tcPr>
            <w:tcW w:type="dxa" w:w="5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Frontend dashboards and visualization only. No backend computation</w:t>
            </w:r>
          </w:p>
        </w:tc>
      </w:tr>
      <w:tr>
        <w:tc>
          <w:tcPr>
            <w:tcW w:type="dxa" w:w="2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M7: Feature Flag Service</w:t>
            </w:r>
          </w:p>
        </w:tc>
        <w:tc>
          <w:tcPr>
            <w:tcW w:type="dxa" w:w="1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Go</w:t>
            </w:r>
          </w:p>
        </w:tc>
        <w:tc>
          <w:tcPr>
            <w:tcW w:type="dxa" w:w="57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Progressive delivery, flag evaluation, promotion to all experiment types</w:t>
            </w:r>
          </w:p>
        </w:tc>
      </w:tr>
    </w:tbl>
    <w:p>
      <w:pPr>
        <w:pStyle w:val="Heading2"/>
      </w:pPr>
      <w:r>
        <w:t xml:space="preserve">1.3 Key Design Principles</w:t>
      </w:r>
    </w:p>
    <w:p>
      <w:pPr>
        <w:pStyle w:val="ListParagraph"/>
        <w:numPr>
          <w:ilvl w:val="0"/>
          <w:numId w:val="3"/>
        </w:numPr>
        <w:spacing w:after="60"/>
      </w:pPr>
      <w:r>
        <w:rPr>
          <w:b/>
          <w:bCs/>
        </w:rPr>
        <w:t xml:space="preserve">Crash-Only Design: </w:t>
      </w:r>
      <w:r>
        <w:t xml:space="preserve">All services recover identically on crash and on startup. There is no special shutdown logic, eliminating an entire class of bugs.</w:t>
      </w:r>
    </w:p>
    <w:p>
      <w:pPr>
        <w:pStyle w:val="ListParagraph"/>
        <w:numPr>
          <w:ilvl w:val="0"/>
          <w:numId w:val="3"/>
        </w:numPr>
        <w:spacing w:after="60"/>
      </w:pPr>
      <w:r>
        <w:rPr>
          <w:b/>
          <w:bCs/>
        </w:rPr>
        <w:t xml:space="preserve">Guardrails Default to Auto-Pause: </w:t>
      </w:r>
      <w:r>
        <w:t xml:space="preserve">When a guardrail metric breaches its threshold, the experiment is automatically paused. Continuing requires an explicit, audited override.</w:t>
      </w:r>
    </w:p>
    <w:p>
      <w:pPr>
        <w:pStyle w:val="ListParagraph"/>
        <w:numPr>
          <w:ilvl w:val="0"/>
          <w:numId w:val="3"/>
        </w:numPr>
        <w:spacing w:after="60"/>
      </w:pPr>
      <w:r>
        <w:rPr>
          <w:b/>
          <w:bCs/>
        </w:rPr>
        <w:t xml:space="preserve">SQL Transparency: </w:t>
      </w:r>
      <w:r>
        <w:t xml:space="preserve">Every metric computation exposes the exact Spark SQL that produced it. You can view, copy, and export all queries to Jupyter or Databricks notebooks.</w:t>
      </w:r>
    </w:p>
    <w:p>
      <w:pPr>
        <w:pStyle w:val="ListParagraph"/>
        <w:numPr>
          <w:ilvl w:val="0"/>
          <w:numId w:val="3"/>
        </w:numPr>
        <w:spacing w:after="60"/>
      </w:pPr>
      <w:r>
        <w:rPr>
          <w:b/>
          <w:bCs/>
        </w:rPr>
        <w:t xml:space="preserve">SVOD-Native: </w:t>
      </w:r>
      <w:r>
        <w:t xml:space="preserve">Streaming-specific capabilities (interleaving, surrogates, QoE, lifecycle segmentation) are built into the core, not bolted on.</w:t>
      </w:r>
    </w:p>
    <w:p>
      <w:r>
        <w:br w:type="page"/>
      </w:r>
    </w:p>
    <w:p>
      <w:pPr>
        <w:pStyle w:val="Heading1"/>
      </w:pPr>
      <w:r>
        <w:t xml:space="preserve">2. Experiment Types</w:t>
      </w:r>
    </w:p>
    <w:p>
      <w:pPr>
        <w:spacing w:after="120"/>
      </w:pPr>
      <w:r>
        <w:t xml:space="preserve">Kaizen supports a comprehensive set of experiment types, each tailored to specific research questions common in SVOD environments.</w:t>
      </w:r>
    </w:p>
    <w:p>
      <w:pPr>
        <w:pStyle w:val="Heading2"/>
      </w:pPr>
      <w:r>
        <w:t xml:space="preserve">2.1 A/B Tests (Standard)</w:t>
      </w:r>
    </w:p>
    <w:p>
      <w:pPr>
        <w:spacing w:after="120"/>
      </w:pPr>
      <w:r>
        <w:t xml:space="preserve">The most common experiment type. Users are assigned to control or treatment variants via deterministic MurmurHash3 bucketing. Assignment is permanent for the duration of the experiment: the same user always receives the same variant.</w:t>
      </w:r>
    </w:p>
    <w:p>
      <w:pPr>
        <w:pStyle w:val="ListParagraph"/>
        <w:numPr>
          <w:ilvl w:val="0"/>
          <w:numId w:val="4"/>
        </w:numPr>
        <w:spacing w:after="60"/>
      </w:pPr>
      <w:r>
        <w:rPr>
          <w:b/>
          <w:bCs/>
        </w:rPr>
        <w:t xml:space="preserve">Use when: </w:t>
      </w:r>
      <w:r>
        <w:t xml:space="preserve">Testing a UI change, pricing strategy, onboarding flow, or any feature where user-level randomization is appropriate.</w:t>
      </w:r>
    </w:p>
    <w:p>
      <w:pPr>
        <w:pStyle w:val="ListParagraph"/>
        <w:numPr>
          <w:ilvl w:val="0"/>
          <w:numId w:val="4"/>
        </w:numPr>
        <w:spacing w:after="60"/>
      </w:pPr>
      <w:r>
        <w:rPr>
          <w:b/>
          <w:bCs/>
        </w:rPr>
        <w:t xml:space="preserve">Assignment: </w:t>
      </w:r>
      <w:r>
        <w:t xml:space="preserve">User-level, deterministic (hash of user_id + experiment_id + salt).</w:t>
      </w:r>
    </w:p>
    <w:p>
      <w:pPr>
        <w:pStyle w:val="ListParagraph"/>
        <w:numPr>
          <w:ilvl w:val="0"/>
          <w:numId w:val="4"/>
        </w:numPr>
        <w:spacing w:after="60"/>
      </w:pPr>
      <w:r>
        <w:rPr>
          <w:b/>
          <w:bCs/>
        </w:rPr>
        <w:t xml:space="preserve">Analysis: </w:t>
      </w:r>
      <w:r>
        <w:t xml:space="preserve">Welch t-test, z-test, delta method for ratio metrics, CUPED variance reduction, Bayesian posterior computation.</w:t>
      </w:r>
    </w:p>
    <w:p>
      <w:pPr>
        <w:pStyle w:val="Heading2"/>
      </w:pPr>
      <w:r>
        <w:t xml:space="preserve">2.2 Multivariate Tests</w:t>
      </w:r>
    </w:p>
    <w:p>
      <w:pPr>
        <w:spacing w:after="120"/>
      </w:pPr>
      <w:r>
        <w:t xml:space="preserve">Tests multiple variants simultaneously (A/B/C/D and beyond). Traffic is split across all variants according to configured allocation fractions. Exactly one variant must be marked as the control. Multiple comparison corrections (Benjamini-Hochberg FDR) are applied automatically.</w:t>
      </w:r>
    </w:p>
    <w:p>
      <w:pPr>
        <w:pStyle w:val="Heading2"/>
      </w:pPr>
      <w:r>
        <w:t xml:space="preserve">2.3 Interleaving Experiments</w:t>
      </w:r>
    </w:p>
    <w:p>
      <w:pPr>
        <w:spacing w:after="120"/>
      </w:pPr>
      <w:r>
        <w:t xml:space="preserve">Interleaving is 10–100x more sensitive than traditional A/B tests for ranking comparisons. Instead of showing different ranked lists to different users, both algorithms produce candidate lists that are merged into a single interleaved list shown to each user. Engagement with individual items is credited back to the originating algorithm.</w:t>
      </w:r>
    </w:p>
    <w:p>
      <w:pPr>
        <w:pStyle w:val="ListParagraph"/>
        <w:numPr>
          <w:ilvl w:val="0"/>
          <w:numId w:val="5"/>
        </w:numPr>
        <w:spacing w:after="60"/>
      </w:pPr>
      <w:r>
        <w:rPr>
          <w:b/>
          <w:bCs/>
        </w:rPr>
        <w:t xml:space="preserve">Team Draft: </w:t>
      </w:r>
      <w:r>
        <w:t xml:space="preserve">Algorithms alternately pick items; a fair coin determines who picks first. The simplest and most commonly used method.</w:t>
      </w:r>
    </w:p>
    <w:p>
      <w:pPr>
        <w:pStyle w:val="ListParagraph"/>
        <w:numPr>
          <w:ilvl w:val="0"/>
          <w:numId w:val="5"/>
        </w:numPr>
        <w:spacing w:after="60"/>
      </w:pPr>
      <w:r>
        <w:rPr>
          <w:b/>
          <w:bCs/>
        </w:rPr>
        <w:t xml:space="preserve">Optimized Interleaving: </w:t>
      </w:r>
      <w:r>
        <w:t xml:space="preserve">Maximizes statistical sensitivity by constructing lists that minimize the probability of ties between algorithms.</w:t>
      </w:r>
    </w:p>
    <w:p>
      <w:pPr>
        <w:pStyle w:val="ListParagraph"/>
        <w:numPr>
          <w:ilvl w:val="0"/>
          <w:numId w:val="5"/>
        </w:numPr>
        <w:spacing w:after="60"/>
      </w:pPr>
      <w:r>
        <w:rPr>
          <w:b/>
          <w:bCs/>
        </w:rPr>
        <w:t xml:space="preserve">Multileave: </w:t>
      </w:r>
      <w:r>
        <w:t xml:space="preserve">Extends interleaving to three or more algorithms simultaneously for large-scale ranking tournaments.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6"/>
              <w:bottom w:val="single" w:color="148F77" w:sz="1"/>
              <w:right w:val="single" w:color="148F77" w:sz="1"/>
            </w:tcBorders>
            <w:shd w:fill="E8F8F5" w:val="clear"/>
            <w:tcMar>
              <w:top w:type="dxa" w:w="100"/>
              <w:left w:type="dxa" w:w="160"/>
              <w:bottom w:type="dxa" w:w="100"/>
              <w:right w:type="dxa" w:w="160"/>
            </w:tcMar>
          </w:tcPr>
          <w:p>
            <w:r>
              <w:rPr>
                <w:rFonts w:ascii="Arial" w:cs="Arial" w:eastAsia="Arial" w:hAnsi="Arial"/>
                <w:b/>
                <w:bCs/>
                <w:color w:val="148F77"/>
                <w:sz w:val="22"/>
                <w:szCs w:val="22"/>
              </w:rPr>
              <w:t xml:space="preserve">When to use interleaving</w:t>
            </w:r>
          </w:p>
          <w:p>
            <w:pPr>
              <w:spacing w:before="60"/>
            </w:pPr>
            <w:r>
              <w:rPr>
                <w:rFonts w:ascii="Arial" w:cs="Arial" w:eastAsia="Arial" w:hAnsi="Arial"/>
                <w:sz w:val="20"/>
                <w:szCs w:val="20"/>
              </w:rPr>
              <w:t xml:space="preserve">Interleaving is ideal for recommendation algorithm comparisons, search ranking changes, and any scenario where you are comparing the ordering of a list of items. It requires far fewer users than A/B testing to detect the same effect size.</w:t>
            </w:r>
          </w:p>
        </w:tc>
      </w:tr>
    </w:tbl>
    <w:p>
      <w:pPr>
        <w:spacing w:after="200"/>
      </w:pPr>
    </w:p>
    <w:p>
      <w:pPr>
        <w:pStyle w:val="Heading2"/>
      </w:pPr>
      <w:r>
        <w:t xml:space="preserve">2.4 Session-Level Experiments</w:t>
      </w:r>
    </w:p>
    <w:p>
      <w:pPr>
        <w:spacing w:after="120"/>
      </w:pPr>
      <w:r>
        <w:t xml:space="preserve">Some research questions are inherently about sessions, not users. For example, testing whether a different video player loading animation affects session engagement. In session-level experiments, the same user may see different variants in different sessions.</w:t>
      </w:r>
    </w:p>
    <w:p>
      <w:pPr>
        <w:spacing w:after="120"/>
      </w:pPr>
      <w:r>
        <w:t xml:space="preserve">Assignment uses </w:t>
      </w:r>
      <w:r>
        <w:rPr>
          <w:i/>
          <w:iCs/>
        </w:rPr>
        <w:t xml:space="preserve">hash(session_id + experiment_id + salt)</w:t>
      </w:r>
      <w:r>
        <w:t xml:space="preserve">. Analysis automatically applies clustered standard errors (HC1 sandwich estimator) at the user level to account for within-user correlation across sessions.</w:t>
      </w:r>
    </w:p>
    <w:p>
      <w:pPr>
        <w:pStyle w:val="Heading2"/>
      </w:pPr>
      <w:r>
        <w:t xml:space="preserve">2.5 Contextual Bandits</w:t>
      </w:r>
    </w:p>
    <w:p>
      <w:pPr>
        <w:spacing w:after="120"/>
      </w:pPr>
      <w:r>
        <w:t xml:space="preserve">Bandit experiments adaptively allocate traffic toward better-performing variants in real time, rather than waiting for a fixed-horizon test to conclude. Kaizen supports several bandit algorithms:</w:t>
      </w:r>
    </w:p>
    <w:p>
      <w:pPr>
        <w:pStyle w:val="ListParagraph"/>
        <w:numPr>
          <w:ilvl w:val="0"/>
          <w:numId w:val="6"/>
        </w:numPr>
        <w:spacing w:after="60"/>
      </w:pPr>
      <w:r>
        <w:rPr>
          <w:b/>
          <w:bCs/>
        </w:rPr>
        <w:t xml:space="preserve">Thompson Sampling: </w:t>
      </w:r>
      <w:r>
        <w:t xml:space="preserve">Beta posterior for binary rewards (e.g., click-through), Normal posterior for continuous rewards (e.g., watch time).</w:t>
      </w:r>
    </w:p>
    <w:p>
      <w:pPr>
        <w:pStyle w:val="ListParagraph"/>
        <w:numPr>
          <w:ilvl w:val="0"/>
          <w:numId w:val="6"/>
        </w:numPr>
        <w:spacing w:after="60"/>
      </w:pPr>
      <w:r>
        <w:rPr>
          <w:b/>
          <w:bCs/>
        </w:rPr>
        <w:t xml:space="preserve">Linear UCB (LinUCB): </w:t>
      </w:r>
      <w:r>
        <w:t xml:space="preserve">Contextual bandit using ridge regression with Sherman-Morrison updates. Uses user attributes and content metadata as context features.</w:t>
      </w:r>
    </w:p>
    <w:p>
      <w:pPr>
        <w:pStyle w:val="ListParagraph"/>
        <w:numPr>
          <w:ilvl w:val="0"/>
          <w:numId w:val="6"/>
        </w:numPr>
        <w:spacing w:after="60"/>
      </w:pPr>
      <w:r>
        <w:rPr>
          <w:b/>
          <w:bCs/>
        </w:rPr>
        <w:t xml:space="preserve">Neural Contextual Bandit: </w:t>
      </w:r>
      <w:r>
        <w:t xml:space="preserve">2-layer MLP with dropout for complex, nonlinear reward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6"/>
              <w:bottom w:val="single" w:color="E67E22" w:sz="1"/>
              <w:right w:val="single" w:color="E67E22" w:sz="1"/>
            </w:tcBorders>
            <w:shd w:fill="FEF9E7" w:val="clear"/>
            <w:tcMar>
              <w:top w:type="dxa" w:w="100"/>
              <w:left w:type="dxa" w:w="160"/>
              <w:bottom w:type="dxa" w:w="100"/>
              <w:right w:type="dxa" w:w="160"/>
            </w:tcMar>
          </w:tcPr>
          <w:p>
            <w:r>
              <w:rPr>
                <w:rFonts w:ascii="Arial" w:cs="Arial" w:eastAsia="Arial" w:hAnsi="Arial"/>
                <w:b/>
                <w:bCs/>
                <w:color w:val="E67E22"/>
                <w:sz w:val="22"/>
                <w:szCs w:val="22"/>
              </w:rPr>
              <w:t xml:space="preserve">Bandit Safety Guardrails</w:t>
            </w:r>
          </w:p>
          <w:p>
            <w:pPr>
              <w:spacing w:before="60"/>
            </w:pPr>
            <w:r>
              <w:rPr>
                <w:rFonts w:ascii="Arial" w:cs="Arial" w:eastAsia="Arial" w:hAnsi="Arial"/>
                <w:sz w:val="20"/>
                <w:szCs w:val="20"/>
              </w:rPr>
              <w:t xml:space="preserve">All bandit experiments enforce a minimum exploration floor (default 10% per arm), a warmup period with uniform random assignment (default 1,000 observations), and automatic guardrail monitoring with auto-pause integration. If a bandit arm degrades a guardrail metric, the experiment is paused and rolled back to the previous policy snapshot.</w:t>
            </w:r>
          </w:p>
        </w:tc>
      </w:tr>
    </w:tbl>
    <w:p>
      <w:pPr>
        <w:spacing w:after="200"/>
      </w:pPr>
    </w:p>
    <w:p>
      <w:pPr>
        <w:pStyle w:val="Heading2"/>
      </w:pPr>
      <w:r>
        <w:t xml:space="preserve">2.6 Content Cold-Start Bandits</w:t>
      </w:r>
    </w:p>
    <w:p>
      <w:pPr>
        <w:spacing w:after="120"/>
      </w:pPr>
      <w:r>
        <w:t xml:space="preserve">For new content launches where no viewing data exists. Arms are recommendation placements, context is content metadata combined with user attributes, and the reward signal is play-through rate multiplied by completion rate. The bandit runs for a configurable duration (default 7 days), then exports learned audience affinity scores to the recommendation system.</w:t>
      </w:r>
    </w:p>
    <w:p>
      <w:pPr>
        <w:pStyle w:val="Heading2"/>
      </w:pPr>
      <w:r>
        <w:t xml:space="preserve">2.7 Cumulative Holdout Groups</w:t>
      </w:r>
    </w:p>
    <w:p>
      <w:pPr>
        <w:spacing w:after="120"/>
      </w:pPr>
      <w:r>
        <w:t xml:space="preserve">Measures the total algorithmic lift over time by maintaining a persistent holdout group that receives a frozen version of the algorithm while the treatment group receives all ongoing improvements. Cumulative holdouts persist indefinitely with no auto-conclusion; periodic reporting runs on a configurable schedule.</w:t>
      </w:r>
    </w:p>
    <w:p>
      <w:pPr>
        <w:pStyle w:val="Heading2"/>
      </w:pPr>
      <w:r>
        <w:t xml:space="preserve">2.8 Playback QoE Experiments</w:t>
      </w:r>
    </w:p>
    <w:p>
      <w:pPr>
        <w:spacing w:after="120"/>
      </w:pPr>
      <w:r>
        <w:t xml:space="preserve">Dedicated experiment type for ABR (adaptive bitrate), CDN, and encoding experiments. Uses specialized quality-of-experience metrics: time to first frame (TTFF), rebuffer rate, rebuffer ratio, average bitrate, resolution stability index, and startup failure rate. Includes QoE-engagement correlation analysis.</w:t>
      </w:r>
    </w:p>
    <w:p>
      <w:r>
        <w:br w:type="page"/>
      </w:r>
    </w:p>
    <w:p>
      <w:pPr>
        <w:pStyle w:val="Heading1"/>
      </w:pPr>
      <w:r>
        <w:t xml:space="preserve">3. Experiment Lifecycle</w:t>
      </w:r>
    </w:p>
    <w:p>
      <w:pPr>
        <w:spacing w:after="120"/>
      </w:pPr>
      <w:r>
        <w:t xml:space="preserve">Every experiment follows a well-defined state machine. Understanding these states and their transitions is essential for operating experiments effectively.</w:t>
      </w:r>
    </w:p>
    <w:p>
      <w:pPr>
        <w:pStyle w:val="Heading2"/>
      </w:pPr>
      <w:r>
        <w:t xml:space="preserve">3.1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6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DRAFT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Stable</w:t>
            </w:r>
          </w:p>
        </w:tc>
        <w:tc>
          <w:tcPr>
            <w:tcW w:type="dxa" w:w="6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Experiment created but not yet running. Configuration can be freely edited.</w:t>
            </w:r>
          </w:p>
        </w:tc>
      </w:tr>
      <w:tr>
        <w:tc>
          <w:tcPr>
            <w:tcW w:type="dxa" w:w="1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STARTING</w:t>
            </w:r>
          </w:p>
        </w:tc>
        <w:tc>
          <w:tcPr>
            <w:tcW w:type="dxa" w:w="1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Transitional</w:t>
            </w:r>
          </w:p>
        </w:tc>
        <w:tc>
          <w:tcPr>
            <w:tcW w:type="dxa" w:w="65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Validation in progress: checking config, warming bandit policy, confirming metric availability, verifying lifecycle segment power.</w:t>
            </w:r>
          </w:p>
        </w:tc>
      </w:tr>
      <w:t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RUNNING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Stable</w:t>
            </w:r>
          </w:p>
        </w:tc>
        <w:tc>
          <w:tcPr>
            <w:tcW w:type="dxa" w:w="6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Live and collecting data. Users are being assigned variants and events are being ingested.</w:t>
            </w:r>
          </w:p>
        </w:tc>
      </w:tr>
      <w:tr>
        <w:tc>
          <w:tcPr>
            <w:tcW w:type="dxa" w:w="1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PAUSED</w:t>
            </w:r>
          </w:p>
        </w:tc>
        <w:tc>
          <w:tcPr>
            <w:tcW w:type="dxa" w:w="1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Stable</w:t>
            </w:r>
          </w:p>
        </w:tc>
        <w:tc>
          <w:tcPr>
            <w:tcW w:type="dxa" w:w="65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Traffic allocation set to 0%. Triggered automatically by guardrail breach or manually by the owner.</w:t>
            </w:r>
          </w:p>
        </w:tc>
      </w:tr>
      <w:t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CONCLUDING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Transitional</w:t>
            </w:r>
          </w:p>
        </w:tc>
        <w:tc>
          <w:tcPr>
            <w:tcW w:type="dxa" w:w="6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Final analysis in progress: computing metrics, running statistical tests, generating surrogate projections, snapshotting bandit policy.</w:t>
            </w:r>
          </w:p>
        </w:tc>
      </w:tr>
      <w:tr>
        <w:tc>
          <w:tcPr>
            <w:tcW w:type="dxa" w:w="1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CONCLUDED</w:t>
            </w:r>
          </w:p>
        </w:tc>
        <w:tc>
          <w:tcPr>
            <w:tcW w:type="dxa" w:w="1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Stable</w:t>
            </w:r>
          </w:p>
        </w:tc>
        <w:tc>
          <w:tcPr>
            <w:tcW w:type="dxa" w:w="65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Analysis complete. Results available. Bucket allocation entering cooldown period.</w:t>
            </w:r>
          </w:p>
        </w:tc>
      </w:tr>
      <w:t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ARCHIVED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Stable</w:t>
            </w:r>
          </w:p>
        </w:tc>
        <w:tc>
          <w:tcPr>
            <w:tcW w:type="dxa" w:w="6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Experiment removed from active views. Data retained for historical analysis.</w:t>
            </w:r>
          </w:p>
        </w:tc>
      </w:tr>
    </w:tbl>
    <w:p>
      <w:pPr>
        <w:spacing w:after="200"/>
      </w:pPr>
    </w:p>
    <w:p>
      <w:pPr>
        <w:pStyle w:val="Heading2"/>
      </w:pPr>
      <w:r>
        <w:t xml:space="preserve">3.2 State Transitions</w:t>
      </w:r>
    </w:p>
    <w:p>
      <w:pPr>
        <w:spacing w:after="120"/>
      </w:pPr>
      <w:r>
        <w:t xml:space="preserve">The platform enforces strict state transition rules. Invalid transitions (such as attempting to start an already-running experiment) return a FAILED_PRECONDITION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600"/>
        <w:gridCol w:w="3960"/>
      </w:tblGrid>
      <w:tr>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From</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To</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w:t>
            </w:r>
          </w:p>
        </w:tc>
        <w:tc>
          <w:tcPr>
            <w:tcW w:type="dxa" w:w="3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Happens</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DRAFT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STARTING</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StartExperiment API</w:t>
            </w:r>
          </w:p>
        </w:tc>
        <w:tc>
          <w:tcPr>
            <w:tcW w:type="dxa" w:w="3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Config validated, bandit warmed, metrics confirmed, segment power checked</w:t>
            </w:r>
          </w:p>
        </w:tc>
      </w:tr>
      <w:tr>
        <w:tc>
          <w:tcPr>
            <w:tcW w:type="dxa" w:w="1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STARTING</w:t>
            </w:r>
          </w:p>
        </w:tc>
        <w:tc>
          <w:tcPr>
            <w:tcW w:type="dxa" w:w="1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RUNNING</w:t>
            </w:r>
          </w:p>
        </w:tc>
        <w:tc>
          <w:tcPr>
            <w:tcW w:type="dxa" w:w="2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Automatic</w:t>
            </w:r>
          </w:p>
        </w:tc>
        <w:tc>
          <w:tcPr>
            <w:tcW w:type="dxa" w:w="39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Validation passes; users begin receiving assignments</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RUNNING</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PAUSED</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Guardrail breach or manual</w:t>
            </w:r>
          </w:p>
        </w:tc>
        <w:tc>
          <w:tcPr>
            <w:tcW w:type="dxa" w:w="3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Traffic allocation set to 0%; owner alerted via Slack + PagerDuty</w:t>
            </w:r>
          </w:p>
        </w:tc>
      </w:tr>
      <w:tr>
        <w:tc>
          <w:tcPr>
            <w:tcW w:type="dxa" w:w="1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PAUSED</w:t>
            </w:r>
          </w:p>
        </w:tc>
        <w:tc>
          <w:tcPr>
            <w:tcW w:type="dxa" w:w="1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RUNNING</w:t>
            </w:r>
          </w:p>
        </w:tc>
        <w:tc>
          <w:tcPr>
            <w:tcW w:type="dxa" w:w="2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ResumeExperiment API</w:t>
            </w:r>
          </w:p>
        </w:tc>
        <w:tc>
          <w:tcPr>
            <w:tcW w:type="dxa" w:w="39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Traffic allocation restored; owner must acknowledge guardrail override</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RUNNING</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CONCLUDING</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ConcludeExperiment API</w:t>
            </w:r>
          </w:p>
        </w:tc>
        <w:tc>
          <w:tcPr>
            <w:tcW w:type="dxa" w:w="3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Final analysis triggered in M4a; UI shows progress indicator</w:t>
            </w:r>
          </w:p>
        </w:tc>
      </w:tr>
      <w:tr>
        <w:tc>
          <w:tcPr>
            <w:tcW w:type="dxa" w:w="1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CONCLUDING</w:t>
            </w:r>
          </w:p>
        </w:tc>
        <w:tc>
          <w:tcPr>
            <w:tcW w:type="dxa" w:w="1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CONCLUDED</w:t>
            </w:r>
          </w:p>
        </w:tc>
        <w:tc>
          <w:tcPr>
            <w:tcW w:type="dxa" w:w="2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Automatic</w:t>
            </w:r>
          </w:p>
        </w:tc>
        <w:tc>
          <w:tcPr>
            <w:tcW w:type="dxa" w:w="39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Analysis complete; results available; bucket cooldown begins</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CONCLUDED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ARCHIVED</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ArchiveExperiment API</w:t>
            </w:r>
          </w:p>
        </w:tc>
        <w:tc>
          <w:tcPr>
            <w:tcW w:type="dxa" w:w="3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Removed from active views; data retained</w:t>
            </w:r>
          </w:p>
        </w:tc>
      </w:tr>
    </w:tbl>
    <w:p>
      <w:pPr>
        <w:spacing w:after="200"/>
      </w:pPr>
    </w:p>
    <w:p>
      <w:pPr>
        <w:pStyle w:val="Heading2"/>
      </w:pPr>
      <w:r>
        <w:t xml:space="preserve">3.3 STARTING Validation Checklist</w:t>
      </w:r>
    </w:p>
    <w:p>
      <w:pPr>
        <w:spacing w:after="120"/>
      </w:pPr>
      <w:r>
        <w:t xml:space="preserve">When you start an experiment, the platform validates the following before allowing it to transition to RUNNING:</w:t>
      </w:r>
    </w:p>
    <w:p>
      <w:pPr>
        <w:pStyle w:val="ListParagraph"/>
        <w:numPr>
          <w:ilvl w:val="0"/>
          <w:numId w:val="7"/>
        </w:numPr>
        <w:spacing w:after="60"/>
      </w:pPr>
      <w:r>
        <w:rPr>
          <w:b/>
          <w:bCs/>
        </w:rPr>
        <w:t xml:space="preserve">Config Valid: </w:t>
      </w:r>
      <w:r>
        <w:t xml:space="preserve">Traffic allocation fractions sum to 1.0, exactly one variant is marked as control, all required type-specific configuration is present.</w:t>
      </w:r>
    </w:p>
    <w:p>
      <w:pPr>
        <w:pStyle w:val="ListParagraph"/>
        <w:numPr>
          <w:ilvl w:val="0"/>
          <w:numId w:val="7"/>
        </w:numPr>
        <w:spacing w:after="60"/>
      </w:pPr>
      <w:r>
        <w:rPr>
          <w:b/>
          <w:bCs/>
        </w:rPr>
        <w:t xml:space="preserve">Metrics Available: </w:t>
      </w:r>
      <w:r>
        <w:t xml:space="preserve">All referenced primary and guardrail metric definitions exist in the system.</w:t>
      </w:r>
    </w:p>
    <w:p>
      <w:pPr>
        <w:pStyle w:val="ListParagraph"/>
        <w:numPr>
          <w:ilvl w:val="0"/>
          <w:numId w:val="7"/>
        </w:numPr>
        <w:spacing w:after="60"/>
      </w:pPr>
      <w:r>
        <w:rPr>
          <w:b/>
          <w:bCs/>
        </w:rPr>
        <w:t xml:space="preserve">Layer Capacity: </w:t>
      </w:r>
      <w:r>
        <w:t xml:space="preserve">The target layer has sufficient unallocated bucket space for the requested traffic percentage.</w:t>
      </w:r>
    </w:p>
    <w:p>
      <w:pPr>
        <w:pStyle w:val="ListParagraph"/>
        <w:numPr>
          <w:ilvl w:val="0"/>
          <w:numId w:val="7"/>
        </w:numPr>
        <w:spacing w:after="60"/>
      </w:pPr>
      <w:r>
        <w:rPr>
          <w:b/>
          <w:bCs/>
        </w:rPr>
        <w:t xml:space="preserve">Bandit Warming: </w:t>
      </w:r>
      <w:r>
        <w:t xml:space="preserve">(Bandit experiments only) The policy service has initialized posterior parameters and is ready to serve arm selections.</w:t>
      </w:r>
    </w:p>
    <w:p>
      <w:pPr>
        <w:pStyle w:val="ListParagraph"/>
        <w:numPr>
          <w:ilvl w:val="0"/>
          <w:numId w:val="7"/>
        </w:numPr>
        <w:spacing w:after="60"/>
      </w:pPr>
      <w:r>
        <w:rPr>
          <w:b/>
          <w:bCs/>
        </w:rPr>
        <w:t xml:space="preserve">Segment Power: </w:t>
      </w:r>
      <w:r>
        <w:t xml:space="preserve">(Lifecycle-stratified experiments only) Each segment has at least 1,000 projected users; underpowered segments produce a warning.</w:t>
      </w:r>
    </w:p>
    <w:p>
      <w:pPr>
        <w:pStyle w:val="Heading2"/>
      </w:pPr>
      <w:r>
        <w:t xml:space="preserve">3.4 CONCLUDING Process</w:t>
      </w:r>
    </w:p>
    <w:p>
      <w:pPr>
        <w:spacing w:after="120"/>
      </w:pPr>
      <w:r>
        <w:t xml:space="preserve">When you conclude an experiment, the following steps execute in sequence. The UI shows a progress indicator, and result panels remain disabled until all steps complete:</w:t>
      </w:r>
    </w:p>
    <w:p>
      <w:pPr>
        <w:pStyle w:val="ListParagraph"/>
        <w:numPr>
          <w:ilvl w:val="0"/>
          <w:numId w:val="8"/>
        </w:numPr>
        <w:spacing w:after="60"/>
      </w:pPr>
      <w:r>
        <w:t xml:space="preserve">Final metric computation runs in M3 (Spark SQL), capturing the most recent data.</w:t>
      </w:r>
    </w:p>
    <w:p>
      <w:pPr>
        <w:pStyle w:val="ListParagraph"/>
        <w:numPr>
          <w:ilvl w:val="0"/>
          <w:numId w:val="8"/>
        </w:numPr>
        <w:spacing w:after="60"/>
      </w:pPr>
      <w:r>
        <w:t xml:space="preserve">Statistical analysis runs in M4a (Rust): t-tests, confidence intervals, sequential test boundaries, novelty detection, interference analysis.</w:t>
      </w:r>
    </w:p>
    <w:p>
      <w:pPr>
        <w:pStyle w:val="ListParagraph"/>
        <w:numPr>
          <w:ilvl w:val="0"/>
          <w:numId w:val="8"/>
        </w:numPr>
        <w:spacing w:after="60"/>
      </w:pPr>
      <w:r>
        <w:t xml:space="preserve">Surrogate projections are computed for any configured surrogate metrics.</w:t>
      </w:r>
    </w:p>
    <w:p>
      <w:pPr>
        <w:pStyle w:val="ListParagraph"/>
        <w:numPr>
          <w:ilvl w:val="0"/>
          <w:numId w:val="8"/>
        </w:numPr>
        <w:spacing w:after="60"/>
      </w:pPr>
      <w:r>
        <w:t xml:space="preserve">For bandit experiments, the final policy state is snapshotted and exported.</w:t>
      </w:r>
    </w:p>
    <w:p>
      <w:pPr>
        <w:pStyle w:val="ListParagraph"/>
        <w:numPr>
          <w:ilvl w:val="0"/>
          <w:numId w:val="8"/>
        </w:numPr>
        <w:spacing w:after="60"/>
      </w:pPr>
      <w:r>
        <w:t xml:space="preserve">IPW (inverse propensity weighting) estimates are generated for adaptive-assignment experiments.</w:t>
      </w:r>
    </w:p>
    <w:p>
      <w:pPr>
        <w:pStyle w:val="ListParagraph"/>
        <w:numPr>
          <w:ilvl w:val="0"/>
          <w:numId w:val="8"/>
        </w:numPr>
        <w:spacing w:after="60"/>
      </w:pPr>
      <w:r>
        <w:t xml:space="preserve">Results are written to PostgreSQL and become available in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6"/>
              <w:bottom w:val="single" w:color="E67E22" w:sz="1"/>
              <w:right w:val="single" w:color="E67E22" w:sz="1"/>
            </w:tcBorders>
            <w:shd w:fill="FEF9E7" w:val="clear"/>
            <w:tcMar>
              <w:top w:type="dxa" w:w="100"/>
              <w:left w:type="dxa" w:w="160"/>
              <w:bottom w:type="dxa" w:w="100"/>
              <w:right w:type="dxa" w:w="160"/>
            </w:tcMar>
          </w:tcPr>
          <w:p>
            <w:r>
              <w:rPr>
                <w:rFonts w:ascii="Arial" w:cs="Arial" w:eastAsia="Arial" w:hAnsi="Arial"/>
                <w:b/>
                <w:bCs/>
                <w:color w:val="E67E22"/>
                <w:sz w:val="22"/>
                <w:szCs w:val="22"/>
              </w:rPr>
              <w:t xml:space="preserve">Important</w:t>
            </w:r>
          </w:p>
          <w:p>
            <w:pPr>
              <w:spacing w:before="60"/>
            </w:pPr>
            <w:r>
              <w:rPr>
                <w:rFonts w:ascii="Arial" w:cs="Arial" w:eastAsia="Arial" w:hAnsi="Arial"/>
                <w:sz w:val="20"/>
                <w:szCs w:val="20"/>
              </w:rPr>
              <w:t xml:space="preserve">Do not attempt to read results during the CONCLUDING state. The UI will display a progress bar and disable result panels until the state transitions to CONCLUDED. This prevents misinterpretation of incomplete analysis.</w:t>
            </w:r>
          </w:p>
        </w:tc>
      </w:tr>
    </w:tbl>
    <w:p>
      <w:pPr>
        <w:spacing w:after="200"/>
      </w:pPr>
    </w:p>
    <w:p>
      <w:r>
        <w:br w:type="page"/>
      </w:r>
    </w:p>
    <w:p>
      <w:pPr>
        <w:pStyle w:val="Heading1"/>
      </w:pPr>
      <w:r>
        <w:t xml:space="preserve">4. Creating an Experiment</w:t>
      </w:r>
    </w:p>
    <w:p>
      <w:pPr>
        <w:pStyle w:val="Heading2"/>
      </w:pPr>
      <w:r>
        <w:t xml:space="preserve">4.1 Using the UI</w:t>
      </w:r>
    </w:p>
    <w:p>
      <w:pPr>
        <w:spacing w:after="120"/>
      </w:pPr>
      <w:r>
        <w:t xml:space="preserve">The Decision Support UI provides an experiment creation wizard that guides you through the configuration process. Navigate to the experiment list page and select the Create Experiment action.</w:t>
      </w:r>
    </w:p>
    <w:p>
      <w:pPr>
        <w:pStyle w:val="ListParagraph"/>
        <w:numPr>
          <w:ilvl w:val="0"/>
          <w:numId w:val="9"/>
        </w:numPr>
        <w:spacing w:after="60"/>
      </w:pPr>
      <w:r>
        <w:rPr>
          <w:b/>
          <w:bCs/>
        </w:rPr>
        <w:t xml:space="preserve">Basic Information: </w:t>
      </w:r>
      <w:r>
        <w:t xml:space="preserve">Enter the experiment name, select the owner, and provide a description of the hypothesis being tested.</w:t>
      </w:r>
    </w:p>
    <w:p>
      <w:pPr>
        <w:pStyle w:val="ListParagraph"/>
        <w:numPr>
          <w:ilvl w:val="0"/>
          <w:numId w:val="9"/>
        </w:numPr>
        <w:spacing w:after="60"/>
      </w:pPr>
      <w:r>
        <w:rPr>
          <w:b/>
          <w:bCs/>
        </w:rPr>
        <w:t xml:space="preserve">Experiment Type: </w:t>
      </w:r>
      <w:r>
        <w:t xml:space="preserve">Choose from A/B, Multivariate, Interleaving, Session-Level, Contextual Bandit, Cold-Start Bandit, Cumulative Holdout, or Playback QoE.</w:t>
      </w:r>
    </w:p>
    <w:p>
      <w:pPr>
        <w:pStyle w:val="ListParagraph"/>
        <w:numPr>
          <w:ilvl w:val="0"/>
          <w:numId w:val="9"/>
        </w:numPr>
        <w:spacing w:after="60"/>
      </w:pPr>
      <w:r>
        <w:rPr>
          <w:b/>
          <w:bCs/>
        </w:rPr>
        <w:t xml:space="preserve">Layer Assignment: </w:t>
      </w:r>
      <w:r>
        <w:t xml:space="preserve">Select the traffic layer. The UI shows available capacity and warns if the layer is nearing exhaustion.</w:t>
      </w:r>
    </w:p>
    <w:p>
      <w:pPr>
        <w:pStyle w:val="ListParagraph"/>
        <w:numPr>
          <w:ilvl w:val="0"/>
          <w:numId w:val="9"/>
        </w:numPr>
        <w:spacing w:after="60"/>
      </w:pPr>
      <w:r>
        <w:rPr>
          <w:b/>
          <w:bCs/>
        </w:rPr>
        <w:t xml:space="preserve">Variants: </w:t>
      </w:r>
      <w:r>
        <w:t xml:space="preserve">Define control and treatment variants with traffic allocation percentages. Attach JSON payloads describing the feature configuration for each variant.</w:t>
      </w:r>
    </w:p>
    <w:p>
      <w:pPr>
        <w:pStyle w:val="ListParagraph"/>
        <w:numPr>
          <w:ilvl w:val="0"/>
          <w:numId w:val="9"/>
        </w:numPr>
        <w:spacing w:after="60"/>
      </w:pPr>
      <w:r>
        <w:rPr>
          <w:b/>
          <w:bCs/>
        </w:rPr>
        <w:t xml:space="preserve">Metrics: </w:t>
      </w:r>
      <w:r>
        <w:t xml:space="preserve">Select the primary metric, secondary metrics, and guardrail metrics from the metric library.</w:t>
      </w:r>
    </w:p>
    <w:p>
      <w:pPr>
        <w:pStyle w:val="ListParagraph"/>
        <w:numPr>
          <w:ilvl w:val="0"/>
          <w:numId w:val="9"/>
        </w:numPr>
        <w:spacing w:after="60"/>
      </w:pPr>
      <w:r>
        <w:rPr>
          <w:b/>
          <w:bCs/>
        </w:rPr>
        <w:t xml:space="preserve">Targeting Rules: </w:t>
      </w:r>
      <w:r>
        <w:t xml:space="preserve">(Optional) Configure audience targeting using predicate trees: platform, country, subscription tier, lifecycle segment, or custom user attributes.</w:t>
      </w:r>
    </w:p>
    <w:p>
      <w:pPr>
        <w:pStyle w:val="ListParagraph"/>
        <w:numPr>
          <w:ilvl w:val="0"/>
          <w:numId w:val="9"/>
        </w:numPr>
        <w:spacing w:after="60"/>
      </w:pPr>
      <w:r>
        <w:rPr>
          <w:b/>
          <w:bCs/>
        </w:rPr>
        <w:t xml:space="preserve">Sequential Testing: </w:t>
      </w:r>
      <w:r>
        <w:t xml:space="preserve">(Optional) Enable mSPRT (always-valid, peek anytime) or Group Sequential Testing (O’Brien-Fleming or Pocock spending functions with planned analysis looks).</w:t>
      </w:r>
    </w:p>
    <w:p>
      <w:pPr>
        <w:pStyle w:val="ListParagraph"/>
        <w:numPr>
          <w:ilvl w:val="0"/>
          <w:numId w:val="9"/>
        </w:numPr>
        <w:spacing w:after="60"/>
      </w:pPr>
      <w:r>
        <w:rPr>
          <w:b/>
          <w:bCs/>
        </w:rPr>
        <w:t xml:space="preserve">Guardrail Configuration: </w:t>
      </w:r>
      <w:r>
        <w:t xml:space="preserve">Configure thresholds for guardrail metrics. Default action is AUTO_PAUSE; override to ALERT_ONLY requires explicit acknowledgement.</w:t>
      </w:r>
    </w:p>
    <w:p>
      <w:pPr>
        <w:pStyle w:val="Heading2"/>
      </w:pPr>
      <w:r>
        <w:t xml:space="preserve">4.2 Using the API</w:t>
      </w:r>
    </w:p>
    <w:p>
      <w:pPr>
        <w:spacing w:after="120"/>
      </w:pPr>
      <w:r>
        <w:t xml:space="preserve">Experiments can also be created programmatically via the Management Service gRPC API. All ConnectRPC endpoints are available over both gRPC and HTTP/JSON.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6"/>
              <w:bottom w:val="single" w:color="148F77" w:sz="1"/>
              <w:right w:val="single" w:color="148F77" w:sz="1"/>
            </w:tcBorders>
            <w:shd w:fill="E8F8F5" w:val="clear"/>
            <w:tcMar>
              <w:top w:type="dxa" w:w="100"/>
              <w:left w:type="dxa" w:w="160"/>
              <w:bottom w:type="dxa" w:w="100"/>
              <w:right w:type="dxa" w:w="160"/>
            </w:tcMar>
          </w:tcPr>
          <w:p>
            <w:r>
              <w:rPr>
                <w:rFonts w:ascii="Arial" w:cs="Arial" w:eastAsia="Arial" w:hAnsi="Arial"/>
                <w:b/>
                <w:bCs/>
                <w:color w:val="148F77"/>
                <w:sz w:val="22"/>
                <w:szCs w:val="22"/>
              </w:rPr>
              <w:t xml:space="preserve">API Example</w:t>
            </w:r>
          </w:p>
          <w:p>
            <w:pPr>
              <w:spacing w:before="60"/>
            </w:pPr>
            <w:r>
              <w:rPr>
                <w:rFonts w:ascii="Arial" w:cs="Arial" w:eastAsia="Arial" w:hAnsi="Arial"/>
                <w:sz w:val="20"/>
                <w:szCs w:val="20"/>
              </w:rPr>
              <w:t xml:space="preserve">grpcurl -plaintext -d '{"experiment": {"name": "Homepage Hero Test", "owner_email": "pm@example.com", "type": "AB", "layer_id": "layer-default", "primary_metric_id": "play_start_rate"}}' localhost:50062 experimentation.management.v1.ExperimentManagementService/CreateExperiment</w:t>
            </w:r>
          </w:p>
        </w:tc>
      </w:tr>
    </w:tbl>
    <w:p>
      <w:pPr>
        <w:spacing w:after="200"/>
      </w:pPr>
    </w:p>
    <w:p>
      <w:pPr>
        <w:pStyle w:val="Heading2"/>
      </w:pPr>
      <w:r>
        <w:t xml:space="preserve">4.3 Type-Specific Configuration</w:t>
      </w:r>
    </w:p>
    <w:p>
      <w:pPr>
        <w:spacing w:after="120"/>
      </w:pPr>
      <w:r>
        <w:t xml:space="preserve">Each experiment type requires specific additional configuration at creation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Experiment Type</w:t>
            </w:r>
          </w:p>
        </w:tc>
        <w:tc>
          <w:tcPr>
            <w:tcW w:type="dxa" w:w="6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 Configuration</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A/B / Multivariate</w:t>
            </w:r>
          </w:p>
        </w:tc>
        <w:tc>
          <w:tcPr>
            <w:tcW w:type="dxa" w:w="6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Variants with traffic fractions summing to 1.0; one control variant</w:t>
            </w:r>
          </w:p>
        </w:tc>
      </w:tr>
      <w:tr>
        <w:tc>
          <w:tcPr>
            <w:tcW w:type="dxa" w:w="2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Interleaving</w:t>
            </w:r>
          </w:p>
        </w:tc>
        <w:tc>
          <w:tcPr>
            <w:tcW w:type="dxa" w:w="69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InterleavingConfig with method (Team Draft / Optimized / Multileave) and at least 2 algorithm IDs</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Session-Level</w:t>
            </w:r>
          </w:p>
        </w:tc>
        <w:tc>
          <w:tcPr>
            <w:tcW w:type="dxa" w:w="6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SessionConfig with session_id_attribute field specified</w:t>
            </w:r>
          </w:p>
        </w:tc>
      </w:tr>
      <w:tr>
        <w:tc>
          <w:tcPr>
            <w:tcW w:type="dxa" w:w="2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Contextual Bandit</w:t>
            </w:r>
          </w:p>
        </w:tc>
        <w:tc>
          <w:tcPr>
            <w:tcW w:type="dxa" w:w="69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BanditConfig with algorithm type, context feature keys (validated against Redis feature store), reward metric</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Cold-Start Bandit</w:t>
            </w:r>
          </w:p>
        </w:tc>
        <w:tc>
          <w:tcPr>
            <w:tcW w:type="dxa" w:w="6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Content metadata schema, target content IDs, exploration duration (default 7 days)</w:t>
            </w:r>
          </w:p>
        </w:tc>
      </w:tr>
      <w:tr>
        <w:tc>
          <w:tcPr>
            <w:tcW w:type="dxa" w:w="2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Cumulative Holdout</w:t>
            </w:r>
          </w:p>
        </w:tc>
        <w:tc>
          <w:tcPr>
            <w:tcW w:type="dxa" w:w="69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Holdout percentage, reporting schedule, baseline algorithm version to freeze</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Playback QoE</w:t>
            </w:r>
          </w:p>
        </w:tc>
        <w:tc>
          <w:tcPr>
            <w:tcW w:type="dxa" w:w="6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QoE metric selection (TTFF, rebuffer, bitrate, etc.), CDN/ABR variant specifications</w:t>
            </w:r>
          </w:p>
        </w:tc>
      </w:tr>
    </w:tbl>
    <w:p>
      <w:r>
        <w:br w:type="page"/>
      </w:r>
    </w:p>
    <w:p>
      <w:pPr>
        <w:pStyle w:val="Heading1"/>
      </w:pPr>
      <w:r>
        <w:t xml:space="preserve">5. Metrics</w:t>
      </w:r>
    </w:p>
    <w:p>
      <w:pPr>
        <w:pStyle w:val="Heading2"/>
      </w:pPr>
      <w:r>
        <w:t xml:space="preserve">5.1 Metric Types</w:t>
      </w:r>
    </w:p>
    <w:p>
      <w:pPr>
        <w:spacing w:after="120"/>
      </w:pPr>
      <w:r>
        <w:t xml:space="preserve">The platform supports a comprehensive metric library organized by domain:</w:t>
      </w:r>
    </w:p>
    <w:p>
      <w:pPr>
        <w:pStyle w:val="Heading3"/>
      </w:pPr>
      <w:r>
        <w:t xml:space="preserve">Standard SVOD Metrics</w:t>
      </w:r>
    </w:p>
    <w:p>
      <w:pPr>
        <w:pStyle w:val="ListParagraph"/>
        <w:numPr>
          <w:ilvl w:val="0"/>
          <w:numId w:val="10"/>
        </w:numPr>
        <w:spacing w:after="60"/>
      </w:pPr>
      <w:r>
        <w:rPr>
          <w:b/>
          <w:bCs/>
        </w:rPr>
        <w:t xml:space="preserve">Engagement: </w:t>
      </w:r>
      <w:r>
        <w:t xml:space="preserve">Play start rate, completion rate, hours watched, titles explored, average session duration, sessions per week</w:t>
      </w:r>
    </w:p>
    <w:p>
      <w:pPr>
        <w:pStyle w:val="ListParagraph"/>
        <w:numPr>
          <w:ilvl w:val="0"/>
          <w:numId w:val="10"/>
        </w:numPr>
        <w:spacing w:after="60"/>
      </w:pPr>
      <w:r>
        <w:rPr>
          <w:b/>
          <w:bCs/>
        </w:rPr>
        <w:t xml:space="preserve">Conversion: </w:t>
      </w:r>
      <w:r>
        <w:t xml:space="preserve">Trial-to-paid conversion, upsell rate, feature adoption rate</w:t>
      </w:r>
    </w:p>
    <w:p>
      <w:pPr>
        <w:pStyle w:val="ListParagraph"/>
        <w:numPr>
          <w:ilvl w:val="0"/>
          <w:numId w:val="10"/>
        </w:numPr>
        <w:spacing w:after="60"/>
      </w:pPr>
      <w:r>
        <w:rPr>
          <w:b/>
          <w:bCs/>
        </w:rPr>
        <w:t xml:space="preserve">Retention / Revenue: </w:t>
      </w:r>
      <w:r>
        <w:t xml:space="preserve">Day-7 / Day-30 / Day-90 retention, monthly churn rate, average revenue per user (ARPU), lifetime value (LTV)</w:t>
      </w:r>
    </w:p>
    <w:p>
      <w:pPr>
        <w:pStyle w:val="Heading3"/>
      </w:pPr>
      <w:r>
        <w:t xml:space="preserve">QoE Metrics (Playback Quality)</w:t>
      </w:r>
    </w:p>
    <w:p>
      <w:pPr>
        <w:pStyle w:val="ListParagraph"/>
        <w:numPr>
          <w:ilvl w:val="0"/>
          <w:numId w:val="11"/>
        </w:numPr>
        <w:spacing w:after="60"/>
      </w:pPr>
      <w:r>
        <w:t xml:space="preserve">Time to first frame (TTFF)</w:t>
      </w:r>
    </w:p>
    <w:p>
      <w:pPr>
        <w:pStyle w:val="ListParagraph"/>
        <w:numPr>
          <w:ilvl w:val="0"/>
          <w:numId w:val="11"/>
        </w:numPr>
        <w:spacing w:after="60"/>
      </w:pPr>
      <w:r>
        <w:t xml:space="preserve">Rebuffer rate (events per hour) and rebuffer ratio (time spent buffering / total playback time)</w:t>
      </w:r>
    </w:p>
    <w:p>
      <w:pPr>
        <w:pStyle w:val="ListParagraph"/>
        <w:numPr>
          <w:ilvl w:val="0"/>
          <w:numId w:val="11"/>
        </w:numPr>
        <w:spacing w:after="60"/>
      </w:pPr>
      <w:r>
        <w:t xml:space="preserve">Average bitrate and resolution stability index</w:t>
      </w:r>
    </w:p>
    <w:p>
      <w:pPr>
        <w:pStyle w:val="ListParagraph"/>
        <w:numPr>
          <w:ilvl w:val="0"/>
          <w:numId w:val="11"/>
        </w:numPr>
        <w:spacing w:after="60"/>
      </w:pPr>
      <w:r>
        <w:t xml:space="preserve">Startup failure rate</w:t>
      </w:r>
    </w:p>
    <w:p>
      <w:pPr>
        <w:pStyle w:val="ListParagraph"/>
        <w:numPr>
          <w:ilvl w:val="0"/>
          <w:numId w:val="11"/>
        </w:numPr>
        <w:spacing w:after="60"/>
      </w:pPr>
      <w:r>
        <w:t xml:space="preserve">Playback duration</w:t>
      </w:r>
    </w:p>
    <w:p>
      <w:pPr>
        <w:pStyle w:val="Heading3"/>
      </w:pPr>
      <w:r>
        <w:t xml:space="preserve">Surrogate Metrics</w:t>
      </w:r>
    </w:p>
    <w:p>
      <w:pPr>
        <w:spacing w:after="120"/>
      </w:pPr>
      <w:r>
        <w:t xml:space="preserve">Churn takes 30–90 days to observe. Surrogate metrics use a pre-trained model to predict long-term outcomes from short-term behavior. The platform displays observed short-term effects alongside surrogate-projected long-term effects with a confidence badge:</w:t>
      </w:r>
    </w:p>
    <w:p>
      <w:pPr>
        <w:pStyle w:val="ListParagraph"/>
        <w:numPr>
          <w:ilvl w:val="0"/>
          <w:numId w:val="12"/>
        </w:numPr>
        <w:spacing w:after="60"/>
      </w:pPr>
      <w:r>
        <w:rPr>
          <w:color w:val="27AE60"/>
        </w:rPr>
        <w:t xml:space="preserve">Green</w:t>
      </w:r>
      <w:r>
        <w:t xml:space="preserve">: R-squared &gt; 0.7 — High confidence in surrogate projection</w:t>
      </w:r>
    </w:p>
    <w:p>
      <w:pPr>
        <w:pStyle w:val="ListParagraph"/>
        <w:numPr>
          <w:ilvl w:val="0"/>
          <w:numId w:val="12"/>
        </w:numPr>
        <w:spacing w:after="60"/>
      </w:pPr>
      <w:r>
        <w:rPr>
          <w:color w:val="F39C12"/>
        </w:rPr>
        <w:t xml:space="preserve">Yellow</w:t>
      </w:r>
      <w:r>
        <w:t xml:space="preserve">: R-squared 0.5–0.7 — Moderate confidence; interpret with caution</w:t>
      </w:r>
    </w:p>
    <w:p>
      <w:pPr>
        <w:pStyle w:val="ListParagraph"/>
        <w:numPr>
          <w:ilvl w:val="0"/>
          <w:numId w:val="12"/>
        </w:numPr>
        <w:spacing w:after="60"/>
      </w:pPr>
      <w:r>
        <w:rPr>
          <w:color w:val="C0392B"/>
        </w:rPr>
        <w:t xml:space="preserve">Red</w:t>
      </w:r>
      <w:r>
        <w:t xml:space="preserve">: R-squared &lt; 0.5 — Low confidence; prefer direct metric observation</w:t>
      </w:r>
    </w:p>
    <w:p>
      <w:pPr>
        <w:pStyle w:val="Heading2"/>
      </w:pPr>
      <w:r>
        <w:t xml:space="preserve">5.2 Guardrail Metrics</w:t>
      </w:r>
    </w:p>
    <w:p>
      <w:pPr>
        <w:spacing w:after="120"/>
      </w:pPr>
      <w:r>
        <w:t xml:space="preserve">Guardrail metrics protect the business from harmful experiment effects. When a guardrail metric breaches its threshold, the default behavior is AUTO_PAUSE: the experiment traffic allocation is set to 0%, the experiment owner receives an immediate alert via Slack and PagerDuty with the breaching metric name, current value, and threshold.</w:t>
      </w:r>
    </w:p>
    <w:p>
      <w:pPr>
        <w:spacing w:after="120"/>
      </w:pPr>
      <w:r>
        <w:t xml:space="preserve">To continue an experiment despite a guardrail breach, the owner must explicitly set the guardrail action to ALERT_ONLY. This is an audited, non-default action recorded in the experiment audit trail.</w:t>
      </w:r>
    </w:p>
    <w:p>
      <w:pPr>
        <w:pStyle w:val="Heading2"/>
      </w:pPr>
      <w:r>
        <w:t xml:space="preserve">5.3 Variance Reduction (CUPED)</w:t>
      </w:r>
    </w:p>
    <w:p>
      <w:pPr>
        <w:spacing w:after="120"/>
      </w:pPr>
      <w:r>
        <w:t xml:space="preserve">CUPED (Controlled-experiment Using Pre-Experiment Data) reduces the variance of treatment effect estimates by regressing out pre-experiment covariate information. This typically reduces required sample sizes by 30–50% for metrics with strong pre-period correlation. CUPED is applied automatically when pre-experiment data is available.</w:t>
      </w:r>
    </w:p>
    <w:p>
      <w:r>
        <w:br w:type="page"/>
      </w:r>
    </w:p>
    <w:p>
      <w:pPr>
        <w:pStyle w:val="Heading1"/>
      </w:pPr>
      <w:r>
        <w:t xml:space="preserve">6. Statistical Analysis Methods</w:t>
      </w:r>
    </w:p>
    <w:p>
      <w:pPr>
        <w:pStyle w:val="Heading2"/>
      </w:pPr>
      <w:r>
        <w:t xml:space="preserve">6.1 Fixed-Horizon Tests</w:t>
      </w:r>
    </w:p>
    <w:p>
      <w:pPr>
        <w:spacing w:after="120"/>
      </w:pPr>
      <w:r>
        <w:t xml:space="preserve">The default analysis approach. Appropriate when you plan to analyze the experiment once at the end of a predetermined period.</w:t>
      </w:r>
    </w:p>
    <w:p>
      <w:pPr>
        <w:pStyle w:val="ListParagraph"/>
        <w:numPr>
          <w:ilvl w:val="0"/>
          <w:numId w:val="2"/>
        </w:numPr>
        <w:spacing w:after="60"/>
      </w:pPr>
      <w:r>
        <w:rPr>
          <w:b/>
          <w:bCs/>
        </w:rPr>
        <w:t xml:space="preserve">Welch t-test: </w:t>
      </w:r>
      <w:r>
        <w:t xml:space="preserve">For continuous metrics (e.g., watch time, revenue). Does not assume equal variances.</w:t>
      </w:r>
    </w:p>
    <w:p>
      <w:pPr>
        <w:pStyle w:val="ListParagraph"/>
        <w:numPr>
          <w:ilvl w:val="0"/>
          <w:numId w:val="2"/>
        </w:numPr>
        <w:spacing w:after="60"/>
      </w:pPr>
      <w:r>
        <w:rPr>
          <w:b/>
          <w:bCs/>
        </w:rPr>
        <w:t xml:space="preserve">Z-test: </w:t>
      </w:r>
      <w:r>
        <w:t xml:space="preserve">For proportion metrics (e.g., conversion rate, play start rate).</w:t>
      </w:r>
    </w:p>
    <w:p>
      <w:pPr>
        <w:pStyle w:val="ListParagraph"/>
        <w:numPr>
          <w:ilvl w:val="0"/>
          <w:numId w:val="2"/>
        </w:numPr>
        <w:spacing w:after="60"/>
      </w:pPr>
      <w:r>
        <w:rPr>
          <w:b/>
          <w:bCs/>
        </w:rPr>
        <w:t xml:space="preserve">Delta method: </w:t>
      </w:r>
      <w:r>
        <w:t xml:space="preserve">For ratio metrics (e.g., revenue per session) where the denominator is random.</w:t>
      </w:r>
    </w:p>
    <w:p>
      <w:pPr>
        <w:pStyle w:val="ListParagraph"/>
        <w:numPr>
          <w:ilvl w:val="0"/>
          <w:numId w:val="2"/>
        </w:numPr>
        <w:spacing w:after="60"/>
      </w:pPr>
      <w:r>
        <w:rPr>
          <w:b/>
          <w:bCs/>
        </w:rPr>
        <w:t xml:space="preserve">Stratified bootstrap: </w:t>
      </w:r>
      <w:r>
        <w:t xml:space="preserve">10,000 resamples with lifecycle segment stratification for non-parametric inference.</w:t>
      </w:r>
    </w:p>
    <w:p>
      <w:pPr>
        <w:pStyle w:val="Heading2"/>
      </w:pPr>
      <w:r>
        <w:t xml:space="preserve">6.2 Sequential Testing</w:t>
      </w:r>
    </w:p>
    <w:p>
      <w:pPr>
        <w:spacing w:after="120"/>
      </w:pPr>
      <w:r>
        <w:t xml:space="preserve">Sequential testing allows you to analyze experiment results at multiple points in time while controlling the overall false positive rate.</w:t>
      </w:r>
    </w:p>
    <w:p>
      <w:pPr>
        <w:pStyle w:val="Heading3"/>
      </w:pPr>
      <w:r>
        <w:t xml:space="preserve">mSPRT (Mixture Sequential Probability Ratio Test)</w:t>
      </w:r>
    </w:p>
    <w:p>
      <w:pPr>
        <w:spacing w:after="120"/>
      </w:pPr>
      <w:r>
        <w:t xml:space="preserve">Always-valid confidence sequences that let you peek at results at any time, with any frequency, without inflating the Type I error rate. The UI displays a confidence sequence plot with always-valid boundaries. Recommended for experiments where the analysis schedule is not predetermined.</w:t>
      </w:r>
    </w:p>
    <w:p>
      <w:pPr>
        <w:pStyle w:val="Heading3"/>
      </w:pPr>
      <w:r>
        <w:t xml:space="preserve">Group Sequential Testing (GST)</w:t>
      </w:r>
    </w:p>
    <w:p>
      <w:pPr>
        <w:spacing w:after="120"/>
      </w:pPr>
      <w:r>
        <w:t xml:space="preserve">Pre-planned analysis looks with alpha spending functions that allocate the total error budget across looks. The platform supports two spending functions:</w:t>
      </w:r>
    </w:p>
    <w:p>
      <w:pPr>
        <w:pStyle w:val="ListParagraph"/>
        <w:numPr>
          <w:ilvl w:val="0"/>
          <w:numId w:val="3"/>
        </w:numPr>
        <w:spacing w:after="60"/>
      </w:pPr>
      <w:r>
        <w:rPr>
          <w:b/>
          <w:bCs/>
        </w:rPr>
        <w:t xml:space="preserve">O’Brien-Fleming: </w:t>
      </w:r>
      <w:r>
        <w:t xml:space="preserve">Conservative early, aggressive late. Harder to stop early, but preserves nearly all power at the final look. Best for experiments where early stopping is unlikely.</w:t>
      </w:r>
    </w:p>
    <w:p>
      <w:pPr>
        <w:pStyle w:val="ListParagraph"/>
        <w:numPr>
          <w:ilvl w:val="0"/>
          <w:numId w:val="3"/>
        </w:numPr>
        <w:spacing w:after="60"/>
      </w:pPr>
      <w:r>
        <w:rPr>
          <w:b/>
          <w:bCs/>
        </w:rPr>
        <w:t xml:space="preserve">Pocock: </w:t>
      </w:r>
      <w:r>
        <w:t xml:space="preserve">Equal spending at each look. Easier to stop early, but slightly less power at the final look. Best when early stopping is a realistic possibility.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6"/>
              <w:bottom w:val="single" w:color="148F77" w:sz="1"/>
              <w:right w:val="single" w:color="148F77" w:sz="1"/>
            </w:tcBorders>
            <w:shd w:fill="E8F8F5" w:val="clear"/>
            <w:tcMar>
              <w:top w:type="dxa" w:w="100"/>
              <w:left w:type="dxa" w:w="160"/>
              <w:bottom w:type="dxa" w:w="100"/>
              <w:right w:type="dxa" w:w="160"/>
            </w:tcMar>
          </w:tcPr>
          <w:p>
            <w:r>
              <w:rPr>
                <w:rFonts w:ascii="Arial" w:cs="Arial" w:eastAsia="Arial" w:hAnsi="Arial"/>
                <w:b/>
                <w:bCs/>
                <w:color w:val="148F77"/>
                <w:sz w:val="22"/>
                <w:szCs w:val="22"/>
              </w:rPr>
              <w:t xml:space="preserve">Choosing Between mSPRT and GST</w:t>
            </w:r>
          </w:p>
          <w:p>
            <w:pPr>
              <w:spacing w:before="60"/>
            </w:pPr>
            <w:r>
              <w:rPr>
                <w:rFonts w:ascii="Arial" w:cs="Arial" w:eastAsia="Arial" w:hAnsi="Arial"/>
                <w:sz w:val="20"/>
                <w:szCs w:val="20"/>
              </w:rPr>
              <w:t xml:space="preserve">Use mSPRT when you want flexibility to check results whenever convenient. Use GST when your organization follows a formal review cadence (e.g., weekly experiment review meetings) with a known number of planned analysis looks.</w:t>
            </w:r>
          </w:p>
        </w:tc>
      </w:tr>
    </w:tbl>
    <w:p>
      <w:pPr>
        <w:spacing w:after="200"/>
      </w:pPr>
    </w:p>
    <w:p>
      <w:pPr>
        <w:pStyle w:val="Heading2"/>
      </w:pPr>
      <w:r>
        <w:t xml:space="preserve">6.3 SVOD-Specific Analyses</w:t>
      </w:r>
    </w:p>
    <w:p>
      <w:pPr>
        <w:pStyle w:val="Heading3"/>
      </w:pPr>
      <w:r>
        <w:t xml:space="preserve">Novelty Effect Detection</w:t>
      </w:r>
    </w:p>
    <w:p>
      <w:pPr>
        <w:spacing w:after="120"/>
      </w:pPr>
      <w:r>
        <w:t xml:space="preserve">Recommendation changes often show transient engagement spikes that fade as users habituate. The analysis engine fits an exponential decay model to the daily treatment effect time series and reports both the current effect and the projected steady-state effect. A stability indicator shows whether the effect has converged. This prevents shipping features based on fading lift.</w:t>
      </w:r>
    </w:p>
    <w:p>
      <w:pPr>
        <w:pStyle w:val="Heading3"/>
      </w:pPr>
      <w:r>
        <w:t xml:space="preserve">Content Interference Detection</w:t>
      </w:r>
    </w:p>
    <w:p>
      <w:pPr>
        <w:spacing w:after="120"/>
      </w:pPr>
      <w:r>
        <w:t xml:space="preserve">In a finite content catalog, treatment changes can cause spillover effects: if treatment users watch more of title X, control users see less of it in their recommendations. The platform detects this by computing Jensen-Shannon divergence between per-variant consumption distributions, Jaccard similarity of top-100 titles, and Gini coefficient comparison of watch-time distribution. An alert banner appears when significant interference is detected.</w:t>
      </w:r>
    </w:p>
    <w:p>
      <w:pPr>
        <w:pStyle w:val="Heading3"/>
      </w:pPr>
      <w:r>
        <w:t xml:space="preserve">Lifecycle Segment Analysis</w:t>
      </w:r>
    </w:p>
    <w:p>
      <w:pPr>
        <w:spacing w:after="120"/>
      </w:pPr>
      <w:r>
        <w:t xml:space="preserve">Trial, new, established, and at-risk subscribers often respond differently to the same treatment. The platform automatically computes treatment effects per lifecycle segment, displays a forest plot with segment-level significance indicators, and runs Cochran’s Q test for heterogeneity across segments. A power status indicator warns when individual segments are underpowered.</w:t>
      </w:r>
    </w:p>
    <w:p>
      <w:pPr>
        <w:pStyle w:val="Heading3"/>
      </w:pPr>
      <w:r>
        <w:t xml:space="preserve">Interleaving Analysis</w:t>
      </w:r>
    </w:p>
    <w:p>
      <w:pPr>
        <w:spacing w:after="120"/>
      </w:pPr>
      <w:r>
        <w:t xml:space="preserve">For interleaving experiments, the platform computes win rates, per-position heatmaps, Bradley-Terry strength estimates, and a sign test for statistical significance. The dashboard shows live win rates updated within 60 seconds of new exposure data.</w:t>
      </w:r>
    </w:p>
    <w:p>
      <w:pPr>
        <w:pStyle w:val="Heading2"/>
      </w:pPr>
      <w:r>
        <w:t xml:space="preserve">6.4 Bandit Analysis</w:t>
      </w:r>
    </w:p>
    <w:p>
      <w:pPr>
        <w:spacing w:after="120"/>
      </w:pPr>
      <w:r>
        <w:t xml:space="preserve">Bandit experiments require special statistical treatment because assignment probabilities change over time. The platform uses inverse propensity weighting (IPW) to produce unbiased treatment effect estimates from adaptive assignment data. Assignment probabilities are logged by M4b to the exposures Kafka topic for downstream causal analysis.</w:t>
      </w:r>
    </w:p>
    <w:p>
      <w:pPr>
        <w:pStyle w:val="Heading2"/>
      </w:pPr>
      <w:r>
        <w:t xml:space="preserve">6.5 SRM Detection</w:t>
      </w:r>
    </w:p>
    <w:p>
      <w:pPr>
        <w:spacing w:after="120"/>
      </w:pPr>
      <w:r>
        <w:t xml:space="preserve">Sample Ratio Mismatch (SRM) detection runs automatically on every experiment. A chi-squared test compares observed versus expected sample sizes. Experiments with p &lt; 0.001 are flagged with an SRM warning, indicating a potential data quality or assignment bug. Results from experiments with SRM should be interpreted with extreme caution.</w:t>
      </w:r>
    </w:p>
    <w:p>
      <w:r>
        <w:br w:type="page"/>
      </w:r>
    </w:p>
    <w:p>
      <w:pPr>
        <w:pStyle w:val="Heading1"/>
      </w:pPr>
      <w:r>
        <w:t xml:space="preserve">7. The Decision Support UI</w:t>
      </w:r>
    </w:p>
    <w:p>
      <w:pPr>
        <w:spacing w:after="120"/>
      </w:pPr>
      <w:r>
        <w:t xml:space="preserve">The Decision Support UI (Module 6) is the primary interface for managing experiments and interpreting results. It is a read-only frontend that renders data computed by the backend services. No statistical computation occurs in the browser.</w:t>
      </w:r>
    </w:p>
    <w:p>
      <w:pPr>
        <w:pStyle w:val="Heading2"/>
      </w:pPr>
      <w:r>
        <w:t xml:space="preserve">7.1 Experiment List</w:t>
      </w:r>
    </w:p>
    <w:p>
      <w:pPr>
        <w:spacing w:after="120"/>
      </w:pPr>
      <w:r>
        <w:t xml:space="preserve">The home page shows all active experiments in a table with columns for name, type, state, owner, and creation date. Experiments are color-coded by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Indicator</w:t>
            </w:r>
          </w:p>
        </w:tc>
        <w:tc>
          <w:tcPr>
            <w:tcW w:type="dxa" w:w="5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Meaning</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DRAFT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Gray badge</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Not yet running; configuration in progress</w:t>
            </w:r>
          </w:p>
        </w:tc>
      </w:tr>
      <w:tr>
        <w:tc>
          <w:tcPr>
            <w:tcW w:type="dxa" w:w="1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STARTING</w:t>
            </w:r>
          </w:p>
        </w:tc>
        <w:tc>
          <w:tcPr>
            <w:tcW w:type="dxa" w:w="2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Yellow pulsing badge</w:t>
            </w:r>
          </w:p>
        </w:tc>
        <w:tc>
          <w:tcPr>
            <w:tcW w:type="dxa" w:w="53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Validation in progress; do not expect data yet</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RUNNING</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Green badge</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Live and collecting data</w:t>
            </w:r>
          </w:p>
        </w:tc>
      </w:tr>
      <w:tr>
        <w:tc>
          <w:tcPr>
            <w:tcW w:type="dxa" w:w="1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PAUSED</w:t>
            </w:r>
          </w:p>
        </w:tc>
        <w:tc>
          <w:tcPr>
            <w:tcW w:type="dxa" w:w="2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Red badge</w:t>
            </w:r>
          </w:p>
        </w:tc>
        <w:tc>
          <w:tcPr>
            <w:tcW w:type="dxa" w:w="53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Traffic halted; guardrail breach or manual pause</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CONCLUDING</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Orange pulsing badge</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Final analysis in progress; results not yet available</w:t>
            </w:r>
          </w:p>
        </w:tc>
      </w:tr>
      <w:tr>
        <w:tc>
          <w:tcPr>
            <w:tcW w:type="dxa" w:w="1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CONCLUDED</w:t>
            </w:r>
          </w:p>
        </w:tc>
        <w:tc>
          <w:tcPr>
            <w:tcW w:type="dxa" w:w="2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Blue badge</w:t>
            </w:r>
          </w:p>
        </w:tc>
        <w:tc>
          <w:tcPr>
            <w:tcW w:type="dxa" w:w="53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Results available; ready for review</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ARCHIVED</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Gray italic text</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Historical; removed from active views</w:t>
            </w:r>
          </w:p>
        </w:tc>
      </w:tr>
    </w:tbl>
    <w:p>
      <w:pPr>
        <w:spacing w:after="200"/>
      </w:pPr>
    </w:p>
    <w:p>
      <w:pPr>
        <w:pStyle w:val="Heading2"/>
      </w:pPr>
      <w:r>
        <w:t xml:space="preserve">7.2 Experiment Detail Page</w:t>
      </w:r>
    </w:p>
    <w:p>
      <w:pPr>
        <w:spacing w:after="120"/>
      </w:pPr>
      <w:r>
        <w:t xml:space="preserve">Clicking an experiment opens the detail page, which includes the variant table (name, traffic fraction, control badge, payload preview as JSON), configuration summary, metric results panels, and state indicators.</w:t>
      </w:r>
    </w:p>
    <w:p>
      <w:pPr>
        <w:pStyle w:val="Heading2"/>
      </w:pPr>
      <w:r>
        <w:t xml:space="preserve">7.3 SQL Transparency</w:t>
      </w:r>
    </w:p>
    <w:p>
      <w:pPr>
        <w:spacing w:after="120"/>
      </w:pPr>
      <w:r>
        <w:t xml:space="preserve">Every metric result panel includes a View SQL button that opens a modal with syntax-highlighted Spark SQL and a copy-to-clipboard action. The Export to Notebook button generates a Databricks/Jupyter .ipynb file containing the exact queries, Python data loading boilerplate, and analysis code stubs. The query history timeline shows when each metric was last computed and how long the computation took.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6"/>
              <w:bottom w:val="single" w:color="148F77" w:sz="1"/>
              <w:right w:val="single" w:color="148F77" w:sz="1"/>
            </w:tcBorders>
            <w:shd w:fill="E8F8F5" w:val="clear"/>
            <w:tcMar>
              <w:top w:type="dxa" w:w="100"/>
              <w:left w:type="dxa" w:w="160"/>
              <w:bottom w:type="dxa" w:w="100"/>
              <w:right w:type="dxa" w:w="160"/>
            </w:tcMar>
          </w:tcPr>
          <w:p>
            <w:r>
              <w:rPr>
                <w:rFonts w:ascii="Arial" w:cs="Arial" w:eastAsia="Arial" w:hAnsi="Arial"/>
                <w:b/>
                <w:bCs/>
                <w:color w:val="148F77"/>
                <w:sz w:val="22"/>
                <w:szCs w:val="22"/>
              </w:rPr>
              <w:t xml:space="preserve">Data Scientist Workflow</w:t>
            </w:r>
          </w:p>
          <w:p>
            <w:pPr>
              <w:spacing w:before="60"/>
            </w:pPr>
            <w:r>
              <w:rPr>
                <w:rFonts w:ascii="Arial" w:cs="Arial" w:eastAsia="Arial" w:hAnsi="Arial"/>
                <w:sz w:val="20"/>
                <w:szCs w:val="20"/>
              </w:rPr>
              <w:t xml:space="preserve">Click Export to Notebook on any metric result to get a ready-to-run Jupyter notebook. The generated notebook executes without modification in Databricks Runtime 14+ and JupyterLab 4+. This lets you reproduce, extend, and customize any analysis the platform performs.</w:t>
            </w:r>
          </w:p>
        </w:tc>
      </w:tr>
    </w:tbl>
    <w:p>
      <w:pPr>
        <w:spacing w:after="200"/>
      </w:pPr>
    </w:p>
    <w:p>
      <w:pPr>
        <w:pStyle w:val="Heading2"/>
      </w:pPr>
      <w:r>
        <w:t xml:space="preserve">7.4 SVOD-Specific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Dashboard</w:t>
            </w:r>
          </w:p>
        </w:tc>
        <w:tc>
          <w:tcPr>
            <w:tcW w:type="dxa" w:w="4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Shows</w:t>
            </w:r>
          </w:p>
        </w:tc>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Source</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Interleaving Monitor</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Live win-rate chart, per-position heatmap, Bradley-Terry strength estimates</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M4a Analysis Engine</w:t>
            </w:r>
          </w:p>
        </w:tc>
      </w:tr>
      <w:tr>
        <w:tc>
          <w:tcPr>
            <w:tcW w:type="dxa" w:w="20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Surrogate Projections</w:t>
            </w:r>
          </w:p>
        </w:tc>
        <w:tc>
          <w:tcPr>
            <w:tcW w:type="dxa" w:w="43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Dual-panel observed vs. projected with confidence badge (green/yellow/red)</w:t>
            </w:r>
          </w:p>
        </w:tc>
        <w:tc>
          <w:tcPr>
            <w:tcW w:type="dxa" w:w="30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M3 Metric Engine + M4a</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Novelty Effect</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Time-series with fitted decay curve, dual-value display (current vs. steady-state)</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M4a Analysis Engine</w:t>
            </w:r>
          </w:p>
        </w:tc>
      </w:tr>
      <w:tr>
        <w:tc>
          <w:tcPr>
            <w:tcW w:type="dxa" w:w="20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Content Interference</w:t>
            </w:r>
          </w:p>
        </w:tc>
        <w:tc>
          <w:tcPr>
            <w:tcW w:type="dxa" w:w="43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Venn-style overlap, Lorenz curve / Gini comparison, alert banner</w:t>
            </w:r>
          </w:p>
        </w:tc>
        <w:tc>
          <w:tcPr>
            <w:tcW w:type="dxa" w:w="30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M3 + M4a</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Lifecycle Segments</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Forest plot per segment, significance indicators, Cochran Q, power status</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M3 + M4a</w:t>
            </w:r>
          </w:p>
        </w:tc>
      </w:tr>
      <w:tr>
        <w:tc>
          <w:tcPr>
            <w:tcW w:type="dxa" w:w="20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Session-Level</w:t>
            </w:r>
          </w:p>
        </w:tc>
        <w:tc>
          <w:tcPr>
            <w:tcW w:type="dxa" w:w="43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Naive vs. clustered standard errors side-by-side, design effect indicator</w:t>
            </w:r>
          </w:p>
        </w:tc>
        <w:tc>
          <w:tcPr>
            <w:tcW w:type="dxa" w:w="30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M4a Analysis Engine</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Playback QoE</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Traffic-light dashboard, QoE-engagement correlation scatter</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M3 Metric Engine</w:t>
            </w:r>
          </w:p>
        </w:tc>
      </w:tr>
      <w:tr>
        <w:tc>
          <w:tcPr>
            <w:tcW w:type="dxa" w:w="20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Cumulative Holdout</w:t>
            </w:r>
          </w:p>
        </w:tc>
        <w:tc>
          <w:tcPr>
            <w:tcW w:type="dxa" w:w="43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Long-running time-series, monthly trend breakdown, holdout health</w:t>
            </w:r>
          </w:p>
        </w:tc>
        <w:tc>
          <w:tcPr>
            <w:tcW w:type="dxa" w:w="30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M4a Analysis Engine</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Cold-Start Bandit</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Active bandits, real-time arm allocation proportions, reward rates</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M4b Bandit Policy Service</w:t>
            </w:r>
          </w:p>
        </w:tc>
      </w:tr>
    </w:tbl>
    <w:p>
      <w:pPr>
        <w:spacing w:after="200"/>
      </w:pPr>
    </w:p>
    <w:p>
      <w:pPr>
        <w:pStyle w:val="Heading2"/>
      </w:pPr>
      <w:r>
        <w:t xml:space="preserve">7.5 Sequential Testing Views</w:t>
      </w:r>
    </w:p>
    <w:p>
      <w:pPr>
        <w:spacing w:after="120"/>
      </w:pPr>
      <w:r>
        <w:t xml:space="preserve">For mSPRT experiments, the UI displays a confidence sequence plot with always-valid boundaries and a clear indication of whether the experiment can be stopped at the current observation count. For GST experiments, the UI shows a spending function chart illustrating the alpha allocated at each planned look, a boundary crossing indicator, and the significance status at each completed look.</w:t>
      </w:r>
    </w:p>
    <w:p>
      <w:r>
        <w:br w:type="page"/>
      </w:r>
    </w:p>
    <w:p>
      <w:pPr>
        <w:pStyle w:val="Heading1"/>
      </w:pPr>
      <w:r>
        <w:t xml:space="preserve">8. Feature Flags</w:t>
      </w:r>
    </w:p>
    <w:p>
      <w:pPr>
        <w:spacing w:after="120"/>
      </w:pPr>
      <w:r>
        <w:t xml:space="preserve">Feature flags are the on-ramp to experimentation. Teams start with a simple boolean flag, add percentage rollout, and when they want to measure impact, they promote the flag to a fully tracked experiment.</w:t>
      </w:r>
    </w:p>
    <w:p>
      <w:pPr>
        <w:pStyle w:val="Heading2"/>
      </w:pPr>
      <w:r>
        <w:t xml:space="preserve">8.1 Flag Types</w:t>
      </w:r>
    </w:p>
    <w:p>
      <w:pPr>
        <w:pStyle w:val="ListParagraph"/>
        <w:numPr>
          <w:ilvl w:val="0"/>
          <w:numId w:val="4"/>
        </w:numPr>
        <w:spacing w:after="60"/>
      </w:pPr>
      <w:r>
        <w:rPr>
          <w:b/>
          <w:bCs/>
        </w:rPr>
        <w:t xml:space="preserve">Boolean: </w:t>
      </w:r>
      <w:r>
        <w:t xml:space="preserve">True/false toggle. The most common flag type.</w:t>
      </w:r>
    </w:p>
    <w:p>
      <w:pPr>
        <w:pStyle w:val="ListParagraph"/>
        <w:numPr>
          <w:ilvl w:val="0"/>
          <w:numId w:val="4"/>
        </w:numPr>
        <w:spacing w:after="60"/>
      </w:pPr>
      <w:r>
        <w:rPr>
          <w:b/>
          <w:bCs/>
        </w:rPr>
        <w:t xml:space="preserve">String: </w:t>
      </w:r>
      <w:r>
        <w:t xml:space="preserve">Returns a string value. Useful for selecting between named configurations.</w:t>
      </w:r>
    </w:p>
    <w:p>
      <w:pPr>
        <w:pStyle w:val="ListParagraph"/>
        <w:numPr>
          <w:ilvl w:val="0"/>
          <w:numId w:val="4"/>
        </w:numPr>
        <w:spacing w:after="60"/>
      </w:pPr>
      <w:r>
        <w:rPr>
          <w:b/>
          <w:bCs/>
        </w:rPr>
        <w:t xml:space="preserve">Numeric: </w:t>
      </w:r>
      <w:r>
        <w:t xml:space="preserve">Returns a number. Useful for tuning parameters (e.g., timeout values, cache sizes).</w:t>
      </w:r>
    </w:p>
    <w:p>
      <w:pPr>
        <w:pStyle w:val="ListParagraph"/>
        <w:numPr>
          <w:ilvl w:val="0"/>
          <w:numId w:val="4"/>
        </w:numPr>
        <w:spacing w:after="60"/>
      </w:pPr>
      <w:r>
        <w:rPr>
          <w:b/>
          <w:bCs/>
        </w:rPr>
        <w:t xml:space="preserve">JSON: </w:t>
      </w:r>
      <w:r>
        <w:t xml:space="preserve">Returns a structured JSON payload. Useful for complex configurations with multiple parameters.</w:t>
      </w:r>
    </w:p>
    <w:p>
      <w:pPr>
        <w:pStyle w:val="Heading2"/>
      </w:pPr>
      <w:r>
        <w:t xml:space="preserve">8.2 Percentage Rollouts</w:t>
      </w:r>
    </w:p>
    <w:p>
      <w:pPr>
        <w:spacing w:after="120"/>
      </w:pPr>
      <w:r>
        <w:t xml:space="preserve">Flags support percentage rollouts using the same MurmurHash3 bucketing as the Assignment Service. This guarantees deterministic behavior: the same user always receives the same flag value for a given rollout percentage.</w:t>
      </w:r>
    </w:p>
    <w:p>
      <w:pPr>
        <w:spacing w:after="120"/>
      </w:pPr>
      <w:r>
        <w:rPr>
          <w:b/>
          <w:bCs/>
        </w:rPr>
        <w:t xml:space="preserve">Monotonic rollout: </w:t>
      </w:r>
      <w:r>
        <w:t xml:space="preserve">Increasing the rollout percentage from 10% to 20% never removes users who were already in the 10% group. Users only enter the rollout, never exit. This is critical for progressive delivery.</w:t>
      </w:r>
    </w:p>
    <w:p>
      <w:pPr>
        <w:pStyle w:val="Heading2"/>
      </w:pPr>
      <w:r>
        <w:t xml:space="preserve">8.3 Promoting a Flag to an Experiment</w:t>
      </w:r>
    </w:p>
    <w:p>
      <w:pPr>
        <w:spacing w:after="120"/>
      </w:pPr>
      <w:r>
        <w:t xml:space="preserve">The PromoteToExperiment operation converts a flag into a tracked experiment in a single atomic operation. It creates an experiment in M5 with matching variants and targeting rules, and links the flag to the experiment lifecycle. When the promoted experiment concludes, the flag can be auto-updated based on the winning variant.</w:t>
      </w:r>
    </w:p>
    <w:p>
      <w:pPr>
        <w:spacing w:after="120"/>
      </w:pPr>
      <w:r>
        <w:t xml:space="preserve">PromoteToExperiment supports all experiment types: A/B, Interleaving, Session-Level, Contextual Bandit, and Cumulative Holdout.</w:t>
      </w:r>
    </w:p>
    <w:p>
      <w:pPr>
        <w:pStyle w:val="Heading2"/>
      </w:pPr>
      <w:r>
        <w:t xml:space="preserve">8.4 Stale Flag Detection</w:t>
      </w:r>
    </w:p>
    <w:p>
      <w:pPr>
        <w:spacing w:after="120"/>
      </w:pPr>
      <w:r>
        <w:t xml:space="preserve">Flags unchanged for more than 90 days with 100% rollout are automatically flagged as potentially stale. The platform suggests cleanup: either removing the flag (if the feature is fully shipped) or converting it to a permanent configuration. This prevents flag sprawl over time.</w:t>
      </w:r>
    </w:p>
    <w:p>
      <w:r>
        <w:br w:type="page"/>
      </w:r>
    </w:p>
    <w:p>
      <w:pPr>
        <w:pStyle w:val="Heading1"/>
      </w:pPr>
      <w:r>
        <w:t xml:space="preserve">9. SDK Integration</w:t>
      </w:r>
    </w:p>
    <w:p>
      <w:pPr>
        <w:spacing w:after="120"/>
      </w:pPr>
      <w:r>
        <w:t xml:space="preserve">Client applications integrate with Kaizen through a provider-based SDK architecture that abstracts the underlying transport and provides resilience through a fallback chain.</w:t>
      </w:r>
    </w:p>
    <w:p>
      <w:pPr>
        <w:pStyle w:val="Heading2"/>
      </w:pPr>
      <w:r>
        <w:t xml:space="preserve">9.1 Provider Architecture</w:t>
      </w:r>
    </w:p>
    <w:p>
      <w:pPr>
        <w:spacing w:after="120"/>
      </w:pPr>
      <w:r>
        <w:t xml:space="preserve">All SDKs implement the ExperimentProvider interface. Three concrete providers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Provider</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Transport</w:t>
            </w:r>
          </w:p>
        </w:tc>
        <w:tc>
          <w:tcPr>
            <w:tcW w:type="dxa" w:w="4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RemoteProvider</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gRPC to M1 Assignment Service</w:t>
            </w:r>
          </w:p>
        </w:tc>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Primary path for all server-side and online clients</w:t>
            </w:r>
          </w:p>
        </w:tc>
      </w:tr>
      <w:tr>
        <w:tc>
          <w:tcPr>
            <w:tcW w:type="dxa" w:w="20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LocalProvider</w:t>
            </w:r>
          </w:p>
        </w:tc>
        <w:tc>
          <w:tcPr>
            <w:tcW w:type="dxa" w:w="33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WASM/UniFFI hash + cached config</w:t>
            </w:r>
          </w:p>
        </w:tc>
        <w:tc>
          <w:tcPr>
            <w:tcW w:type="dxa" w:w="40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Offline and fallback mode; produces identical assignments without network</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MockProvider</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In-memory deterministic stubs</w:t>
            </w:r>
          </w:p>
        </w:tc>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Unit testing of product code without network dependencies</w:t>
            </w:r>
          </w:p>
        </w:tc>
      </w:tr>
    </w:tbl>
    <w:p>
      <w:pPr>
        <w:spacing w:after="200"/>
      </w:pPr>
    </w:p>
    <w:p>
      <w:pPr>
        <w:pStyle w:val="Heading2"/>
      </w:pPr>
      <w:r>
        <w:t xml:space="preserve">9.2 Resilient Fallback Chain</w:t>
      </w:r>
    </w:p>
    <w:p>
      <w:pPr>
        <w:spacing w:after="120"/>
      </w:pPr>
      <w:r>
        <w:t xml:space="preserve">The ResilientProvider tries providers in sequence: RemoteProvider first, then LocalProvider (cached config), then static defaults. On mobile platforms where network unreliability is common, this ensures that assignment requests never fail. The LocalProvider uses the same hash algorithm as the server, so assignments are consistent even in offline mode.</w:t>
      </w:r>
    </w:p>
    <w:p>
      <w:pPr>
        <w:pStyle w:val="Heading2"/>
      </w:pPr>
      <w:r>
        <w:t xml:space="preserve">9.3 Platform-Specific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w:t>
            </w:r>
          </w:p>
        </w:tc>
        <w:tc>
          <w:tcPr>
            <w:tcW w:type="dxa" w:w="35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SDK</w:t>
            </w:r>
          </w:p>
        </w:tc>
        <w:tc>
          <w:tcPr>
            <w:tcW w:type="dxa" w:w="35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Hash Implementation</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Server (Go)</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gRPC client + CGo hash bridge</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Native Rust via CGo FFI</w:t>
            </w:r>
          </w:p>
        </w:tc>
      </w:tr>
      <w:tr>
        <w:tc>
          <w:tcPr>
            <w:tcW w:type="dxa" w:w="2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Server (Python)</w:t>
            </w:r>
          </w:p>
        </w:tc>
        <w:tc>
          <w:tcPr>
            <w:tcW w:type="dxa" w:w="35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gRPC client + PyO3 bindings</w:t>
            </w:r>
          </w:p>
        </w:tc>
        <w:tc>
          <w:tcPr>
            <w:tcW w:type="dxa" w:w="35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Native Rust via PyO3</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Web</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fetch API + WASM</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MurmurHash3 compiled to WebAssembly</w:t>
            </w:r>
          </w:p>
        </w:tc>
      </w:tr>
      <w:tr>
        <w:tc>
          <w:tcPr>
            <w:tcW w:type="dxa" w:w="2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iOS</w:t>
            </w:r>
          </w:p>
        </w:tc>
        <w:tc>
          <w:tcPr>
            <w:tcW w:type="dxa" w:w="35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gRPC-Swift + UniFFI</w:t>
            </w:r>
          </w:p>
        </w:tc>
        <w:tc>
          <w:tcPr>
            <w:tcW w:type="dxa" w:w="35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Native Rust via UniFFI bridge</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Android</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gRPC-Kotlin + UniFFI</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Native Rust via UniFFI bridge</w:t>
            </w:r>
          </w:p>
        </w:tc>
      </w:tr>
    </w:tbl>
    <w:p>
      <w:pPr>
        <w:spacing w:after="200"/>
      </w:pPr>
    </w:p>
    <w:p>
      <w:pPr>
        <w:pStyle w:val="Heading2"/>
      </w:pPr>
      <w:r>
        <w:t xml:space="preserve">9.4 Event Instrumentation</w:t>
      </w:r>
    </w:p>
    <w:p>
      <w:pPr>
        <w:spacing w:after="120"/>
      </w:pPr>
      <w:r>
        <w:t xml:space="preserve">After receiving an assignment, client code must instrument two categories of events:</w:t>
      </w:r>
    </w:p>
    <w:p>
      <w:pPr>
        <w:pStyle w:val="ListParagraph"/>
        <w:numPr>
          <w:ilvl w:val="0"/>
          <w:numId w:val="5"/>
        </w:numPr>
        <w:spacing w:after="60"/>
      </w:pPr>
      <w:r>
        <w:rPr>
          <w:b/>
          <w:bCs/>
        </w:rPr>
        <w:t xml:space="preserve">Exposure Events: </w:t>
      </w:r>
      <w:r>
        <w:t xml:space="preserve">Logged automatically by the SDK when getAssignment() is called. Includes user_id, experiment_id, variant_id, and timestamp. For interleaving experiments, includes source_algorithm_id provenance for credit assignment.</w:t>
      </w:r>
    </w:p>
    <w:p>
      <w:pPr>
        <w:pStyle w:val="ListParagraph"/>
        <w:numPr>
          <w:ilvl w:val="0"/>
          <w:numId w:val="5"/>
        </w:numPr>
        <w:spacing w:after="60"/>
      </w:pPr>
      <w:r>
        <w:rPr>
          <w:b/>
          <w:bCs/>
        </w:rPr>
        <w:t xml:space="preserve">Metric Events: </w:t>
      </w:r>
      <w:r>
        <w:t xml:space="preserve">Logged by product code when user actions occur: play starts, completions, purchases, session events, etc. Events are sent to the Event Pipeline (M2) via the IngestEvent API.</w:t>
      </w:r>
    </w:p>
    <w:p>
      <w:r>
        <w:br w:type="page"/>
      </w:r>
    </w:p>
    <w:p>
      <w:pPr>
        <w:pStyle w:val="Heading1"/>
      </w:pPr>
      <w:r>
        <w:t xml:space="preserve">10. Layers &amp; Traffic Management</w:t>
      </w:r>
    </w:p>
    <w:p>
      <w:pPr>
        <w:pStyle w:val="Heading2"/>
      </w:pPr>
      <w:r>
        <w:t xml:space="preserve">10.1 What Are Layers?</w:t>
      </w:r>
    </w:p>
    <w:p>
      <w:pPr>
        <w:spacing w:after="120"/>
      </w:pPr>
      <w:r>
        <w:t xml:space="preserve">Layers partition the user traffic space so that multiple experiments can run simultaneously without interfering with each other. Each layer contains 1,000 hash buckets. An experiment claims a contiguous range of buckets within its assigned layer.</w:t>
      </w:r>
    </w:p>
    <w:p>
      <w:pPr>
        <w:spacing w:after="120"/>
      </w:pPr>
      <w:r>
        <w:t xml:space="preserve">Experiments in different layers are orthogonal: a user can be in one experiment per layer. Experiments within the same layer are mutually exclusive: a user can only be in one experiment from that layer.</w:t>
      </w:r>
    </w:p>
    <w:p>
      <w:pPr>
        <w:pStyle w:val="Heading2"/>
      </w:pPr>
      <w:r>
        <w:t xml:space="preserve">10.2 Bucket Reuse</w:t>
      </w:r>
    </w:p>
    <w:p>
      <w:pPr>
        <w:spacing w:after="120"/>
      </w:pPr>
      <w:r>
        <w:t xml:space="preserve">When an experiment concludes, its bucket allocation is released after a configurable cooldown period (default 24 hours). The cooldown allows late-arriving exposure events to be associated with the correct experiment before the allocation is recycled. After the cooldown expires, the buckets become available for new experiments.</w:t>
      </w:r>
    </w:p>
    <w:p>
      <w:pPr>
        <w:spacing w:after="120"/>
      </w:pPr>
      <w:r>
        <w:t xml:space="preserve">Without bucket reuse, a platform running 100+ experiments per quarter would quickly exhaust its hash space. Automated bucket reuse ensures sustainable experiment velocity.</w:t>
      </w:r>
    </w:p>
    <w:p>
      <w:pPr>
        <w:pStyle w:val="Heading2"/>
      </w:pPr>
      <w:r>
        <w:t xml:space="preserve">10.3 Traffic Allocation Best Practices</w:t>
      </w:r>
    </w:p>
    <w:p>
      <w:pPr>
        <w:pStyle w:val="ListParagraph"/>
        <w:numPr>
          <w:ilvl w:val="0"/>
          <w:numId w:val="6"/>
        </w:numPr>
        <w:spacing w:after="60"/>
      </w:pPr>
      <w:r>
        <w:t xml:space="preserve">Start with a small traffic allocation (5–10%) for the first 24 hours to catch bugs before full exposure.</w:t>
      </w:r>
    </w:p>
    <w:p>
      <w:pPr>
        <w:pStyle w:val="ListParagraph"/>
        <w:numPr>
          <w:ilvl w:val="0"/>
          <w:numId w:val="6"/>
        </w:numPr>
        <w:spacing w:after="60"/>
      </w:pPr>
      <w:r>
        <w:t xml:space="preserve">Monitor guardrail metrics closely during the first day of the experiment.</w:t>
      </w:r>
    </w:p>
    <w:p>
      <w:pPr>
        <w:pStyle w:val="ListParagraph"/>
        <w:numPr>
          <w:ilvl w:val="0"/>
          <w:numId w:val="6"/>
        </w:numPr>
        <w:spacing w:after="60"/>
      </w:pPr>
      <w:r>
        <w:t xml:space="preserve">For interleaving experiments, allocate 100% of traffic since every user sees both algorithms.</w:t>
      </w:r>
    </w:p>
    <w:p>
      <w:pPr>
        <w:pStyle w:val="ListParagraph"/>
        <w:numPr>
          <w:ilvl w:val="0"/>
          <w:numId w:val="6"/>
        </w:numPr>
        <w:spacing w:after="60"/>
      </w:pPr>
      <w:r>
        <w:t xml:space="preserve">Reserve at least 10% of layer capacity as headroom for urgent experiments.</w:t>
      </w:r>
    </w:p>
    <w:p>
      <w:pPr>
        <w:pStyle w:val="ListParagraph"/>
        <w:numPr>
          <w:ilvl w:val="0"/>
          <w:numId w:val="6"/>
        </w:numPr>
        <w:spacing w:after="60"/>
      </w:pPr>
      <w:r>
        <w:t xml:space="preserve">Use cumulative holdout layers separately from general experimentation layers to prevent allocation conflicts.</w:t>
      </w:r>
    </w:p>
    <w:p>
      <w:r>
        <w:br w:type="page"/>
      </w:r>
    </w:p>
    <w:p>
      <w:pPr>
        <w:pStyle w:val="Heading1"/>
      </w:pPr>
      <w:r>
        <w:t xml:space="preserve">11. Guardrails &amp; Safety</w:t>
      </w:r>
    </w:p>
    <w:p>
      <w:pPr>
        <w:pStyle w:val="Heading2"/>
      </w:pPr>
      <w:r>
        <w:t xml:space="preserve">11.1 Auto-Pause (Default Behavior)</w:t>
      </w:r>
    </w:p>
    <w:p>
      <w:pPr>
        <w:spacing w:after="120"/>
      </w:pPr>
      <w:r>
        <w:t xml:space="preserve">When a guardrail metric breaches its configured threshold, the experiment is automatically paused. This is the default and recommended behavior. The pause is immediate: traffic allocation drops to 0% within 60 seconds of the breach detection event arriving on the guardrail_alerts Kafka topic. The experiment owner receives an alert via Slack and PagerDuty with the breaching metric, current value, and threshold.</w:t>
      </w:r>
    </w:p>
    <w:p>
      <w:pPr>
        <w:pStyle w:val="Heading2"/>
      </w:pPr>
      <w:r>
        <w:t xml:space="preserve">11.2 Overriding to Alert-Only</w:t>
      </w:r>
    </w:p>
    <w:p>
      <w:pPr>
        <w:spacing w:after="120"/>
      </w:pPr>
      <w:r>
        <w:t xml:space="preserve">In rare cases, an experiment owner may need to continue despite a guardrail breach. To do so, the experiment must be explicitly configured with guardrail_action set to ALERT_ONLY. This action is:</w:t>
      </w:r>
    </w:p>
    <w:p>
      <w:pPr>
        <w:pStyle w:val="ListParagraph"/>
        <w:numPr>
          <w:ilvl w:val="0"/>
          <w:numId w:val="10"/>
        </w:numPr>
        <w:spacing w:after="60"/>
      </w:pPr>
      <w:r>
        <w:t xml:space="preserve">Recorded in the experiment audit trail with the owner identity and timestamp.</w:t>
      </w:r>
    </w:p>
    <w:p>
      <w:pPr>
        <w:pStyle w:val="ListParagraph"/>
        <w:numPr>
          <w:ilvl w:val="0"/>
          <w:numId w:val="10"/>
        </w:numPr>
        <w:spacing w:after="60"/>
      </w:pPr>
      <w:r>
        <w:t xml:space="preserve">Visible in the guardrail auto-pause dashboard for platform operators.</w:t>
      </w:r>
    </w:p>
    <w:p>
      <w:pPr>
        <w:pStyle w:val="ListParagraph"/>
        <w:numPr>
          <w:ilvl w:val="0"/>
          <w:numId w:val="10"/>
        </w:numPr>
        <w:spacing w:after="60"/>
      </w:pPr>
      <w:r>
        <w:t xml:space="preserve">A non-default, conscious decision that must be renewed if the experiment is paused and restarted.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6"/>
              <w:bottom w:val="single" w:color="E67E22" w:sz="1"/>
              <w:right w:val="single" w:color="E67E22" w:sz="1"/>
            </w:tcBorders>
            <w:shd w:fill="FEF9E7" w:val="clear"/>
            <w:tcMar>
              <w:top w:type="dxa" w:w="100"/>
              <w:left w:type="dxa" w:w="160"/>
              <w:bottom w:type="dxa" w:w="100"/>
              <w:right w:type="dxa" w:w="160"/>
            </w:tcMar>
          </w:tcPr>
          <w:p>
            <w:r>
              <w:rPr>
                <w:rFonts w:ascii="Arial" w:cs="Arial" w:eastAsia="Arial" w:hAnsi="Arial"/>
                <w:b/>
                <w:bCs/>
                <w:color w:val="E67E22"/>
                <w:sz w:val="22"/>
                <w:szCs w:val="22"/>
              </w:rPr>
              <w:t xml:space="preserve">Guardrail Override Policy</w:t>
            </w:r>
          </w:p>
          <w:p>
            <w:pPr>
              <w:spacing w:before="60"/>
            </w:pPr>
            <w:r>
              <w:rPr>
                <w:rFonts w:ascii="Arial" w:cs="Arial" w:eastAsia="Arial" w:hAnsi="Arial"/>
                <w:sz w:val="20"/>
                <w:szCs w:val="20"/>
              </w:rPr>
              <w:t xml:space="preserve">Overriding auto-pause should be exceptional and justified. The audit trail makes all overrides visible to leadership. Overuse of ALERT_ONLY undermines the platform’s credibility and the trust that ship decisions are safe.</w:t>
            </w:r>
          </w:p>
        </w:tc>
      </w:tr>
    </w:tbl>
    <w:p>
      <w:pPr>
        <w:spacing w:after="200"/>
      </w:pPr>
    </w:p>
    <w:p>
      <w:pPr>
        <w:pStyle w:val="Heading2"/>
      </w:pPr>
      <w:r>
        <w:t xml:space="preserve">11.3 Bandit Safety Guardrails</w:t>
      </w:r>
    </w:p>
    <w:p>
      <w:pPr>
        <w:spacing w:after="120"/>
      </w:pPr>
      <w:r>
        <w:t xml:space="preserve">Bandit experiments have additional safety mechanisms beyond standard guardrails:</w:t>
      </w:r>
    </w:p>
    <w:p>
      <w:pPr>
        <w:pStyle w:val="ListParagraph"/>
        <w:numPr>
          <w:ilvl w:val="0"/>
          <w:numId w:val="11"/>
        </w:numPr>
        <w:spacing w:after="60"/>
      </w:pPr>
      <w:r>
        <w:rPr>
          <w:b/>
          <w:bCs/>
        </w:rPr>
        <w:t xml:space="preserve">Minimum exploration floor: </w:t>
      </w:r>
      <w:r>
        <w:t xml:space="preserve">Each arm receives at least 10% of traffic (configurable) regardless of performance. Prevents premature convergence.</w:t>
      </w:r>
    </w:p>
    <w:p>
      <w:pPr>
        <w:pStyle w:val="ListParagraph"/>
        <w:numPr>
          <w:ilvl w:val="0"/>
          <w:numId w:val="11"/>
        </w:numPr>
        <w:spacing w:after="60"/>
      </w:pPr>
      <w:r>
        <w:rPr>
          <w:b/>
          <w:bCs/>
        </w:rPr>
        <w:t xml:space="preserve">Warmup period: </w:t>
      </w:r>
      <w:r>
        <w:t xml:space="preserve">Uniform random assignment for the first 1,000 observations (configurable) before adaptive allocation begins.</w:t>
      </w:r>
    </w:p>
    <w:p>
      <w:pPr>
        <w:pStyle w:val="ListParagraph"/>
        <w:numPr>
          <w:ilvl w:val="0"/>
          <w:numId w:val="11"/>
        </w:numPr>
        <w:spacing w:after="60"/>
      </w:pPr>
      <w:r>
        <w:rPr>
          <w:b/>
          <w:bCs/>
        </w:rPr>
        <w:t xml:space="preserve">Policy rollback: </w:t>
      </w:r>
      <w:r>
        <w:t xml:space="preserve">If a guardrail is breached, the policy is rolled back to the previous snapshot in addition to pausing the experiment.</w:t>
      </w:r>
    </w:p>
    <w:p>
      <w:pPr>
        <w:pStyle w:val="ListParagraph"/>
        <w:numPr>
          <w:ilvl w:val="0"/>
          <w:numId w:val="11"/>
        </w:numPr>
        <w:spacing w:after="60"/>
      </w:pPr>
      <w:r>
        <w:rPr>
          <w:b/>
          <w:bCs/>
        </w:rPr>
        <w:t xml:space="preserve">IPW logging: </w:t>
      </w:r>
      <w:r>
        <w:t xml:space="preserve">Assignment probabilities are logged to Kafka for downstream causal analysis, ensuring that adaptive assignment does not bias treatment effect estimates.</w:t>
      </w:r>
    </w:p>
    <w:p>
      <w:r>
        <w:br w:type="page"/>
      </w:r>
    </w:p>
    <w:p>
      <w:pPr>
        <w:pStyle w:val="Heading1"/>
      </w:pPr>
      <w:r>
        <w:t xml:space="preserve">12. Audit Trail &amp; Compliance</w:t>
      </w:r>
    </w:p>
    <w:p>
      <w:pPr>
        <w:spacing w:after="120"/>
      </w:pPr>
      <w:r>
        <w:t xml:space="preserve">Every mutation in the platform is recorded in the audit trail. This includes experiment creation, configuration changes, state transitions, guardrail overrides, targeting rule updates, metric definition changes, and surrogate model registrations.</w:t>
      </w:r>
    </w:p>
    <w:p>
      <w:pPr>
        <w:spacing w:after="120"/>
      </w:pPr>
      <w:r>
        <w:t xml:space="preserve">The audit trail captures the actor identity (who made the change), the timestamp, the previous and new values, and a correlation ID linking related changes. The audit trail is append-only and cannot be modified or deleted.</w:t>
      </w:r>
    </w:p>
    <w:p>
      <w:pPr>
        <w:pStyle w:val="Heading2"/>
      </w:pPr>
      <w:r>
        <w:t xml:space="preserve">12.1 What Is Audited</w:t>
      </w:r>
    </w:p>
    <w:p>
      <w:pPr>
        <w:pStyle w:val="ListParagraph"/>
        <w:numPr>
          <w:ilvl w:val="0"/>
          <w:numId w:val="12"/>
        </w:numPr>
        <w:spacing w:after="60"/>
      </w:pPr>
      <w:r>
        <w:t xml:space="preserve">Every state transition (DRAFT → STARTING → RUNNING → CONCLUDED, etc.)</w:t>
      </w:r>
    </w:p>
    <w:p>
      <w:pPr>
        <w:pStyle w:val="ListParagraph"/>
        <w:numPr>
          <w:ilvl w:val="0"/>
          <w:numId w:val="12"/>
        </w:numPr>
        <w:spacing w:after="60"/>
      </w:pPr>
      <w:r>
        <w:t xml:space="preserve">Every configuration change (variant weights, metric additions, targeting rule modifications)</w:t>
      </w:r>
    </w:p>
    <w:p>
      <w:pPr>
        <w:pStyle w:val="ListParagraph"/>
        <w:numPr>
          <w:ilvl w:val="0"/>
          <w:numId w:val="12"/>
        </w:numPr>
        <w:spacing w:after="60"/>
      </w:pPr>
      <w:r>
        <w:t xml:space="preserve">Every guardrail override (switching from AUTO_PAUSE to ALERT_ONLY)</w:t>
      </w:r>
    </w:p>
    <w:p>
      <w:pPr>
        <w:pStyle w:val="ListParagraph"/>
        <w:numPr>
          <w:ilvl w:val="0"/>
          <w:numId w:val="12"/>
        </w:numPr>
        <w:spacing w:after="60"/>
      </w:pPr>
      <w:r>
        <w:t xml:space="preserve">Every bucket allocation and release event</w:t>
      </w:r>
    </w:p>
    <w:p>
      <w:pPr>
        <w:pStyle w:val="ListParagraph"/>
        <w:numPr>
          <w:ilvl w:val="0"/>
          <w:numId w:val="12"/>
        </w:numPr>
        <w:spacing w:after="60"/>
      </w:pPr>
      <w:r>
        <w:t xml:space="preserve">Every flag promotion to experiment</w:t>
      </w:r>
    </w:p>
    <w:p>
      <w:pPr>
        <w:pStyle w:val="ListParagraph"/>
        <w:numPr>
          <w:ilvl w:val="0"/>
          <w:numId w:val="12"/>
        </w:numPr>
        <w:spacing w:after="60"/>
      </w:pPr>
      <w:r>
        <w:t xml:space="preserve">Surrogate model registration and calibration trigger events</w:t>
      </w:r>
    </w:p>
    <w:p>
      <w:pPr>
        <w:pStyle w:val="Heading1"/>
      </w:pPr>
      <w:r>
        <w:t xml:space="preserve">13. Monitoring &amp; Observability</w:t>
      </w:r>
    </w:p>
    <w:p>
      <w:pPr>
        <w:spacing w:after="120"/>
      </w:pPr>
      <w:r>
        <w:t xml:space="preserve">The platform provides comprehensive observability through OpenTelemetry, Prometheus, Grafana, and CloudWatch.</w:t>
      </w:r>
    </w:p>
    <w:p>
      <w:pPr>
        <w:pStyle w:val="Heading2"/>
      </w:pPr>
      <w:r>
        <w:t xml:space="preserve">13.1 Distributed Tracing</w:t>
      </w:r>
    </w:p>
    <w:p>
      <w:pPr>
        <w:spacing w:after="120"/>
      </w:pPr>
      <w:r>
        <w:t xml:space="preserve">All services emit OpenTelemetry traces with W3C Trace Context propagation. A single assignment request can be traced from the client SDK through the Assignment Service (Rust), the Management Service config lookup (Go), and into the Bandit Policy Service (Rust) for bandit experiments. Traces are exported to AWS X-Ray.</w:t>
      </w:r>
    </w:p>
    <w:p>
      <w:pPr>
        <w:pStyle w:val="Heading2"/>
      </w:pPr>
      <w:r>
        <w:t xml:space="preserve">13.2 Key SLA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35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SLA Target</w:t>
            </w:r>
          </w:p>
        </w:tc>
        <w:tc>
          <w:tcPr>
            <w:tcW w:type="dxa" w:w="35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Alarm Threshold</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M1 Assignment</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p99 &lt; 5ms at 50K rps</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&gt; 5ms triggers alarm</w:t>
            </w:r>
          </w:p>
        </w:tc>
      </w:tr>
      <w:tr>
        <w:tc>
          <w:tcPr>
            <w:tcW w:type="dxa" w:w="2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M2 Ingestion</w:t>
            </w:r>
          </w:p>
        </w:tc>
        <w:tc>
          <w:tcPr>
            <w:tcW w:type="dxa" w:w="35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p99 &lt; 10ms at 100K events/sec</w:t>
            </w:r>
          </w:p>
        </w:tc>
        <w:tc>
          <w:tcPr>
            <w:tcW w:type="dxa" w:w="35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&gt; 10ms triggers alarm</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M3 Daily Metrics</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&lt; 2 hours after event arrival</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Job duration &gt; 2h triggers alarm</w:t>
            </w:r>
          </w:p>
        </w:tc>
      </w:tr>
      <w:tr>
        <w:tc>
          <w:tcPr>
            <w:tcW w:type="dxa" w:w="2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M3 Guardrail Metrics</w:t>
            </w:r>
          </w:p>
        </w:tc>
        <w:tc>
          <w:tcPr>
            <w:tcW w:type="dxa" w:w="35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&lt; 30 min after hourly trigger</w:t>
            </w:r>
          </w:p>
        </w:tc>
        <w:tc>
          <w:tcPr>
            <w:tcW w:type="dxa" w:w="35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Job duration &gt; 30min triggers alarm</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M4a Full Analysis</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&lt; 60 seconds for 1M users</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&gt; 3 min for 1M users triggers alarm</w:t>
            </w:r>
          </w:p>
        </w:tc>
      </w:tr>
      <w:tr>
        <w:tc>
          <w:tcPr>
            <w:tcW w:type="dxa" w:w="2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M4b SelectArm</w:t>
            </w:r>
          </w:p>
        </w:tc>
        <w:tc>
          <w:tcPr>
            <w:tcW w:type="dxa" w:w="35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p99 &lt; 15ms at 10K rps</w:t>
            </w:r>
          </w:p>
        </w:tc>
        <w:tc>
          <w:tcPr>
            <w:tcW w:type="dxa" w:w="35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&gt; 15ms triggers alarm</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M4b Crash Recovery</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&lt; 10 seconds</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&gt; 10s triggers alarm</w:t>
            </w:r>
          </w:p>
        </w:tc>
      </w:tr>
      <w:tr>
        <w:tc>
          <w:tcPr>
            <w:tcW w:type="dxa" w:w="2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M5 Auto-Pause</w:t>
            </w:r>
          </w:p>
        </w:tc>
        <w:tc>
          <w:tcPr>
            <w:tcW w:type="dxa" w:w="35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&lt; 60 seconds from breach</w:t>
            </w:r>
          </w:p>
        </w:tc>
        <w:tc>
          <w:tcPr>
            <w:tcW w:type="dxa" w:w="35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&gt; 60s triggers alarm</w:t>
            </w:r>
          </w:p>
        </w:tc>
      </w:tr>
    </w:tbl>
    <w:p>
      <w:pPr>
        <w:spacing w:after="200"/>
      </w:pPr>
    </w:p>
    <w:p>
      <w:pPr>
        <w:pStyle w:val="Heading2"/>
      </w:pPr>
      <w:r>
        <w:t xml:space="preserve">13.3 Guardrail Auto-Pause Dashboard</w:t>
      </w:r>
    </w:p>
    <w:p>
      <w:pPr>
        <w:spacing w:after="120"/>
      </w:pPr>
      <w:r>
        <w:t xml:space="preserve">A dedicated Grafana dashboard shows experiments paused by guardrail breaches, breach rates across the platform, the override audit log, and time-to-pause latency distribution. This is the primary tool for platform operators monitoring experiment safety.</w:t>
      </w:r>
    </w:p>
    <w:p>
      <w:r>
        <w:br w:type="page"/>
      </w:r>
    </w:p>
    <w:p>
      <w:pPr>
        <w:pStyle w:val="Heading1"/>
      </w:pPr>
      <w:r>
        <w:t xml:space="preserve">14. Best Practices</w:t>
      </w:r>
    </w:p>
    <w:p>
      <w:pPr>
        <w:pStyle w:val="Heading2"/>
      </w:pPr>
      <w:r>
        <w:t xml:space="preserve">14.1 Experiment Design</w:t>
      </w:r>
    </w:p>
    <w:p>
      <w:pPr>
        <w:pStyle w:val="ListParagraph"/>
        <w:numPr>
          <w:ilvl w:val="0"/>
          <w:numId w:val="13"/>
        </w:numPr>
        <w:spacing w:after="60"/>
      </w:pPr>
      <w:r>
        <w:rPr>
          <w:b/>
          <w:bCs/>
        </w:rPr>
        <w:t xml:space="preserve">Write a clear hypothesis before creating the experiment. </w:t>
      </w:r>
      <w:r>
        <w:t xml:space="preserve">"We believe that [change] will increase [metric] by [amount] for [audience] because [reasoning]."</w:t>
      </w:r>
    </w:p>
    <w:p>
      <w:pPr>
        <w:pStyle w:val="ListParagraph"/>
        <w:numPr>
          <w:ilvl w:val="0"/>
          <w:numId w:val="13"/>
        </w:numPr>
        <w:spacing w:after="60"/>
      </w:pPr>
      <w:r>
        <w:rPr>
          <w:b/>
          <w:bCs/>
        </w:rPr>
        <w:t xml:space="preserve">Choose the primary metric before launch. </w:t>
      </w:r>
      <w:r>
        <w:t xml:space="preserve">Resist the temptation to decide the primary metric after seeing results. Pre-registration prevents cherry-picking.</w:t>
      </w:r>
    </w:p>
    <w:p>
      <w:pPr>
        <w:pStyle w:val="ListParagraph"/>
        <w:numPr>
          <w:ilvl w:val="0"/>
          <w:numId w:val="13"/>
        </w:numPr>
        <w:spacing w:after="60"/>
      </w:pPr>
      <w:r>
        <w:rPr>
          <w:b/>
          <w:bCs/>
        </w:rPr>
        <w:t xml:space="preserve">Set guardrails generously but not vacuously. </w:t>
      </w:r>
      <w:r>
        <w:t xml:space="preserve">A guardrail that never fires provides no protection. A guardrail that fires on normal fluctuations causes alert fatigue.</w:t>
      </w:r>
    </w:p>
    <w:p>
      <w:pPr>
        <w:pStyle w:val="ListParagraph"/>
        <w:numPr>
          <w:ilvl w:val="0"/>
          <w:numId w:val="13"/>
        </w:numPr>
        <w:spacing w:after="60"/>
      </w:pPr>
      <w:r>
        <w:rPr>
          <w:b/>
          <w:bCs/>
        </w:rPr>
        <w:t xml:space="preserve">Use CUPED when pre-experiment data is available. </w:t>
      </w:r>
      <w:r>
        <w:t xml:space="preserve">It reduces sample size requirements by 30–50%, letting experiments conclude faster.</w:t>
      </w:r>
    </w:p>
    <w:p>
      <w:pPr>
        <w:pStyle w:val="ListParagraph"/>
        <w:numPr>
          <w:ilvl w:val="0"/>
          <w:numId w:val="13"/>
        </w:numPr>
        <w:spacing w:after="60"/>
      </w:pPr>
      <w:r>
        <w:rPr>
          <w:b/>
          <w:bCs/>
        </w:rPr>
        <w:t xml:space="preserve">Use lifecycle segmentation for user-facing changes. </w:t>
      </w:r>
      <w:r>
        <w:t xml:space="preserve">Trial users, new subscribers, and long-tenured members react very differently to the same change.</w:t>
      </w:r>
    </w:p>
    <w:p>
      <w:pPr>
        <w:pStyle w:val="Heading2"/>
      </w:pPr>
      <w:r>
        <w:t xml:space="preserve">14.2 Interpreting Results</w:t>
      </w:r>
    </w:p>
    <w:p>
      <w:pPr>
        <w:pStyle w:val="ListParagraph"/>
        <w:numPr>
          <w:ilvl w:val="0"/>
          <w:numId w:val="2"/>
        </w:numPr>
        <w:spacing w:after="60"/>
      </w:pPr>
      <w:r>
        <w:rPr>
          <w:b/>
          <w:bCs/>
        </w:rPr>
        <w:t xml:space="preserve">Check SRM first. </w:t>
      </w:r>
      <w:r>
        <w:t xml:space="preserve">If the sample ratio mismatch test fails (p &lt; 0.001), all other results are suspect. Investigate data pipeline issues before drawing conclusions.</w:t>
      </w:r>
    </w:p>
    <w:p>
      <w:pPr>
        <w:pStyle w:val="ListParagraph"/>
        <w:numPr>
          <w:ilvl w:val="0"/>
          <w:numId w:val="2"/>
        </w:numPr>
        <w:spacing w:after="60"/>
      </w:pPr>
      <w:r>
        <w:rPr>
          <w:b/>
          <w:bCs/>
        </w:rPr>
        <w:t xml:space="preserve">Watch for novelty effects. </w:t>
      </w:r>
      <w:r>
        <w:t xml:space="preserve">If the novelty detector shows a decaying treatment effect, wait for steady-state convergence before making a ship decision.</w:t>
      </w:r>
    </w:p>
    <w:p>
      <w:pPr>
        <w:pStyle w:val="ListParagraph"/>
        <w:numPr>
          <w:ilvl w:val="0"/>
          <w:numId w:val="2"/>
        </w:numPr>
        <w:spacing w:after="60"/>
      </w:pPr>
      <w:r>
        <w:rPr>
          <w:b/>
          <w:bCs/>
        </w:rPr>
        <w:t xml:space="preserve">Check interference. </w:t>
      </w:r>
      <w:r>
        <w:t xml:space="preserve">If the content interference dashboard shows significant catalog overlap divergence, the estimated treatment effect may be attenuated.</w:t>
      </w:r>
    </w:p>
    <w:p>
      <w:pPr>
        <w:pStyle w:val="ListParagraph"/>
        <w:numPr>
          <w:ilvl w:val="0"/>
          <w:numId w:val="2"/>
        </w:numPr>
        <w:spacing w:after="60"/>
      </w:pPr>
      <w:r>
        <w:rPr>
          <w:b/>
          <w:bCs/>
        </w:rPr>
        <w:t xml:space="preserve">Read the SQL. </w:t>
      </w:r>
      <w:r>
        <w:t xml:space="preserve">Use the View SQL button to understand exactly what was computed. Export to a notebook to run custom analyses.</w:t>
      </w:r>
    </w:p>
    <w:p>
      <w:pPr>
        <w:pStyle w:val="ListParagraph"/>
        <w:numPr>
          <w:ilvl w:val="0"/>
          <w:numId w:val="2"/>
        </w:numPr>
        <w:spacing w:after="60"/>
      </w:pPr>
      <w:r>
        <w:rPr>
          <w:b/>
          <w:bCs/>
        </w:rPr>
        <w:t xml:space="preserve">Consider surrogate confidence. </w:t>
      </w:r>
      <w:r>
        <w:t xml:space="preserve">If the surrogate projection badge is yellow or red, prefer direct metric observation over surrogate projections.</w:t>
      </w:r>
    </w:p>
    <w:p>
      <w:pPr>
        <w:pStyle w:val="Heading2"/>
      </w:pPr>
      <w:r>
        <w:t xml:space="preserve">14.3 Organizational Discipline</w:t>
      </w:r>
    </w:p>
    <w:p>
      <w:pPr>
        <w:pStyle w:val="ListParagraph"/>
        <w:numPr>
          <w:ilvl w:val="0"/>
          <w:numId w:val="3"/>
        </w:numPr>
        <w:spacing w:after="60"/>
      </w:pPr>
      <w:r>
        <w:t xml:space="preserve">Establish a weekly experiment review meeting tied to GST planned looks.</w:t>
      </w:r>
    </w:p>
    <w:p>
      <w:pPr>
        <w:pStyle w:val="ListParagraph"/>
        <w:numPr>
          <w:ilvl w:val="0"/>
          <w:numId w:val="3"/>
        </w:numPr>
        <w:spacing w:after="60"/>
      </w:pPr>
      <w:r>
        <w:t xml:space="preserve">Never override guardrails without documenting the justification in the experiment notes.</w:t>
      </w:r>
    </w:p>
    <w:p>
      <w:pPr>
        <w:pStyle w:val="ListParagraph"/>
        <w:numPr>
          <w:ilvl w:val="0"/>
          <w:numId w:val="3"/>
        </w:numPr>
        <w:spacing w:after="60"/>
      </w:pPr>
      <w:r>
        <w:t xml:space="preserve">Archive concluded experiments promptly to free bucket space.</w:t>
      </w:r>
    </w:p>
    <w:p>
      <w:pPr>
        <w:pStyle w:val="ListParagraph"/>
        <w:numPr>
          <w:ilvl w:val="0"/>
          <w:numId w:val="3"/>
        </w:numPr>
        <w:spacing w:after="60"/>
      </w:pPr>
      <w:r>
        <w:t xml:space="preserve">Clean up stale feature flags when the platform alerts on 90-day staleness.</w:t>
      </w:r>
    </w:p>
    <w:p>
      <w:pPr>
        <w:pStyle w:val="ListParagraph"/>
        <w:numPr>
          <w:ilvl w:val="0"/>
          <w:numId w:val="3"/>
        </w:numPr>
        <w:spacing w:after="60"/>
      </w:pPr>
      <w:r>
        <w:t xml:space="preserve">Use separate layers for independent workstreams to maximize concurrent experiment capacity.</w:t>
      </w:r>
    </w:p>
    <w:p>
      <w:r>
        <w:br w:type="page"/>
      </w:r>
    </w:p>
    <w:p>
      <w:pPr>
        <w:pStyle w:val="Heading1"/>
      </w:pPr>
      <w: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ARM</w:t>
            </w:r>
          </w:p>
        </w:tc>
        <w:tc>
          <w:tcPr>
            <w:tcW w:type="dxa" w:w="6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 treatment option in a bandit experiment. Analogous to a variant in A/B testing.</w:t>
            </w:r>
          </w:p>
        </w:tc>
      </w:tr>
      <w:tr>
        <w:tc>
          <w:tcPr>
            <w:tcW w:type="dxa" w:w="2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Bucket</w:t>
            </w:r>
          </w:p>
        </w:tc>
        <w:tc>
          <w:tcPr>
            <w:tcW w:type="dxa" w:w="69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A unit of hash space within a layer. The platform uses 1,000 buckets per layer.</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CUPED</w:t>
            </w:r>
          </w:p>
        </w:tc>
        <w:tc>
          <w:tcPr>
            <w:tcW w:type="dxa" w:w="6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Controlled-experiment Using Pre-Experiment Data. A variance reduction technique.</w:t>
            </w:r>
          </w:p>
        </w:tc>
      </w:tr>
      <w:tr>
        <w:tc>
          <w:tcPr>
            <w:tcW w:type="dxa" w:w="2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Delta Lake</w:t>
            </w:r>
          </w:p>
        </w:tc>
        <w:tc>
          <w:tcPr>
            <w:tcW w:type="dxa" w:w="69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Open-source storage layer providing ACID transactions on top of S3/cloud object stores.</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GST</w:t>
            </w:r>
          </w:p>
        </w:tc>
        <w:tc>
          <w:tcPr>
            <w:tcW w:type="dxa" w:w="6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Group Sequential Testing. Pre-planned analysis looks with alpha spending functions.</w:t>
            </w:r>
          </w:p>
        </w:tc>
      </w:tr>
      <w:tr>
        <w:tc>
          <w:tcPr>
            <w:tcW w:type="dxa" w:w="2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Guardrail</w:t>
            </w:r>
          </w:p>
        </w:tc>
        <w:tc>
          <w:tcPr>
            <w:tcW w:type="dxa" w:w="69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A metric threshold that, when breached, triggers experiment pause or alert.</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Interleaving</w:t>
            </w:r>
          </w:p>
        </w:tc>
        <w:tc>
          <w:tcPr>
            <w:tcW w:type="dxa" w:w="6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 method of comparing ranked lists by merging them and tracking per-item engagement.</w:t>
            </w:r>
          </w:p>
        </w:tc>
      </w:tr>
      <w:tr>
        <w:tc>
          <w:tcPr>
            <w:tcW w:type="dxa" w:w="2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IPW</w:t>
            </w:r>
          </w:p>
        </w:tc>
        <w:tc>
          <w:tcPr>
            <w:tcW w:type="dxa" w:w="69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Inverse Propensity Weighting. Used to debias treatment effect estimates from adaptive assignment.</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Layer</w:t>
            </w:r>
          </w:p>
        </w:tc>
        <w:tc>
          <w:tcPr>
            <w:tcW w:type="dxa" w:w="6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 partition of user traffic space enabling concurrent, non-conflicting experiments.</w:t>
            </w:r>
          </w:p>
        </w:tc>
      </w:tr>
      <w:tr>
        <w:tc>
          <w:tcPr>
            <w:tcW w:type="dxa" w:w="2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Lifecycle Segment</w:t>
            </w:r>
          </w:p>
        </w:tc>
        <w:tc>
          <w:tcPr>
            <w:tcW w:type="dxa" w:w="69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User classification (Trial, New, Established, At-Risk) based on subscription attributes.</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mSPRT</w:t>
            </w:r>
          </w:p>
        </w:tc>
        <w:tc>
          <w:tcPr>
            <w:tcW w:type="dxa" w:w="6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Mixture Sequential Probability Ratio Test. Always-valid, peek-any-time sequential test.</w:t>
            </w:r>
          </w:p>
        </w:tc>
      </w:tr>
      <w:tr>
        <w:tc>
          <w:tcPr>
            <w:tcW w:type="dxa" w:w="2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QoE</w:t>
            </w:r>
          </w:p>
        </w:tc>
        <w:tc>
          <w:tcPr>
            <w:tcW w:type="dxa" w:w="69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Quality of Experience. Playback quality metrics (TTFF, rebuffer, bitrate, etc.).</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RocksDB</w:t>
            </w:r>
          </w:p>
        </w:tc>
        <w:tc>
          <w:tcPr>
            <w:tcW w:type="dxa" w:w="6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Embedded key-value store used by M4b for crash-only bandit policy persistence.</w:t>
            </w:r>
          </w:p>
        </w:tc>
      </w:tr>
      <w:tr>
        <w:tc>
          <w:tcPr>
            <w:tcW w:type="dxa" w:w="24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SRM</w:t>
            </w:r>
          </w:p>
        </w:tc>
        <w:tc>
          <w:tcPr>
            <w:tcW w:type="dxa" w:w="69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shd w:val="clear"/>
              </w:rPr>
              <w:t xml:space="preserve">Sample Ratio Mismatch. A chi-squared diagnostic that detects assignment or pipeline bugs.</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Surrogate</w:t>
            </w:r>
          </w:p>
        </w:tc>
        <w:tc>
          <w:tcPr>
            <w:tcW w:type="dxa" w:w="6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 model predicting long-term outcomes from short-term behavior (e.g., churn from engagement).</w:t>
            </w:r>
          </w:p>
        </w:tc>
      </w:tr>
    </w:tbl>
    <w:p>
      <w:pPr>
        <w:spacing w:after="400"/>
      </w:pPr>
    </w:p>
    <w:p>
      <w:pPr>
        <w:pBdr>
          <w:top w:val="single" w:color="2E86C1" w:sz="2" w:space="8"/>
        </w:pBdr>
        <w:spacing w:before="400"/>
        <w:jc w:val="center"/>
      </w:pPr>
      <w:r>
        <w:rPr>
          <w:rFonts w:ascii="Arial" w:cs="Arial" w:eastAsia="Arial" w:hAnsi="Arial"/>
          <w:i/>
          <w:iCs/>
          <w:color w:val="666666"/>
          <w:sz w:val="20"/>
          <w:szCs w:val="20"/>
        </w:rPr>
        <w:t xml:space="preserve">End of Document</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tabs>
        <w:tab w:val="right" w:pos="9026"/>
      </w:tabs>
    </w:pPr>
    <w:r>
      <w:rPr>
        <w:rFonts w:ascii="Arial" w:cs="Arial" w:eastAsia="Arial" w:hAnsi="Arial"/>
        <w:i/>
        <w:iCs/>
        <w:color w:val="666666"/>
        <w:sz w:val="18"/>
        <w:szCs w:val="18"/>
      </w:rPr>
      <w:t xml:space="preserve">Kaizen Experimentation Platform</w:t>
    </w:r>
    <w:r>
      <w:rPr>
        <w:rFonts w:ascii="Arial" w:cs="Arial" w:eastAsia="Arial" w:hAnsi="Arial"/>
        <w:i/>
        <w:iCs/>
        <w:color w:val="666666"/>
        <w:sz w:val="18"/>
        <w:szCs w:val="18"/>
      </w:rPr>
      <w:t xml:space="preserve">	User Guide v5.1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tabs>
        <w:tab w:val="right" w:pos="9026"/>
      </w:tabs>
    </w:pPr>
    <w:r>
      <w:rPr>
        <w:rFonts w:ascii="Arial" w:cs="Arial" w:eastAsia="Arial" w:hAnsi="Arial"/>
        <w:i/>
        <w:iCs/>
        <w:color w:val="666666"/>
        <w:sz w:val="18"/>
        <w:szCs w:val="18"/>
      </w:rPr>
      <w:t xml:space="preserve">Kaizen Experimentation Platform</w:t>
    </w:r>
    <w:r>
      <w:rPr>
        <w:rFonts w:ascii="Arial" w:cs="Arial" w:eastAsia="Arial" w:hAnsi="Arial"/>
        <w:i/>
        <w:iCs/>
        <w:color w:val="666666"/>
        <w:sz w:val="18"/>
        <w:szCs w:val="18"/>
      </w:rPr>
      <w:t xml:space="preserve">	User Guide v5.1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10"/>
    <w:lvlOverride w:ilvl="0">
      <w:startOverride w:val="1"/>
    </w:lvlOverride>
  </w:num>
  <w:num w:numId="8">
    <w:abstractNumId w:val="11"/>
    <w:lvlOverride w:ilvl="0">
      <w:startOverride w:val="1"/>
    </w:lvlOverride>
  </w:num>
  <w:num w:numId="9">
    <w:abstractNumId w:val="12"/>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5436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2026-03-09T01:56:09.981Z</dcterms:created>
  <dcterms:modified xsi:type="dcterms:W3CDTF">2026-03-09T01:56:09.982Z</dcterms:modified>
</cp:coreProperties>
</file>

<file path=docProps/custom.xml><?xml version="1.0" encoding="utf-8"?>
<Properties xmlns="http://schemas.openxmlformats.org/officeDocument/2006/custom-properties" xmlns:vt="http://schemas.openxmlformats.org/officeDocument/2006/docPropsVTypes"/>
</file>