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Arial" w:hAnsi="Arial" w:eastAsia="黑体"/>
          <w:color w:val="1664FF"/>
          <w:sz w:val="36"/>
          <w:szCs w:val="36"/>
        </w:rPr>
        <w:t xml:space="preserve">小信助手智能体</w:t>
      </w:r>
    </w:p>
    <w:p>
      <w:pPr>
        <w:spacing w:after="1200"/>
        <w:jc w:val="center"/>
      </w:pPr>
      <w:r>
        <w:rPr>
          <w:rFonts w:ascii="Arial" w:hAnsi="Arial" w:eastAsia="黑体"/>
          <w:b/>
          <w:bCs/>
          <w:sz w:val="52"/>
          <w:szCs w:val="52"/>
        </w:rPr>
        <w:t xml:space="preserve">用户操作手册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6234"/>
      </w:tblGrid>
      <w:tr>
        <w:trPr>
          <w:cantSplit/>
          <w:tblHeader/>
        </w:trPr>
        <w:tc>
          <w:tcPr>
            <w:tcW w:type="dxa" w:w="27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7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7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对应程序版本</w:t>
            </w:r>
          </w:p>
        </w:tc>
        <w:tc>
          <w:tcPr>
            <w:tcW w:type="dxa" w:w="6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 1.0.0、桌面客户端 1.0.0</w:t>
            </w:r>
          </w:p>
        </w:tc>
      </w:tr>
      <w:tr>
        <w:trPr>
          <w:cantSplit/>
          <w:tblHeader w:val="false"/>
        </w:trPr>
        <w:tc>
          <w:tcPr>
            <w:tcW w:type="dxa" w:w="27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6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系统管理员、保障中心客服、运维人员、终端用户、第三方开发者</w:t>
            </w:r>
          </w:p>
        </w:tc>
      </w:tr>
    </w:tbl>
    <w:p>
      <w:pPr>
        <w:spacing w:before="1400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2026 年 10 月</w:t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 w:eastAsia="黑体"/>
          <w:b/>
          <w:bCs/>
          <w:sz w:val="32"/>
          <w:szCs w:val="32"/>
        </w:rPr>
        <w:t xml:space="preserve">目  录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1. 概述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1.1 系统组成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1.2 角色与可用功能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1.3 初始账号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2. 管理端通用操作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2.1 登录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2.2 界面布局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2.3 列表页通用操作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3. 首页总览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4. 终端资源管理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4.1 终端资源清单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4.2 云桌面资源清单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4.3 配件更换监测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4.4 监测指标与预警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4.5 终端异常预警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12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5. 终端运行监测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5.1 终端运行情况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5.2 终端运行数据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6. 客户端管理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6.1 版本管理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6.2 装机软件管理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6.3 型号数据字典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6.4 客户端软件配置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18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7. 消息管理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7.1 消息列表与新建消息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7.2 消息模板管理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21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8. 智能运维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8.1 运维工作台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8.2 来电登记 / 案例检索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8.3 工单池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8.4 案例库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9. 智能问答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9.1 问答测试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9.2 多轮会话管理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9.3 状态跟踪（意图槽位）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28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10. 模型管理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10.1 模型接入与配置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10.2 模型性能监控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10.3 模型微调 / 参数调整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10.4 模型评估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32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11. 信创知识库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11.1 知识库构建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11.2 检索测试与策略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11.3 RAG 链路监控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12. 合同智审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12.1 合同审查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12.2 审查规则管理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12.3 合同模板库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39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12.4 规则效果监控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39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13. 工具与插件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13.1 工具管理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13.2 工具调度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13.3 工具性能评估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13.4 插件开放平台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43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14. 系统管理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14.1 用户管理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14.2 系统设置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15. 运维人员移动端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15.1 登录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15.2 我的工单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15.3 处理工单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15.4 工单补录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49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16. 桌面客户端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16.1 启动与界面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16.2 一键提速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16.3 设备监测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16.4 智能问答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16.5 合同智审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16.6 消息中心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16.7 软件中心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52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16.8 设置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53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17. 典型业务流程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17.1 来电报修到办结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17.2 终端用户自助报修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17.3 新客户端版本发布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17.4 知识库建设与问答优化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18. 常见问题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55</w:t>
      </w:r>
    </w:p>
    <w:p>
      <w:r>
        <w:br w:type="page"/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本手册截图来自演示环境，数据为演示数据；实际界面以部署版本为准。系统安装与部署见《系统安装部署手册》。</w:t>
      </w:r>
    </w:p>
    <w:p>
      <w:pPr>
        <w:pStyle w:val="Heading1"/>
      </w:pPr>
      <w:r>
        <w:rPr>
          <w:rFonts w:ascii="Arial" w:hAnsi="Arial" w:eastAsia="黑体"/>
        </w:rPr>
        <w:t xml:space="preserve">1. 概述</w:t>
      </w:r>
    </w:p>
    <w:p>
      <w:pPr>
        <w:pStyle w:val="Heading2"/>
      </w:pPr>
      <w:r>
        <w:rPr>
          <w:rFonts w:ascii="Arial" w:hAnsi="Arial" w:eastAsia="黑体"/>
        </w:rPr>
        <w:t xml:space="preserve">1.1 系统组成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3885"/>
        <w:gridCol w:w="2915"/>
      </w:tblGrid>
      <w:tr>
        <w:trPr>
          <w:cantSplit/>
          <w:tblHeader/>
        </w:trPr>
        <w:tc>
          <w:tcPr>
            <w:tcW w:type="dxa" w:w="2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组成</w:t>
            </w:r>
          </w:p>
        </w:tc>
        <w:tc>
          <w:tcPr>
            <w:tcW w:type="dxa" w:w="3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访问方式</w:t>
            </w:r>
          </w:p>
        </w:tc>
        <w:tc>
          <w:tcPr>
            <w:tcW w:type="dxa" w:w="29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使用者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</w:t>
            </w:r>
          </w:p>
        </w:tc>
        <w:tc>
          <w:tcPr>
            <w:tcW w:type="dxa" w:w="3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浏览器访问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http://服务器地址:8000/admin/</w:t>
            </w:r>
          </w:p>
        </w:tc>
        <w:tc>
          <w:tcPr>
            <w:tcW w:type="dxa" w:w="29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系统管理员、保障中心客服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运维人员移动端</w:t>
            </w:r>
          </w:p>
        </w:tc>
        <w:tc>
          <w:tcPr>
            <w:tcW w:type="dxa" w:w="3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手机浏览器访问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http://服务器地址:8000/h5/</w:t>
            </w:r>
          </w:p>
        </w:tc>
        <w:tc>
          <w:tcPr>
            <w:tcW w:type="dxa" w:w="29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运维人员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桌面客户端</w:t>
            </w:r>
          </w:p>
        </w:tc>
        <w:tc>
          <w:tcPr>
            <w:tcW w:type="dxa" w:w="3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终端上的“小信助手”程序</w:t>
            </w:r>
          </w:p>
        </w:tc>
        <w:tc>
          <w:tcPr>
            <w:tcW w:type="dxa" w:w="29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终端用户</w:t>
            </w:r>
          </w:p>
        </w:tc>
      </w:tr>
      <w:tr>
        <w:trPr>
          <w:cantSplit/>
          <w:tblHeader w:val="false"/>
        </w:trPr>
        <w:tc>
          <w:tcPr>
            <w:tcW w:type="dxa" w:w="2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开放平台</w:t>
            </w:r>
          </w:p>
        </w:tc>
        <w:tc>
          <w:tcPr>
            <w:tcW w:type="dxa" w:w="3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接口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/open/v1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+ SDK</w:t>
            </w:r>
          </w:p>
        </w:tc>
        <w:tc>
          <w:tcPr>
            <w:tcW w:type="dxa" w:w="29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第三方开发者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1.2 角色与可用功能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2"/>
        <w:gridCol w:w="4109"/>
        <w:gridCol w:w="2665"/>
      </w:tblGrid>
      <w:tr>
        <w:trPr>
          <w:cantSplit/>
          <w:tblHeader/>
        </w:trPr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1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管理端可见菜单</w:t>
            </w:r>
          </w:p>
        </w:tc>
        <w:tc>
          <w:tcPr>
            <w:tcW w:type="dxa" w:w="26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其他</w:t>
            </w:r>
          </w:p>
        </w:tc>
      </w:tr>
      <w:tr>
        <w:trPr>
          <w:cantSplit/>
          <w:tblHeader w:val="false"/>
        </w:trPr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管理员（admin）</w:t>
            </w:r>
          </w:p>
        </w:tc>
        <w:tc>
          <w:tcPr>
            <w:tcW w:type="dxa" w:w="41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全部菜单</w:t>
            </w:r>
          </w:p>
        </w:tc>
        <w:tc>
          <w:tcPr>
            <w:tcW w:type="dxa" w:w="26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客服（cs）</w:t>
            </w:r>
          </w:p>
        </w:tc>
        <w:tc>
          <w:tcPr>
            <w:tcW w:type="dxa" w:w="41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首页总览、消息管理、智能运维、智能问答、合同智审</w:t>
            </w:r>
          </w:p>
        </w:tc>
        <w:tc>
          <w:tcPr>
            <w:tcW w:type="dxa" w:w="26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运维（ops）</w:t>
            </w:r>
          </w:p>
        </w:tc>
        <w:tc>
          <w:tcPr>
            <w:tcW w:type="dxa" w:w="41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首页总览、智能运维、智能问答、合同智审</w:t>
            </w:r>
          </w:p>
        </w:tc>
        <w:tc>
          <w:tcPr>
            <w:tcW w:type="dxa" w:w="26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主要使用移动端处理工单</w:t>
            </w:r>
          </w:p>
        </w:tc>
      </w:tr>
      <w:tr>
        <w:trPr>
          <w:cantSplit/>
          <w:tblHeader w:val="false"/>
        </w:trPr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终端用户</w:t>
            </w:r>
          </w:p>
        </w:tc>
        <w:tc>
          <w:tcPr>
            <w:tcW w:type="dxa" w:w="41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26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使用桌面客户端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1.3 初始账号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7"/>
        <w:gridCol w:w="3547"/>
        <w:gridCol w:w="2252"/>
      </w:tblGrid>
      <w:tr>
        <w:trPr>
          <w:cantSplit/>
          <w:tblHeader/>
        </w:trPr>
        <w:tc>
          <w:tcPr>
            <w:tcW w:type="dxa" w:w="32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账号</w:t>
            </w:r>
          </w:p>
        </w:tc>
        <w:tc>
          <w:tcPr>
            <w:tcW w:type="dxa" w:w="35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初始密码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admin</w:t>
            </w:r>
          </w:p>
        </w:tc>
        <w:tc>
          <w:tcPr>
            <w:tcW w:type="dxa" w:w="35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管理员</w:t>
            </w:r>
          </w:p>
        </w:tc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admin123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kefu</w:t>
            </w:r>
          </w:p>
        </w:tc>
        <w:tc>
          <w:tcPr>
            <w:tcW w:type="dxa" w:w="35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客服</w:t>
            </w:r>
          </w:p>
        </w:tc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123456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yunwei1、yunwei2</w:t>
            </w:r>
          </w:p>
        </w:tc>
        <w:tc>
          <w:tcPr>
            <w:tcW w:type="dxa" w:w="35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运维（市保障中心）</w:t>
            </w:r>
          </w:p>
        </w:tc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123456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changshang</w:t>
            </w:r>
          </w:p>
        </w:tc>
        <w:tc>
          <w:tcPr>
            <w:tcW w:type="dxa" w:w="35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运维（纳管厂商）</w:t>
            </w:r>
          </w:p>
        </w:tc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123456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xqyunwei</w:t>
            </w:r>
          </w:p>
        </w:tc>
        <w:tc>
          <w:tcPr>
            <w:tcW w:type="dxa" w:w="35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运维（区县保障站）</w:t>
            </w:r>
          </w:p>
        </w:tc>
        <w:tc>
          <w:tcPr>
            <w:tcW w:type="dxa" w:w="22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123456</w:t>
            </w:r>
          </w:p>
        </w:tc>
      </w:tr>
    </w:tbl>
    <w:p>
      <w:pPr>
        <w:spacing w:after="60"/>
      </w:pP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首次登录后请立即修改密码（见 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14.2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）。</w:t>
      </w:r>
    </w:p>
    <w:p>
      <w:pPr>
        <w:pStyle w:val="Heading1"/>
      </w:pPr>
      <w:r>
        <w:rPr>
          <w:rFonts w:ascii="Arial" w:hAnsi="Arial" w:eastAsia="黑体"/>
        </w:rPr>
        <w:t xml:space="preserve">2. 管理端通用操作</w:t>
      </w:r>
    </w:p>
    <w:p>
      <w:pPr>
        <w:pStyle w:val="Heading2"/>
      </w:pPr>
      <w:r>
        <w:rPr>
          <w:rFonts w:ascii="Arial" w:hAnsi="Arial" w:eastAsia="黑体"/>
        </w:rPr>
        <w:t xml:space="preserve">2.1 登录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浏览器打开 </w:t>
      </w:r>
      <w:r>
        <w:rPr>
          <w:rFonts w:ascii="Consolas" w:hAnsi="Consolas" w:eastAsia="宋体"/>
          <w:color w:val="8B1A1A"/>
          <w:sz w:val="22"/>
          <w:szCs w:val="22"/>
        </w:rPr>
        <w:t xml:space="preserve">http://服务器地址:8000/admin/</w:t>
      </w:r>
      <w:r>
        <w:rPr>
          <w:rFonts w:ascii="Times New Roman" w:hAnsi="Times New Roman" w:eastAsia="宋体"/>
          <w:sz w:val="24"/>
          <w:szCs w:val="24"/>
        </w:rPr>
        <w:t xml:space="preserve">（直接访问服务器地址也会自动跳转）；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输入账号和密码，点击“登 录”，或在密码框中按回车。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0" descr="登录页" title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  登录页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登录有效期默认 24 小时，过期后需要重新登录。</w:t>
      </w:r>
    </w:p>
    <w:p>
      <w:pPr>
        <w:pStyle w:val="Heading2"/>
      </w:pPr>
      <w:r>
        <w:rPr>
          <w:rFonts w:ascii="Arial" w:hAnsi="Arial" w:eastAsia="黑体"/>
        </w:rPr>
        <w:t xml:space="preserve">2.2 界面布局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6672"/>
      </w:tblGrid>
      <w:tr>
        <w:trPr>
          <w:cantSplit/>
          <w:tblHeader/>
        </w:trPr>
        <w:tc>
          <w:tcPr>
            <w:tcW w:type="dxa" w:w="23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区域</w:t>
            </w:r>
          </w:p>
        </w:tc>
        <w:tc>
          <w:tcPr>
            <w:tcW w:type="dxa" w:w="6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顶部栏</w:t>
            </w:r>
          </w:p>
        </w:tc>
        <w:tc>
          <w:tcPr>
            <w:tcW w:type="dxa" w:w="6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左侧为系统名称；右侧显示当前角色和姓名，点击后可“退出登录”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左侧菜单</w:t>
            </w:r>
          </w:p>
        </w:tc>
        <w:tc>
          <w:tcPr>
            <w:tcW w:type="dxa" w:w="6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按角色显示功能菜单，点击一级菜单展开二级菜单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面包屑栏</w:t>
            </w:r>
          </w:p>
        </w:tc>
        <w:tc>
          <w:tcPr>
            <w:tcW w:type="dxa" w:w="6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显示当前所在位置；最左侧按钮可收起 / 展开左侧菜单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内容区</w:t>
            </w:r>
          </w:p>
        </w:tc>
        <w:tc>
          <w:tcPr>
            <w:tcW w:type="dxa" w:w="6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当前页面的内容，标题前有蓝色箭头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2.3 列表页通用操作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大多数列表页（如用户、版本、软件、字典、模板、规则）操作方式相同：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7360"/>
      </w:tblGrid>
      <w:tr>
        <w:trPr>
          <w:cantSplit/>
          <w:tblHeader/>
        </w:trPr>
        <w:tc>
          <w:tcPr>
            <w:tcW w:type="dxa" w:w="16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方法</w:t>
            </w:r>
          </w:p>
        </w:tc>
      </w:tr>
      <w:tr>
        <w:trPr>
          <w:cantSplit/>
          <w:tblHeader w:val="false"/>
        </w:trPr>
        <w:tc>
          <w:tcPr>
            <w:tcW w:type="dxa" w:w="16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查询</w:t>
            </w:r>
          </w:p>
        </w:tc>
        <w:tc>
          <w:tcPr>
            <w:tcW w:type="dxa" w:w="7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在顶部输入关键字或选择筛选条件，点击“搜 索”；点击“重 置”清空条件</w:t>
            </w:r>
          </w:p>
        </w:tc>
      </w:tr>
      <w:tr>
        <w:trPr>
          <w:cantSplit/>
          <w:tblHeader w:val="false"/>
        </w:trPr>
        <w:tc>
          <w:tcPr>
            <w:tcW w:type="dxa" w:w="16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新增</w:t>
            </w:r>
          </w:p>
        </w:tc>
        <w:tc>
          <w:tcPr>
            <w:tcW w:type="dxa" w:w="7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点击“新 增”，在弹窗中填写后点击“保存”</w:t>
            </w:r>
          </w:p>
        </w:tc>
      </w:tr>
      <w:tr>
        <w:trPr>
          <w:cantSplit/>
          <w:tblHeader w:val="false"/>
        </w:trPr>
        <w:tc>
          <w:tcPr>
            <w:tcW w:type="dxa" w:w="16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编辑</w:t>
            </w:r>
          </w:p>
        </w:tc>
        <w:tc>
          <w:tcPr>
            <w:tcW w:type="dxa" w:w="7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点击行内“编辑”，修改后点击“保存”</w:t>
            </w:r>
          </w:p>
        </w:tc>
      </w:tr>
      <w:tr>
        <w:trPr>
          <w:cantSplit/>
          <w:tblHeader w:val="false"/>
        </w:trPr>
        <w:tc>
          <w:tcPr>
            <w:tcW w:type="dxa" w:w="16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</w:t>
            </w:r>
          </w:p>
        </w:tc>
        <w:tc>
          <w:tcPr>
            <w:tcW w:type="dxa" w:w="7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点击行内“删除”，在确认框中点击“确定”</w:t>
            </w:r>
          </w:p>
        </w:tc>
      </w:tr>
      <w:tr>
        <w:trPr>
          <w:cantSplit/>
          <w:tblHeader w:val="false"/>
        </w:trPr>
        <w:tc>
          <w:tcPr>
            <w:tcW w:type="dxa" w:w="16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翻页</w:t>
            </w:r>
          </w:p>
        </w:tc>
        <w:tc>
          <w:tcPr>
            <w:tcW w:type="dxa" w:w="7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在列表右下角切换页码、每页条数，或输入页码跳转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3. 首页总览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首页总览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展示接入小信助手的终端统计：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统计卡片</w:t>
      </w:r>
      <w:r>
        <w:rPr>
          <w:rFonts w:ascii="Times New Roman" w:hAnsi="Times New Roman" w:eastAsia="宋体"/>
          <w:sz w:val="24"/>
          <w:szCs w:val="24"/>
        </w:rPr>
        <w:t xml:space="preserve">：接入终端总数、在线终端、离线终端、信创终端、云桌面终端、未处理预警；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指标卡片</w:t>
      </w:r>
      <w:r>
        <w:rPr>
          <w:rFonts w:ascii="Times New Roman" w:hAnsi="Times New Roman" w:eastAsia="宋体"/>
          <w:sz w:val="24"/>
          <w:szCs w:val="24"/>
        </w:rPr>
        <w:t xml:space="preserve">：接入率、替代完成率、双轨率、活跃率（近 7 日）、违规双系统数，不达标时显示为橙色或红色；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图表</w:t>
      </w:r>
      <w:r>
        <w:rPr>
          <w:rFonts w:ascii="Times New Roman" w:hAnsi="Times New Roman" w:eastAsia="宋体"/>
          <w:sz w:val="24"/>
          <w:szCs w:val="24"/>
        </w:rPr>
        <w:t xml:space="preserve">：操作系统分布、CPU 分布、部门分布、近 14 日活跃终端、负载 TOP10（在线）、客户端版本分布、品牌分布。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" descr="首页总览" title="首页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  首页总览</w:t>
      </w:r>
    </w:p>
    <w:p>
      <w:pPr>
        <w:pStyle w:val="Heading1"/>
      </w:pPr>
      <w:r>
        <w:rPr>
          <w:rFonts w:ascii="Arial" w:hAnsi="Arial" w:eastAsia="黑体"/>
        </w:rPr>
        <w:t xml:space="preserve">4. 终端资源管理</w:t>
      </w:r>
    </w:p>
    <w:p>
      <w:pPr>
        <w:pStyle w:val="Heading2"/>
      </w:pPr>
      <w:r>
        <w:rPr>
          <w:rFonts w:ascii="Arial" w:hAnsi="Arial" w:eastAsia="黑体"/>
        </w:rPr>
        <w:t xml:space="preserve">4.1 终端资源清单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终端资源管理 → 终端资源清单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按需输入“主机名 / 使用人 / IP / 序列号”关键字，或选择部门、状态、是否信创、双系统、云桌面、操作系统、CPU、品牌，点击“查询”；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列表显示主机名、使用人、部门、IP、CPU、操作系统、内存 / 硬盘、当前负载、是否信创、双系统、状态、客户端版本、最后上报时间。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" descr="终端资源清单" title="终端资源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  终端资源清单</w:t>
      </w:r>
    </w:p>
    <w:p>
      <w:pPr>
        <w:pStyle w:val="ListParagraph"/>
        <w:numPr>
          <w:ilvl w:val="0"/>
          <w:numId w:val="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点击行内“详情”，打开终端详情：上方为完整采集信息，中间为负载趋势，下方页签可查看该终端的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配件变更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预警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运行记录</w:t>
      </w:r>
      <w:r>
        <w:rPr>
          <w:rFonts w:ascii="Times New Roman" w:hAnsi="Times New Roman" w:eastAsia="宋体"/>
          <w:sz w:val="24"/>
          <w:szCs w:val="24"/>
        </w:rPr>
        <w:t xml:space="preserve">和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原始采集</w:t>
      </w:r>
      <w:r>
        <w:rPr>
          <w:rFonts w:ascii="Times New Roman" w:hAnsi="Times New Roman" w:eastAsia="宋体"/>
          <w:sz w:val="24"/>
          <w:szCs w:val="24"/>
        </w:rPr>
        <w:t xml:space="preserve">数据。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" descr="终端详情" title="终端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  终端详情</w:t>
      </w:r>
    </w:p>
    <w:p>
      <w:pPr>
        <w:pStyle w:val="Heading2"/>
      </w:pPr>
      <w:r>
        <w:rPr>
          <w:rFonts w:ascii="Arial" w:hAnsi="Arial" w:eastAsia="黑体"/>
        </w:rPr>
        <w:t xml:space="preserve">4.2 云桌面资源清单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终端资源管理 → 云桌面资源清单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“云桌面资源清单”页签：按云桌面服务端分组，展示其下的用户端终端（主机、使用人、部门、操作系统、状态、最后上报），可按“用户端主机名 / 使用人 / IP”查询；</w:t>
      </w:r>
    </w:p>
    <w:p>
      <w:pPr>
        <w:pStyle w:val="ListParagraph"/>
        <w:numPr>
          <w:ilvl w:val="0"/>
          <w:numId w:val="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“云桌面服务端”页签：维护云桌面服务器（名称、IP、配置、位置、备注）。</w:t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终端在客户端“设置”中勾选“本机为云桌面用户端”并填写云桌面服务端名称后，会归入对应服务端。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4" descr="云桌面资源清单" title="云桌面资源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5  云桌面资源清单</w:t>
      </w:r>
    </w:p>
    <w:p>
      <w:pPr>
        <w:pStyle w:val="Heading2"/>
      </w:pPr>
      <w:r>
        <w:rPr>
          <w:rFonts w:ascii="Arial" w:hAnsi="Arial" w:eastAsia="黑体"/>
        </w:rPr>
        <w:t xml:space="preserve">4.3 配件更换监测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终端资源管理 → 配件更换监测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客户端发现配件变化（CPU、内存、硬盘、操作系统、品牌、型号、序列号、网卡 MAC）时会上报到这里。</w:t>
      </w:r>
    </w:p>
    <w:p>
      <w:pPr>
        <w:pStyle w:val="ListParagraph"/>
        <w:numPr>
          <w:ilvl w:val="0"/>
          <w:numId w:val="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可按“设备 ID / 配件”和确认状态（未确认 / 已确认）查询；</w:t>
      </w:r>
    </w:p>
    <w:p>
      <w:pPr>
        <w:pStyle w:val="ListParagraph"/>
        <w:numPr>
          <w:ilvl w:val="0"/>
          <w:numId w:val="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核实变更属实（例如有对应的维修工单）后，点击“确认更换”。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5" descr="配件更换监测" title="配件更换监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6  配件更换监测</w:t>
      </w:r>
    </w:p>
    <w:p>
      <w:pPr>
        <w:pStyle w:val="Heading2"/>
      </w:pPr>
      <w:r>
        <w:rPr>
          <w:rFonts w:ascii="Arial" w:hAnsi="Arial" w:eastAsia="黑体"/>
        </w:rPr>
        <w:t xml:space="preserve">4.4 监测指标与预警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终端资源管理 → 监测指标与预警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指标预警</w:t>
      </w:r>
      <w:r>
        <w:rPr>
          <w:rFonts w:ascii="Times New Roman" w:hAnsi="Times New Roman" w:eastAsia="宋体"/>
          <w:sz w:val="24"/>
          <w:szCs w:val="24"/>
        </w:rPr>
        <w:t xml:space="preserve">：列出未达标的指标（如接入率低于 90%）；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全局指标</w:t>
      </w:r>
      <w:r>
        <w:rPr>
          <w:rFonts w:ascii="Times New Roman" w:hAnsi="Times New Roman" w:eastAsia="宋体"/>
          <w:sz w:val="24"/>
          <w:szCs w:val="24"/>
        </w:rPr>
        <w:t xml:space="preserve">：接入率、替代完成率、双轨率、活跃率、违规双系统数；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各部门对比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部门指标明细</w:t>
      </w:r>
      <w:r>
        <w:rPr>
          <w:rFonts w:ascii="Times New Roman" w:hAnsi="Times New Roman" w:eastAsia="宋体"/>
          <w:sz w:val="24"/>
          <w:szCs w:val="24"/>
        </w:rPr>
        <w:t xml:space="preserve">：按部门统计终端数、信创数和各项指标；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异常 / 不合规终端</w:t>
      </w:r>
      <w:r>
        <w:rPr>
          <w:rFonts w:ascii="Times New Roman" w:hAnsi="Times New Roman" w:eastAsia="宋体"/>
          <w:sz w:val="24"/>
          <w:szCs w:val="24"/>
        </w:rPr>
        <w:t xml:space="preserve">：列出违规双系统、非信创等问题终端；</w:t>
      </w:r>
    </w:p>
    <w:p>
      <w:pPr>
        <w:pStyle w:val="ListParagraph"/>
        <w:numPr>
          <w:ilvl w:val="0"/>
          <w:numId w:val="8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指标阈值与应接入数配置</w:t>
      </w:r>
      <w:r>
        <w:rPr>
          <w:rFonts w:ascii="Times New Roman" w:hAnsi="Times New Roman" w:eastAsia="宋体"/>
          <w:sz w:val="24"/>
          <w:szCs w:val="24"/>
        </w:rPr>
        <w:t xml:space="preserve">：设置各指标的预警阈值，以及“应接入终端总数”（填 0 表示按已接入数计算），点击“保存”。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6" descr="监测指标与预警" title="监测指标与预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7  监测指标与预警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指标计算口径：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6097"/>
      </w:tblGrid>
      <w:tr>
        <w:trPr>
          <w:cantSplit/>
          <w:tblHeader/>
        </w:trPr>
        <w:tc>
          <w:tcPr>
            <w:tcW w:type="dxa" w:w="2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6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计算方法</w:t>
            </w:r>
          </w:p>
        </w:tc>
      </w:tr>
      <w:tr>
        <w:trPr>
          <w:cantSplit/>
          <w:tblHeader w:val="false"/>
        </w:trPr>
        <w:tc>
          <w:tcPr>
            <w:tcW w:type="dxa" w:w="2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接入率</w:t>
            </w:r>
          </w:p>
        </w:tc>
        <w:tc>
          <w:tcPr>
            <w:tcW w:type="dxa" w:w="6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已接入终端数 ÷ 应接入终端数</w:t>
            </w:r>
          </w:p>
        </w:tc>
      </w:tr>
      <w:tr>
        <w:trPr>
          <w:cantSplit/>
          <w:tblHeader w:val="false"/>
        </w:trPr>
        <w:tc>
          <w:tcPr>
            <w:tcW w:type="dxa" w:w="2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替代完成率</w:t>
            </w:r>
          </w:p>
        </w:tc>
        <w:tc>
          <w:tcPr>
            <w:tcW w:type="dxa" w:w="6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信创终端数 ÷ 已接入终端数</w:t>
            </w:r>
          </w:p>
        </w:tc>
      </w:tr>
      <w:tr>
        <w:trPr>
          <w:cantSplit/>
          <w:tblHeader w:val="false"/>
        </w:trPr>
        <w:tc>
          <w:tcPr>
            <w:tcW w:type="dxa" w:w="2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双轨率</w:t>
            </w:r>
          </w:p>
        </w:tc>
        <w:tc>
          <w:tcPr>
            <w:tcW w:type="dxa" w:w="6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同时使用信创和非信创终端的人数 ÷ 有使用人信息的人数</w:t>
            </w:r>
          </w:p>
        </w:tc>
      </w:tr>
      <w:tr>
        <w:trPr>
          <w:cantSplit/>
          <w:tblHeader w:val="false"/>
        </w:trPr>
        <w:tc>
          <w:tcPr>
            <w:tcW w:type="dxa" w:w="2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活跃率</w:t>
            </w:r>
          </w:p>
        </w:tc>
        <w:tc>
          <w:tcPr>
            <w:tcW w:type="dxa" w:w="6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近 7 天有上报的终端数 ÷ 已接入终端数</w:t>
            </w:r>
          </w:p>
        </w:tc>
      </w:tr>
      <w:tr>
        <w:trPr>
          <w:cantSplit/>
          <w:tblHeader w:val="false"/>
        </w:trPr>
        <w:tc>
          <w:tcPr>
            <w:tcW w:type="dxa" w:w="2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违规双系统数</w:t>
            </w:r>
          </w:p>
        </w:tc>
        <w:tc>
          <w:tcPr>
            <w:tcW w:type="dxa" w:w="6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检测到双系统的终端数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4.5 终端异常预警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终端资源管理 → 终端异常预警</w:t>
      </w:r>
    </w:p>
    <w:p>
      <w:pPr>
        <w:pStyle w:val="ListParagraph"/>
        <w:numPr>
          <w:ilvl w:val="0"/>
          <w:numId w:val="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预警信息</w:t>
      </w:r>
      <w:r>
        <w:rPr>
          <w:rFonts w:ascii="Times New Roman" w:hAnsi="Times New Roman" w:eastAsia="宋体"/>
          <w:sz w:val="24"/>
          <w:szCs w:val="24"/>
        </w:rPr>
        <w:t xml:space="preserve">页签：按内容 / 设备、状态（未处理 / 已处理）、级别查询；处理后点击行内“处理”，或勾选多条后点击“批量处理”。</w:t>
      </w:r>
    </w:p>
    <w:p>
      <w:pPr>
        <w:pStyle w:val="ListParagraph"/>
        <w:numPr>
          <w:ilvl w:val="0"/>
          <w:numId w:val="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预警规则</w:t>
      </w:r>
      <w:r>
        <w:rPr>
          <w:rFonts w:ascii="Times New Roman" w:hAnsi="Times New Roman" w:eastAsia="宋体"/>
          <w:sz w:val="24"/>
          <w:szCs w:val="24"/>
        </w:rPr>
        <w:t xml:space="preserve">页签：新增或编辑规则，设置规则名称、监测项、比较符、阈值、级别、是否启用。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7" descr="终端异常预警" title="终端异常预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8  终端异常预警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1"/>
        <w:gridCol w:w="2893"/>
        <w:gridCol w:w="3012"/>
      </w:tblGrid>
      <w:tr>
        <w:trPr>
          <w:cantSplit/>
          <w:tblHeader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监测项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阈值示例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CPU / 内存 / 磁盘使用率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超过阈值时预警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&gt;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90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长期离线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离线天数超过阈值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&gt;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7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违规双系统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检测到双系统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=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1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配件更换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发生配件变更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=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1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U 盘使用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出现 U 盘插入记录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=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1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违规软件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安装或运行了指定软件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迅雷,thunder,steam</w:t>
            </w:r>
          </w:p>
        </w:tc>
      </w:tr>
      <w:tr>
        <w:trPr>
          <w:cantSplit/>
          <w:tblHeader w:val="false"/>
        </w:trPr>
        <w:tc>
          <w:tcPr>
            <w:tcW w:type="dxa" w:w="31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非信创终端</w:t>
            </w:r>
          </w:p>
        </w:tc>
        <w:tc>
          <w:tcPr>
            <w:tcW w:type="dxa" w:w="28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终端不是信创终端</w:t>
            </w:r>
          </w:p>
        </w:tc>
        <w:tc>
          <w:tcPr>
            <w:tcW w:type="dxa" w:w="30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=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1</w:t>
            </w:r>
          </w:p>
        </w:tc>
      </w:tr>
    </w:tbl>
    <w:p>
      <w:pPr>
        <w:spacing w:after="60"/>
      </w:pP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同一终端、同一规则 6 小时内只产生一条未处理预警。</w:t>
      </w:r>
    </w:p>
    <w:p>
      <w:pPr>
        <w:pStyle w:val="Heading1"/>
      </w:pPr>
      <w:r>
        <w:rPr>
          <w:rFonts w:ascii="Arial" w:hAnsi="Arial" w:eastAsia="黑体"/>
        </w:rPr>
        <w:t xml:space="preserve">5. 终端运行监测</w:t>
      </w:r>
    </w:p>
    <w:p>
      <w:pPr>
        <w:pStyle w:val="Heading2"/>
      </w:pPr>
      <w:r>
        <w:rPr>
          <w:rFonts w:ascii="Arial" w:hAnsi="Arial" w:eastAsia="黑体"/>
        </w:rPr>
        <w:t xml:space="preserve">5.1 终端运行情况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终端运行监测 → 终端运行情况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切换“按日 / 按周”，查看活跃终端数量趋势。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8" descr="终端运行情况" title="终端运行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9  终端运行情况</w:t>
      </w:r>
    </w:p>
    <w:p>
      <w:pPr>
        <w:pStyle w:val="Heading2"/>
      </w:pPr>
      <w:r>
        <w:rPr>
          <w:rFonts w:ascii="Arial" w:hAnsi="Arial" w:eastAsia="黑体"/>
        </w:rPr>
        <w:t xml:space="preserve">5.2 终端运行数据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终端运行监测 → 终端运行数据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查看客户端采集的开关机、已装应用、应用使用、U 盘使用、打印机使用记录。可按数据类型和设备 ID 查询；上方图表显示近 7 日各类数据的分布和应用使用 TOP15。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9" descr="终端运行数据" title="终端运行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10  终端运行数据</w:t>
      </w:r>
    </w:p>
    <w:p>
      <w:pPr>
        <w:pStyle w:val="Heading1"/>
      </w:pPr>
      <w:r>
        <w:rPr>
          <w:rFonts w:ascii="Arial" w:hAnsi="Arial" w:eastAsia="黑体"/>
        </w:rPr>
        <w:t xml:space="preserve">6. 客户端管理</w:t>
      </w:r>
    </w:p>
    <w:p>
      <w:pPr>
        <w:pStyle w:val="Heading2"/>
      </w:pPr>
      <w:r>
        <w:rPr>
          <w:rFonts w:ascii="Arial" w:hAnsi="Arial" w:eastAsia="黑体"/>
        </w:rPr>
        <w:t xml:space="preserve">6.1 版本管理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客户端管理 → 版本管理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点击“新 增”，填写版本号（如 1.1.0）、平台（linux / windows）、架构（all / amd64 / arm64）、变更说明，状态选“草稿”，保存；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在行内点击“上传安装包”，选择打包好的 </w:t>
      </w:r>
      <w:r>
        <w:rPr>
          <w:rFonts w:ascii="Consolas" w:hAnsi="Consolas" w:eastAsia="宋体"/>
          <w:color w:val="8B1A1A"/>
          <w:sz w:val="22"/>
          <w:szCs w:val="22"/>
        </w:rPr>
        <w:t xml:space="preserve">.deb</w:t>
      </w:r>
      <w:r>
        <w:rPr>
          <w:rFonts w:ascii="Times New Roman" w:hAnsi="Times New Roman" w:eastAsia="宋体"/>
          <w:sz w:val="24"/>
          <w:szCs w:val="24"/>
        </w:rPr>
        <w:t xml:space="preserve"> 或安装文件；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编辑该版本，将状态改为“已发布”（需要强制升级时勾选“强制更新”）；</w:t>
      </w:r>
    </w:p>
    <w:p>
      <w:pPr>
        <w:pStyle w:val="ListParagraph"/>
        <w:numPr>
          <w:ilvl w:val="0"/>
          <w:numId w:val="1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客户端下次启动检查更新时，会提示用户下载新版本。不再使用的版本可改为“已下线”。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0" descr="版本管理" title="版本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11  版本管理</w:t>
      </w:r>
    </w:p>
    <w:p>
      <w:pPr>
        <w:pStyle w:val="Heading2"/>
      </w:pPr>
      <w:r>
        <w:rPr>
          <w:rFonts w:ascii="Arial" w:hAnsi="Arial" w:eastAsia="黑体"/>
        </w:rPr>
        <w:t xml:space="preserve">6.2 装机软件管理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客户端管理 → 装机软件管理</w:t>
      </w:r>
    </w:p>
    <w:p>
      <w:pPr>
        <w:pStyle w:val="ListParagraph"/>
        <w:numPr>
          <w:ilvl w:val="0"/>
          <w:numId w:val="1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点击“新 增”，填写软件名称、版本、分类、平台、说明，保存；</w:t>
      </w:r>
    </w:p>
    <w:p>
      <w:pPr>
        <w:pStyle w:val="ListParagraph"/>
        <w:numPr>
          <w:ilvl w:val="0"/>
          <w:numId w:val="1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在行内点击“上传安装包”；</w:t>
      </w:r>
    </w:p>
    <w:p>
      <w:pPr>
        <w:pStyle w:val="ListParagraph"/>
        <w:numPr>
          <w:ilvl w:val="0"/>
          <w:numId w:val="1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终端用户可在客户端“软件中心”中下载安装。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1" descr="装机软件管理" title="装机软件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12  装机软件管理</w:t>
      </w:r>
    </w:p>
    <w:p>
      <w:pPr>
        <w:pStyle w:val="Heading2"/>
      </w:pPr>
      <w:r>
        <w:rPr>
          <w:rFonts w:ascii="Arial" w:hAnsi="Arial" w:eastAsia="黑体"/>
        </w:rPr>
        <w:t xml:space="preserve">6.3 型号数据字典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客户端管理 → 型号数据字典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客户端采集到的原始文本（如 </w:t>
      </w:r>
      <w:r>
        <w:rPr>
          <w:rFonts w:ascii="Consolas" w:hAnsi="Consolas" w:eastAsia="宋体"/>
          <w:color w:val="8B1A1A"/>
          <w:sz w:val="22"/>
          <w:szCs w:val="22"/>
        </w:rPr>
        <w:t xml:space="preserve">Phytium FT-2000/4</w:t>
      </w:r>
      <w:r>
        <w:rPr>
          <w:rFonts w:ascii="Times New Roman" w:hAnsi="Times New Roman" w:eastAsia="宋体"/>
          <w:sz w:val="24"/>
          <w:szCs w:val="24"/>
        </w:rPr>
        <w:t xml:space="preserve">）通过字典转换为规范名称（如“飞腾FT-2000/4”），并参与信创判定。</w:t>
      </w:r>
    </w:p>
    <w:p>
      <w:pPr>
        <w:pStyle w:val="ListParagraph"/>
        <w:numPr>
          <w:ilvl w:val="0"/>
          <w:numId w:val="1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点击“新 增”，选择字典类型（cpu / brand / model / os / disk），填写采集原始值（包含匹配）、规范名称；国产 CPU 在“属性”中填“信创”；</w:t>
      </w:r>
    </w:p>
    <w:p>
      <w:pPr>
        <w:pStyle w:val="ListParagraph"/>
        <w:numPr>
          <w:ilvl w:val="0"/>
          <w:numId w:val="1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字典修改后，点击“按字典重新标准化终端数据”，对已接入的终端重新转换。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2" descr="型号数据字典" title="型号数据字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13  型号数据字典</w:t>
      </w:r>
    </w:p>
    <w:p>
      <w:pPr>
        <w:pStyle w:val="Heading2"/>
      </w:pPr>
      <w:r>
        <w:rPr>
          <w:rFonts w:ascii="Arial" w:hAnsi="Arial" w:eastAsia="黑体"/>
        </w:rPr>
        <w:t xml:space="preserve">6.4 客户端软件配置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客户端管理 → 客户端软件配置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配置客户端各任务的执行方式和周期，修改后客户端下次上报时生效。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6"/>
        <w:gridCol w:w="2207"/>
        <w:gridCol w:w="2083"/>
      </w:tblGrid>
      <w:tr>
        <w:trPr>
          <w:cantSplit/>
          <w:tblHeader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配置项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执行方式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默认值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双系统监测进程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启动时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版本检查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启动时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配件信息采集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固定间隔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3600 秒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运行负载采集（心跳）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固定间隔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300 秒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运行数据采集（应用 / U 盘 / 打印）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固定间隔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1800 秒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消息拉取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固定间隔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120 秒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闲置进程判定 CPU 阈值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手动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0.5%</w:t>
            </w:r>
          </w:p>
        </w:tc>
      </w:tr>
      <w:tr>
        <w:trPr>
          <w:cantSplit/>
          <w:tblHeader w:val="false"/>
        </w:trPr>
        <w:tc>
          <w:tcPr>
            <w:tcW w:type="dxa" w:w="47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大文件阈值</w:t>
            </w:r>
          </w:p>
        </w:tc>
        <w:tc>
          <w:tcPr>
            <w:tcW w:type="dxa" w:w="2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手动</w:t>
            </w:r>
          </w:p>
        </w:tc>
        <w:tc>
          <w:tcPr>
            <w:tcW w:type="dxa" w:w="20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100MB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3" descr="客户端软件配置" title="客户端软件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14  客户端软件配置</w:t>
      </w:r>
    </w:p>
    <w:p>
      <w:pPr>
        <w:pStyle w:val="Heading1"/>
      </w:pPr>
      <w:r>
        <w:rPr>
          <w:rFonts w:ascii="Arial" w:hAnsi="Arial" w:eastAsia="黑体"/>
        </w:rPr>
        <w:t xml:space="preserve">7. 消息管理</w:t>
      </w:r>
    </w:p>
    <w:p>
      <w:pPr>
        <w:pStyle w:val="Heading2"/>
      </w:pPr>
      <w:r>
        <w:rPr>
          <w:rFonts w:ascii="Arial" w:hAnsi="Arial" w:eastAsia="黑体"/>
        </w:rPr>
        <w:t xml:space="preserve">7.1 消息列表与新建消息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消息管理 → 消息列表/新建任务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列表显示消息名称、推送范围、创建时间、发送时间、发送对象数、阅读对象数和状态。行内操作：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5"/>
        <w:gridCol w:w="5451"/>
      </w:tblGrid>
      <w:tr>
        <w:trPr>
          <w:cantSplit/>
          <w:tblHeader/>
        </w:trPr>
        <w:tc>
          <w:tcPr>
            <w:tcW w:type="dxa" w:w="35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按钮</w:t>
            </w:r>
          </w:p>
        </w:tc>
        <w:tc>
          <w:tcPr>
            <w:tcW w:type="dxa" w:w="5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5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编辑 / 查阅/编辑</w:t>
            </w:r>
          </w:p>
        </w:tc>
        <w:tc>
          <w:tcPr>
            <w:tcW w:type="dxa" w:w="5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修改未发送的消息，或查看已发送的消息</w:t>
            </w:r>
          </w:p>
        </w:tc>
      </w:tr>
      <w:tr>
        <w:trPr>
          <w:cantSplit/>
          <w:tblHeader w:val="false"/>
        </w:trPr>
        <w:tc>
          <w:tcPr>
            <w:tcW w:type="dxa" w:w="35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立即发送</w:t>
            </w:r>
          </w:p>
        </w:tc>
        <w:tc>
          <w:tcPr>
            <w:tcW w:type="dxa" w:w="5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立即发送草稿或待发送的消息</w:t>
            </w:r>
          </w:p>
        </w:tc>
      </w:tr>
      <w:tr>
        <w:trPr>
          <w:cantSplit/>
          <w:tblHeader w:val="false"/>
        </w:trPr>
        <w:tc>
          <w:tcPr>
            <w:tcW w:type="dxa" w:w="35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阅读情况</w:t>
            </w:r>
          </w:p>
        </w:tc>
        <w:tc>
          <w:tcPr>
            <w:tcW w:type="dxa" w:w="5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查看每台终端的送达和阅读时间</w:t>
            </w:r>
          </w:p>
        </w:tc>
      </w:tr>
      <w:tr>
        <w:trPr>
          <w:cantSplit/>
          <w:tblHeader w:val="false"/>
        </w:trPr>
        <w:tc>
          <w:tcPr>
            <w:tcW w:type="dxa" w:w="35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</w:t>
            </w:r>
          </w:p>
        </w:tc>
        <w:tc>
          <w:tcPr>
            <w:tcW w:type="dxa" w:w="54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删除消息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4" descr="消息列表" title="消息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15  消息列表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新建消息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点击“新建消息任务”；</w:t>
      </w:r>
    </w:p>
    <w:p>
      <w:pPr>
        <w:pStyle w:val="ListParagraph"/>
        <w:numPr>
          <w:ilvl w:val="0"/>
          <w:numId w:val="1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可在“消息模板”中选择模板（内容会带入，可二次编辑），或直接填写消息名称和消息内容；</w:t>
      </w:r>
    </w:p>
    <w:p>
      <w:pPr>
        <w:pStyle w:val="ListParagraph"/>
        <w:numPr>
          <w:ilvl w:val="0"/>
          <w:numId w:val="1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选择推送范围：全部终端 / 按部门 / 指定终端（填写主机名或设备 ID，逗号分隔）；</w:t>
      </w:r>
    </w:p>
    <w:p>
      <w:pPr>
        <w:pStyle w:val="ListParagraph"/>
        <w:numPr>
          <w:ilvl w:val="0"/>
          <w:numId w:val="1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选择发送方式：即时发送，或定时发送并选择发送时间；</w:t>
      </w:r>
    </w:p>
    <w:p>
      <w:pPr>
        <w:pStyle w:val="ListParagraph"/>
        <w:numPr>
          <w:ilvl w:val="0"/>
          <w:numId w:val="1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点击“立即发送”（或“定时发送”）；暂不发送可点击“存草稿”。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5" descr="新建消息" title="新建消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16  新建消息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终端客户端收到消息后在屏幕右下角弹窗提醒，悬浮助手显示红点。</w:t>
      </w:r>
    </w:p>
    <w:p>
      <w:pPr>
        <w:pStyle w:val="Heading2"/>
      </w:pPr>
      <w:r>
        <w:rPr>
          <w:rFonts w:ascii="Arial" w:hAnsi="Arial" w:eastAsia="黑体"/>
        </w:rPr>
        <w:t xml:space="preserve">7.2 消息模板管理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消息管理 → 消息模板管理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维护常用消息模板（模板名称、消息标题、模板内容），新建消息时可直接引用。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6" descr="消息模板" title="消息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17  消息模板</w:t>
      </w:r>
    </w:p>
    <w:p>
      <w:pPr>
        <w:pStyle w:val="Heading1"/>
      </w:pPr>
      <w:r>
        <w:rPr>
          <w:rFonts w:ascii="Arial" w:hAnsi="Arial" w:eastAsia="黑体"/>
        </w:rPr>
        <w:t xml:space="preserve">8. 智能运维</w:t>
      </w:r>
    </w:p>
    <w:p>
      <w:pPr>
        <w:pStyle w:val="Heading2"/>
      </w:pPr>
      <w:r>
        <w:rPr>
          <w:rFonts w:ascii="Arial" w:hAnsi="Arial" w:eastAsia="黑体"/>
        </w:rPr>
        <w:t xml:space="preserve">8.1 运维工作台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智能运维 → 运维工作台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顶部统计各状态的工单数量；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工单预警</w:t>
      </w:r>
      <w:r>
        <w:rPr>
          <w:rFonts w:ascii="Times New Roman" w:hAnsi="Times New Roman" w:eastAsia="宋体"/>
          <w:sz w:val="24"/>
          <w:szCs w:val="24"/>
        </w:rPr>
        <w:t xml:space="preserve">：提示待指派、挂起待审核的工单；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近 7 日工单趋势</w:t>
      </w:r>
      <w:r>
        <w:rPr>
          <w:rFonts w:ascii="Times New Roman" w:hAnsi="Times New Roman" w:eastAsia="宋体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1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我的待办（快捷入口）</w:t>
      </w:r>
      <w:r>
        <w:rPr>
          <w:rFonts w:ascii="Times New Roman" w:hAnsi="Times New Roman" w:eastAsia="宋体"/>
          <w:sz w:val="24"/>
          <w:szCs w:val="24"/>
        </w:rPr>
        <w:t xml:space="preserve">：点击可直接处理。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7" descr="运维工作台" title="运维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18  运维工作台</w:t>
      </w:r>
    </w:p>
    <w:p>
      <w:pPr>
        <w:pStyle w:val="Heading2"/>
      </w:pPr>
      <w:r>
        <w:rPr>
          <w:rFonts w:ascii="Arial" w:hAnsi="Arial" w:eastAsia="黑体"/>
        </w:rPr>
        <w:t xml:space="preserve">8.2 来电登记 / 案例检索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智能运维 → 来电登记/案例检索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登记来电问题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填写问题标题、问题描述，选择问题分类；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填写报修人、联系电话、部门、地点、设备信息；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选择问题状态：</w:t>
      </w:r>
    </w:p>
    <w:p>
      <w:pPr>
        <w:pStyle w:val="ListParagraph"/>
        <w:numPr>
          <w:ilvl w:val="1"/>
          <w:numId w:val="16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待处理（进入指派流转）</w:t>
      </w:r>
      <w:r>
        <w:rPr>
          <w:rFonts w:ascii="Times New Roman" w:hAnsi="Times New Roman" w:eastAsia="宋体"/>
          <w:sz w:val="24"/>
          <w:szCs w:val="24"/>
        </w:rPr>
        <w:t xml:space="preserve">：生成待指派工单，也可在“直接指派”中选择运维人员；</w:t>
      </w:r>
    </w:p>
    <w:p>
      <w:pPr>
        <w:pStyle w:val="ListParagraph"/>
        <w:numPr>
          <w:ilvl w:val="1"/>
          <w:numId w:val="16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已办结（补录，不流转）</w:t>
      </w:r>
      <w:r>
        <w:rPr>
          <w:rFonts w:ascii="Times New Roman" w:hAnsi="Times New Roman" w:eastAsia="宋体"/>
          <w:sz w:val="24"/>
          <w:szCs w:val="24"/>
        </w:rPr>
        <w:t xml:space="preserve">：作为补录工单，填写解决方案后直接办结；</w:t>
      </w:r>
    </w:p>
    <w:p>
      <w:pPr>
        <w:pStyle w:val="ListParagraph"/>
        <w:numPr>
          <w:ilvl w:val="0"/>
          <w:numId w:val="1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点击“提交登记”。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检索案例</w:t>
      </w:r>
      <w:r>
        <w:rPr>
          <w:rFonts w:ascii="Times New Roman" w:hAnsi="Times New Roman" w:eastAsia="宋体"/>
          <w:sz w:val="24"/>
          <w:szCs w:val="24"/>
        </w:rPr>
        <w:t xml:space="preserve">：在右侧输入关键字，点击“检索”，查看已审核案例的解决方案，高质量案例排在前面，可用于电话中直接指导用户。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8" descr="来电登记" title="来电登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19  来电登记</w:t>
      </w:r>
    </w:p>
    <w:p>
      <w:pPr>
        <w:pStyle w:val="Heading2"/>
      </w:pPr>
      <w:r>
        <w:rPr>
          <w:rFonts w:ascii="Arial" w:hAnsi="Arial" w:eastAsia="黑体"/>
        </w:rPr>
        <w:t xml:space="preserve">8.3 工单池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智能运维 → 工单池</w:t>
      </w:r>
    </w:p>
    <w:p>
      <w:pPr>
        <w:pStyle w:val="ListParagraph"/>
        <w:numPr>
          <w:ilvl w:val="0"/>
          <w:numId w:val="1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按“工单号 / 标题 / 报修人 / 电话”、状态、分类、来源、时间范围查询，点击“搜索”；</w:t>
      </w:r>
    </w:p>
    <w:p>
      <w:pPr>
        <w:pStyle w:val="ListParagraph"/>
        <w:numPr>
          <w:ilvl w:val="0"/>
          <w:numId w:val="1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点击“详情”打开工单详情，可进行以下操作：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4"/>
        <w:gridCol w:w="2300"/>
        <w:gridCol w:w="3932"/>
      </w:tblGrid>
      <w:tr>
        <w:trPr>
          <w:cantSplit/>
          <w:tblHeader/>
        </w:trPr>
        <w:tc>
          <w:tcPr>
            <w:tcW w:type="dxa" w:w="27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适用状态</w:t>
            </w:r>
          </w:p>
        </w:tc>
        <w:tc>
          <w:tcPr>
            <w:tcW w:type="dxa" w:w="39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指派运维人员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待指派、待签收</w:t>
            </w:r>
          </w:p>
        </w:tc>
        <w:tc>
          <w:tcPr>
            <w:tcW w:type="dxa" w:w="39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在下拉框中选择运维人员（显示所属保障站 / 厂商）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挂起审核通过 / 驳回挂起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挂起审核中</w:t>
            </w:r>
          </w:p>
        </w:tc>
        <w:tc>
          <w:tcPr>
            <w:tcW w:type="dxa" w:w="39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通过后反馈期限按申请天数顺延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录入用户评价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待评价</w:t>
            </w:r>
          </w:p>
        </w:tc>
        <w:tc>
          <w:tcPr>
            <w:tcW w:type="dxa" w:w="39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输入 1~5 分，工单办结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直接办结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未办结</w:t>
            </w:r>
          </w:p>
        </w:tc>
        <w:tc>
          <w:tcPr>
            <w:tcW w:type="dxa" w:w="39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直接关闭工单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上报为案例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待评价、已办结</w:t>
            </w:r>
          </w:p>
        </w:tc>
        <w:tc>
          <w:tcPr>
            <w:tcW w:type="dxa" w:w="39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生成待审核案例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详情下方显示工单流转记录。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19" descr="工单池" title="工单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20  工单池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0" descr="工单详情" title="工单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21  工单详情</w:t>
      </w:r>
    </w:p>
    <w:p>
      <w:pPr>
        <w:pStyle w:val="Heading2"/>
      </w:pPr>
      <w:r>
        <w:rPr>
          <w:rFonts w:ascii="Arial" w:hAnsi="Arial" w:eastAsia="黑体"/>
        </w:rPr>
        <w:t xml:space="preserve">8.4 案例库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智能运维 → 案例库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查看、维护案例（案例标题、问题类型、问题描述、解答详情、是否高质量案例）；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区县保障站上报的案例状态为“待审核”，管理员核实后点击“通过”或“驳回”，审核通过后纳入案例库；</w:t>
      </w:r>
    </w:p>
    <w:p>
      <w:pPr>
        <w:pStyle w:val="ListParagraph"/>
        <w:numPr>
          <w:ilvl w:val="0"/>
          <w:numId w:val="1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勾选“高质量案例”的案例在检索时优先显示。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1" descr="案例库" title="案例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22  案例库</w:t>
      </w:r>
    </w:p>
    <w:p>
      <w:pPr>
        <w:pStyle w:val="Heading1"/>
      </w:pPr>
      <w:r>
        <w:rPr>
          <w:rFonts w:ascii="Arial" w:hAnsi="Arial" w:eastAsia="黑体"/>
        </w:rPr>
        <w:t xml:space="preserve">9. 智能问答</w:t>
      </w:r>
    </w:p>
    <w:p>
      <w:pPr>
        <w:pStyle w:val="Heading2"/>
      </w:pPr>
      <w:r>
        <w:rPr>
          <w:rFonts w:ascii="Arial" w:hAnsi="Arial" w:eastAsia="黑体"/>
        </w:rPr>
        <w:t xml:space="preserve">9.1 问答测试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智能问答 → 问答测试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点击“+ 新会话”；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选择模式：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智能问答</w:t>
      </w:r>
      <w:r>
        <w:rPr>
          <w:rFonts w:ascii="Times New Roman" w:hAnsi="Times New Roman" w:eastAsia="宋体"/>
          <w:sz w:val="24"/>
          <w:szCs w:val="24"/>
        </w:rPr>
        <w:t xml:space="preserve">（直接问大模型）或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本地知识问答</w:t>
      </w:r>
      <w:r>
        <w:rPr>
          <w:rFonts w:ascii="Times New Roman" w:hAnsi="Times New Roman" w:eastAsia="宋体"/>
          <w:sz w:val="24"/>
          <w:szCs w:val="24"/>
        </w:rPr>
        <w:t xml:space="preserve">（先检索知识库再回答，可选择知识库）；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模型选择框默认“自动路由（默认模型 + 降级）”，也可指定模型；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在下方输入问题，按 Enter 发送（Shift + Enter 换行）；回答逐字显示，可点击“停止”中断；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回答下方显示实际使用的模型；知识问答还会显示引用来源；</w:t>
      </w:r>
    </w:p>
    <w:p>
      <w:pPr>
        <w:pStyle w:val="ListParagraph"/>
        <w:numPr>
          <w:ilvl w:val="0"/>
          <w:numId w:val="1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左侧为历史会话，点击可切换，点击“×”删除。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2" descr="问答测试" title="问答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23  问答测试</w:t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输入“我的电脑坏了，需要报修”等内容会进入“故障报修”流程：系统依次询问设备类型、故障现象、地点、联系电话，收集齐后自动创建工单并返回工单号。中途回复“取消”可退出。</w:t>
      </w:r>
    </w:p>
    <w:p>
      <w:pPr>
        <w:pStyle w:val="Heading2"/>
      </w:pPr>
      <w:r>
        <w:rPr>
          <w:rFonts w:ascii="Arial" w:hAnsi="Arial" w:eastAsia="黑体"/>
        </w:rPr>
        <w:t xml:space="preserve">9.2 多轮会话管理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智能问答 → 多轮会话管理</w:t>
      </w:r>
    </w:p>
    <w:p>
      <w:pPr>
        <w:pStyle w:val="ListParagraph"/>
        <w:numPr>
          <w:ilvl w:val="0"/>
          <w:numId w:val="2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多轮会话参数</w:t>
      </w:r>
      <w:r>
        <w:rPr>
          <w:rFonts w:ascii="Times New Roman" w:hAnsi="Times New Roman" w:eastAsia="宋体"/>
          <w:sz w:val="24"/>
          <w:szCs w:val="24"/>
        </w:rPr>
        <w:t xml:space="preserve">：会话超时（分钟）、上下文窗口（轮）、上下文策略（滑动窗口 / 滑动窗口 + 历史摘要），点击“保存”立即生效；</w:t>
      </w:r>
    </w:p>
    <w:p>
      <w:pPr>
        <w:pStyle w:val="ListParagraph"/>
        <w:numPr>
          <w:ilvl w:val="0"/>
          <w:numId w:val="2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会话列表</w:t>
      </w:r>
      <w:r>
        <w:rPr>
          <w:rFonts w:ascii="Times New Roman" w:hAnsi="Times New Roman" w:eastAsia="宋体"/>
          <w:sz w:val="24"/>
          <w:szCs w:val="24"/>
        </w:rPr>
        <w:t xml:space="preserve">：查看所有会话的 Session ID、标题、用户 / 设备、模式、进行中的意图、状态、创建和最后活跃时间。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3" descr="多轮会话管理" title="多轮会话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24  多轮会话管理</w:t>
      </w:r>
    </w:p>
    <w:p>
      <w:pPr>
        <w:pStyle w:val="Heading2"/>
      </w:pPr>
      <w:r>
        <w:rPr>
          <w:rFonts w:ascii="Arial" w:hAnsi="Arial" w:eastAsia="黑体"/>
        </w:rPr>
        <w:t xml:space="preserve">9.3 状态跟踪（意图槽位）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智能问答 → 状态跟踪(意图槽位)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配置对话中需要持续收集信息的意图：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6676"/>
      </w:tblGrid>
      <w:tr>
        <w:trPr>
          <w:cantSplit/>
          <w:tblHeader/>
        </w:trPr>
        <w:tc>
          <w:tcPr>
            <w:tcW w:type="dxa" w:w="2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6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意图名称</w:t>
            </w:r>
          </w:p>
        </w:tc>
        <w:tc>
          <w:tcPr>
            <w:tcW w:type="dxa" w:w="6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如“故障报修”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触发关键词</w:t>
            </w:r>
          </w:p>
        </w:tc>
        <w:tc>
          <w:tcPr>
            <w:tcW w:type="dxa" w:w="6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逗号分隔，用户消息中包含任一关键词即进入该意图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完成动作</w:t>
            </w:r>
          </w:p>
        </w:tc>
        <w:tc>
          <w:tcPr>
            <w:tcW w:type="dxa" w:w="6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仅汇总 / 自动创建运维工单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槽位定义</w:t>
            </w:r>
          </w:p>
        </w:tc>
        <w:tc>
          <w:tcPr>
            <w:tcW w:type="dxa" w:w="6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JSON 数组，每项包括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name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（字段名）、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label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（追问时的提示）、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required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（是否必填）、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pattern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（可选的提取正则）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启用</w:t>
            </w:r>
          </w:p>
        </w:tc>
        <w:tc>
          <w:tcPr>
            <w:tcW w:type="dxa" w:w="6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是否启用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4" descr="意图槽位" title="意图槽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25  意图槽位</w:t>
      </w:r>
    </w:p>
    <w:p>
      <w:pPr>
        <w:pStyle w:val="Heading1"/>
      </w:pPr>
      <w:r>
        <w:rPr>
          <w:rFonts w:ascii="Arial" w:hAnsi="Arial" w:eastAsia="黑体"/>
        </w:rPr>
        <w:t xml:space="preserve">10. 模型管理</w:t>
      </w:r>
    </w:p>
    <w:p>
      <w:pPr>
        <w:pStyle w:val="Heading2"/>
      </w:pPr>
      <w:r>
        <w:rPr>
          <w:rFonts w:ascii="Arial" w:hAnsi="Arial" w:eastAsia="黑体"/>
        </w:rPr>
        <w:t xml:space="preserve">10.1 模型接入与配置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模型管理 → 模型接入与配置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路由策略</w:t>
      </w:r>
      <w:r>
        <w:rPr>
          <w:rFonts w:ascii="Times New Roman" w:hAnsi="Times New Roman" w:eastAsia="宋体"/>
          <w:sz w:val="24"/>
          <w:szCs w:val="24"/>
        </w:rPr>
        <w:t xml:space="preserve">：页面顶部选择策略后点击“保存（无需重启）”。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5762"/>
      </w:tblGrid>
      <w:tr>
        <w:trPr>
          <w:cantSplit/>
          <w:tblHeader/>
        </w:trPr>
        <w:tc>
          <w:tcPr>
            <w:tcW w:type="dxa" w:w="32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dxa" w:w="5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优先级 + 自动降级</w:t>
            </w:r>
          </w:p>
        </w:tc>
        <w:tc>
          <w:tcPr>
            <w:tcW w:type="dxa" w:w="5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默认模型优先，其余按优先级数字从小到大，失败自动切换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轮询</w:t>
            </w:r>
          </w:p>
        </w:tc>
        <w:tc>
          <w:tcPr>
            <w:tcW w:type="dxa" w:w="5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依次轮流使用各模型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加权</w:t>
            </w:r>
          </w:p>
        </w:tc>
        <w:tc>
          <w:tcPr>
            <w:tcW w:type="dxa" w:w="5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按权重随机选择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按业务场景</w:t>
            </w:r>
          </w:p>
        </w:tc>
        <w:tc>
          <w:tcPr>
            <w:tcW w:type="dxa" w:w="5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优先使用“业务场景”包含当前场景的模型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配置模型</w:t>
      </w:r>
      <w:r>
        <w:rPr>
          <w:rFonts w:ascii="Times New Roman" w:hAnsi="Times New Roman" w:eastAsia="宋体"/>
          <w:sz w:val="24"/>
          <w:szCs w:val="24"/>
        </w:rPr>
        <w:t xml:space="preserve">：点击“新 增”或“编辑”，填写：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5006"/>
      </w:tblGrid>
      <w:tr>
        <w:trPr>
          <w:cantSplit/>
          <w:tblHeader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名称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显示名称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厂商适配器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deepseek / qwen / telechat / openai / mock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API 地址、API Key、模型标识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如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https://api.deepseek.com/v1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sk-...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deepseek-chat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temperature、top_p、max_tokens、超时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调用参数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优先级、权重、业务场景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路由使用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扩展参数（JSON）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透传给接口的其他参数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版本、灰度%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版本管理与灰度发布</w:t>
            </w:r>
          </w:p>
        </w:tc>
      </w:tr>
      <w:tr>
        <w:trPr>
          <w:cantSplit/>
          <w:tblHeader w:val="false"/>
        </w:trPr>
        <w:tc>
          <w:tcPr>
            <w:tcW w:type="dxa" w:w="4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默认、启用</w:t>
            </w:r>
          </w:p>
        </w:tc>
        <w:tc>
          <w:tcPr>
            <w:tcW w:type="dxa" w:w="5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是否默认模型、是否启用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行内操作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1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健康检查</w:t>
      </w:r>
      <w:r>
        <w:rPr>
          <w:rFonts w:ascii="Times New Roman" w:hAnsi="Times New Roman" w:eastAsia="宋体"/>
          <w:sz w:val="24"/>
          <w:szCs w:val="24"/>
        </w:rPr>
        <w:t xml:space="preserve">：测试模型是否可连通，结果显示在“健康”列；</w:t>
      </w:r>
    </w:p>
    <w:p>
      <w:pPr>
        <w:pStyle w:val="ListParagraph"/>
        <w:numPr>
          <w:ilvl w:val="0"/>
          <w:numId w:val="21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调用测试</w:t>
      </w:r>
      <w:r>
        <w:rPr>
          <w:rFonts w:ascii="Times New Roman" w:hAnsi="Times New Roman" w:eastAsia="宋体"/>
          <w:sz w:val="24"/>
          <w:szCs w:val="24"/>
        </w:rPr>
        <w:t xml:space="preserve">：输入一句话，查看模型实际回复；</w:t>
      </w:r>
    </w:p>
    <w:p>
      <w:pPr>
        <w:pStyle w:val="ListParagraph"/>
        <w:numPr>
          <w:ilvl w:val="0"/>
          <w:numId w:val="21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发布</w:t>
      </w:r>
      <w:r>
        <w:rPr>
          <w:rFonts w:ascii="Times New Roman" w:hAnsi="Times New Roman" w:eastAsia="宋体"/>
          <w:sz w:val="24"/>
          <w:szCs w:val="24"/>
        </w:rPr>
        <w:t xml:space="preserve">：按“版本号,灰度比例”格式填写（如 </w:t>
      </w:r>
      <w:r>
        <w:rPr>
          <w:rFonts w:ascii="Consolas" w:hAnsi="Consolas" w:eastAsia="宋体"/>
          <w:color w:val="8B1A1A"/>
          <w:sz w:val="22"/>
          <w:szCs w:val="22"/>
        </w:rPr>
        <w:t xml:space="preserve">v2,30</w:t>
      </w:r>
      <w:r>
        <w:rPr>
          <w:rFonts w:ascii="Times New Roman" w:hAnsi="Times New Roman" w:eastAsia="宋体"/>
          <w:sz w:val="24"/>
          <w:szCs w:val="24"/>
        </w:rPr>
        <w:t xml:space="preserve"> 表示 30% 用户使用该版本），灰度比例为 100 时全量发布并设为默认。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5" descr="模型接入与配置" title="模型接入与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26  模型接入与配置</w:t>
      </w:r>
    </w:p>
    <w:p>
      <w:pPr>
        <w:pStyle w:val="Heading2"/>
      </w:pPr>
      <w:r>
        <w:rPr>
          <w:rFonts w:ascii="Arial" w:hAnsi="Arial" w:eastAsia="黑体"/>
        </w:rPr>
        <w:t xml:space="preserve">10.2 模型性能监控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模型管理 → 模型性能监控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查看近 7 日调用量与平均响应时间、各模型成功率，以及每个模型的调用次数、平均响应、成功率、降级调用次数、输出 Token 数，和最近的失败调用记录。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6" descr="模型性能监控" title="模型性能监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27  模型性能监控</w:t>
      </w:r>
    </w:p>
    <w:p>
      <w:pPr>
        <w:pStyle w:val="Heading2"/>
      </w:pPr>
      <w:r>
        <w:rPr>
          <w:rFonts w:ascii="Arial" w:hAnsi="Arial" w:eastAsia="黑体"/>
        </w:rPr>
        <w:t xml:space="preserve">10.3 模型微调 / 参数调整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模型管理 → 模型微调/参数调整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① 上传数据集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填写数据集名称，选择类型（运维知识 / 政策知识）；</w:t>
      </w:r>
    </w:p>
    <w:p>
      <w:pPr>
        <w:pStyle w:val="ListParagraph"/>
        <w:numPr>
          <w:ilvl w:val="0"/>
          <w:numId w:val="2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选择文件（jsonl、json、csv、xlsx），点击“上传并预处理”；</w:t>
      </w:r>
    </w:p>
    <w:p>
      <w:pPr>
        <w:pStyle w:val="ListParagraph"/>
        <w:numPr>
          <w:ilvl w:val="0"/>
          <w:numId w:val="2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系统自动完成格式标准化、清洗（去除过短、乱码、重复的数据）和分类，列表显示原始条数、有效条数和分类统计。</w:t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数据格式：每条包含问题和答案。字段名可以是 </w:t>
      </w:r>
      <w:r>
        <w:rPr>
          <w:rFonts w:ascii="Consolas" w:hAnsi="Consolas" w:eastAsia="宋体"/>
          <w:color w:val="8B1A1A"/>
          <w:sz w:val="19"/>
          <w:szCs w:val="19"/>
        </w:rPr>
        <w:t xml:space="preserve">instruction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 / </w:t>
      </w:r>
      <w:r>
        <w:rPr>
          <w:rFonts w:ascii="Consolas" w:hAnsi="Consolas" w:eastAsia="宋体"/>
          <w:color w:val="8B1A1A"/>
          <w:sz w:val="19"/>
          <w:szCs w:val="19"/>
        </w:rPr>
        <w:t xml:space="preserve">input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 / </w:t>
      </w:r>
      <w:r>
        <w:rPr>
          <w:rFonts w:ascii="Consolas" w:hAnsi="Consolas" w:eastAsia="宋体"/>
          <w:color w:val="8B1A1A"/>
          <w:sz w:val="19"/>
          <w:szCs w:val="19"/>
        </w:rPr>
        <w:t xml:space="preserve">output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、</w:t>
      </w:r>
      <w:r>
        <w:rPr>
          <w:rFonts w:ascii="Consolas" w:hAnsi="Consolas" w:eastAsia="宋体"/>
          <w:color w:val="8B1A1A"/>
          <w:sz w:val="19"/>
          <w:szCs w:val="19"/>
        </w:rPr>
        <w:t xml:space="preserve">question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 / </w:t>
      </w:r>
      <w:r>
        <w:rPr>
          <w:rFonts w:ascii="Consolas" w:hAnsi="Consolas" w:eastAsia="宋体"/>
          <w:color w:val="8B1A1A"/>
          <w:sz w:val="19"/>
          <w:szCs w:val="19"/>
        </w:rPr>
        <w:t xml:space="preserve">answer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，或表头“问题” / “答案”。示例文件：</w:t>
      </w:r>
      <w:r>
        <w:rPr>
          <w:rFonts w:ascii="Consolas" w:hAnsi="Consolas" w:eastAsia="宋体"/>
          <w:color w:val="8B1A1A"/>
          <w:sz w:val="19"/>
          <w:szCs w:val="19"/>
        </w:rPr>
        <w:t xml:space="preserve">server/data/finetune_samples/电脑运维微调数据集_400条.jsonl</w:t>
      </w:r>
      <w:r>
        <w:rPr>
          <w:rFonts w:ascii="Times New Roman" w:hAnsi="Times New Roman" w:eastAsia="宋体"/>
          <w:color w:val="33415C"/>
          <w:sz w:val="21"/>
          <w:szCs w:val="21"/>
        </w:rPr>
        <w:t xml:space="preserve">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② 新建微调任务</w:t>
      </w:r>
      <w:r>
        <w:rPr>
          <w:rFonts w:ascii="Times New Roman" w:hAnsi="Times New Roman" w:eastAsia="宋体"/>
          <w:sz w:val="24"/>
          <w:szCs w:val="24"/>
        </w:rPr>
        <w:t xml:space="preserve">：选择数据集，填写任务名、基座模型，选择微调方法（LoRA / QLoRA），设置超参数（学习率、训练轮数、批大小、LoRA rank 等），点击“启动训练”。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③ 训练任务与监控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列表显示任务进度、状态和最终 Loss；</w:t>
      </w:r>
    </w:p>
    <w:p>
      <w:pPr>
        <w:pStyle w:val="ListParagraph"/>
        <w:numPr>
          <w:ilvl w:val="0"/>
          <w:numId w:val="2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“监控”：查看 Loss 曲线、训练日志和生成的训练配置；</w:t>
      </w:r>
    </w:p>
    <w:p>
      <w:pPr>
        <w:pStyle w:val="ListParagraph"/>
        <w:numPr>
          <w:ilvl w:val="0"/>
          <w:numId w:val="2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“停止”：中止训练中的任务；</w:t>
      </w:r>
    </w:p>
    <w:p>
      <w:pPr>
        <w:pStyle w:val="ListParagraph"/>
        <w:numPr>
          <w:ilvl w:val="0"/>
          <w:numId w:val="2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“调参重训”：修改超参数后重新训练，用于对比效果。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7" descr="模型微调" title="模型微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28  模型微调</w:t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服务器未配置训练命令时为模拟训练，用于演示流程；对接 GPU 训练环境的方法见《系统安装部署手册》。</w:t>
      </w:r>
    </w:p>
    <w:p>
      <w:pPr>
        <w:pStyle w:val="Heading2"/>
      </w:pPr>
      <w:r>
        <w:rPr>
          <w:rFonts w:ascii="Arial" w:hAnsi="Arial" w:eastAsia="黑体"/>
        </w:rPr>
        <w:t xml:space="preserve">10.4 模型评估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模型管理 → 模型评估</w:t>
      </w:r>
    </w:p>
    <w:p>
      <w:pPr>
        <w:pStyle w:val="ListParagraph"/>
        <w:numPr>
          <w:ilvl w:val="0"/>
          <w:numId w:val="2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维护测试集：测试题为 JSON 数组，每题包含 </w:t>
      </w:r>
      <w:r>
        <w:rPr>
          <w:rFonts w:ascii="Consolas" w:hAnsi="Consolas" w:eastAsia="宋体"/>
          <w:color w:val="8B1A1A"/>
          <w:sz w:val="22"/>
          <w:szCs w:val="22"/>
        </w:rPr>
        <w:t xml:space="preserve">question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answer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keywords</w:t>
      </w:r>
      <w:r>
        <w:rPr>
          <w:rFonts w:ascii="Times New Roman" w:hAnsi="Times New Roman" w:eastAsia="宋体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选择测试集和模型，点击“开始评估”；</w:t>
      </w:r>
    </w:p>
    <w:p>
      <w:pPr>
        <w:pStyle w:val="ListParagraph"/>
        <w:numPr>
          <w:ilvl w:val="0"/>
          <w:numId w:val="2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评估完成后查看准确率、专业性、平均耗时；点击“明细”查看每题的模型回答、参考答案、关键词命中情况和是否正确。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8" descr="模型评估" title="模型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29  模型评估</w:t>
      </w:r>
    </w:p>
    <w:p>
      <w:pPr>
        <w:pStyle w:val="Heading1"/>
      </w:pPr>
      <w:r>
        <w:rPr>
          <w:rFonts w:ascii="Arial" w:hAnsi="Arial" w:eastAsia="黑体"/>
        </w:rPr>
        <w:t xml:space="preserve">11. 信创知识库</w:t>
      </w:r>
    </w:p>
    <w:p>
      <w:pPr>
        <w:pStyle w:val="Heading2"/>
      </w:pPr>
      <w:r>
        <w:rPr>
          <w:rFonts w:ascii="Arial" w:hAnsi="Arial" w:eastAsia="黑体"/>
        </w:rPr>
        <w:t xml:space="preserve">11.1 知识库构建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信创知识库 → 知识库构建</w:t>
      </w:r>
    </w:p>
    <w:p>
      <w:pPr>
        <w:pStyle w:val="ListParagraph"/>
        <w:numPr>
          <w:ilvl w:val="0"/>
          <w:numId w:val="2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左侧选择知识库，或点击“+新建”创建知识库；</w:t>
      </w:r>
    </w:p>
    <w:p>
      <w:pPr>
        <w:pStyle w:val="ListParagraph"/>
        <w:numPr>
          <w:ilvl w:val="0"/>
          <w:numId w:val="2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点击“批量导入文档”，选择一个或多个文件，支持 docx、pdf、xlsx、pptx、txt、md、csv、ofd 及 png / jpg 图片（扫描件需服务器开启 OCR）；</w:t>
      </w:r>
    </w:p>
    <w:p>
      <w:pPr>
        <w:pStyle w:val="ListParagraph"/>
        <w:numPr>
          <w:ilvl w:val="0"/>
          <w:numId w:val="2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导入后在列表中查看处理进度、分片数和被过滤数：</w:t>
      </w:r>
    </w:p>
    <w:p>
      <w:pPr>
        <w:pStyle w:val="ListParagraph"/>
        <w:numPr>
          <w:ilvl w:val="1"/>
          <w:numId w:val="2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内容与已有文档完全相同的文件会提示冲突并跳过；</w:t>
      </w:r>
    </w:p>
    <w:p>
      <w:pPr>
        <w:pStyle w:val="ListParagraph"/>
        <w:numPr>
          <w:ilvl w:val="1"/>
          <w:numId w:val="2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与已有文档同名的文件会生成新版本，旧版本下线。</w:t>
      </w:r>
    </w:p>
    <w:p>
      <w:pPr>
        <w:pStyle w:val="ListParagraph"/>
        <w:numPr>
          <w:ilvl w:val="0"/>
          <w:numId w:val="2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行内操作：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6"/>
        <w:gridCol w:w="7140"/>
      </w:tblGrid>
      <w:tr>
        <w:trPr>
          <w:cantSplit/>
          <w:tblHeader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按钮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日志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查看导入过程日志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分片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查看切分后的文本片段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查看历史版本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恢复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将历史版本恢复为当前版本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标签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修改自动打的分类标签（修改后标记为已人工校验）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重试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导入失败的文档重新处理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</w:t>
            </w:r>
          </w:p>
        </w:tc>
        <w:tc>
          <w:tcPr>
            <w:tcW w:type="dxa" w:w="7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删除文档及其分片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29" descr="知识库构建" title="知识库构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30  知识库构建</w:t>
      </w:r>
    </w:p>
    <w:p>
      <w:pPr>
        <w:pStyle w:val="Heading2"/>
      </w:pPr>
      <w:r>
        <w:rPr>
          <w:rFonts w:ascii="Arial" w:hAnsi="Arial" w:eastAsia="黑体"/>
        </w:rPr>
        <w:t xml:space="preserve">11.2 检索测试与策略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信创知识库 → 检索测试与策略</w:t>
      </w:r>
    </w:p>
    <w:p>
      <w:pPr>
        <w:pStyle w:val="ListParagraph"/>
        <w:numPr>
          <w:ilvl w:val="0"/>
          <w:numId w:val="27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检索策略参数</w:t>
      </w:r>
      <w:r>
        <w:rPr>
          <w:rFonts w:ascii="Times New Roman" w:hAnsi="Times New Roman" w:eastAsia="宋体"/>
          <w:sz w:val="24"/>
          <w:szCs w:val="24"/>
        </w:rPr>
        <w:t xml:space="preserve">：检索模式（语义检索 / 关键词检索 / 混合检索）、TopK、相似度阈值、混合权重、分片大小、重叠，点击“保存”；</w:t>
      </w:r>
    </w:p>
    <w:p>
      <w:pPr>
        <w:pStyle w:val="ListParagraph"/>
        <w:numPr>
          <w:ilvl w:val="0"/>
          <w:numId w:val="27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检索测试</w:t>
      </w:r>
      <w:r>
        <w:rPr>
          <w:rFonts w:ascii="Times New Roman" w:hAnsi="Times New Roman" w:eastAsia="宋体"/>
          <w:sz w:val="24"/>
          <w:szCs w:val="24"/>
        </w:rPr>
        <w:t xml:space="preserve">：选择知识库和模式，输入问题，点击“检索”，查看命中的片段和各项得分（语义、关键词、综合）；</w:t>
      </w:r>
    </w:p>
    <w:p>
      <w:pPr>
        <w:pStyle w:val="ListParagraph"/>
        <w:numPr>
          <w:ilvl w:val="0"/>
          <w:numId w:val="27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检索质量评估</w:t>
      </w:r>
      <w:r>
        <w:rPr>
          <w:rFonts w:ascii="Times New Roman" w:hAnsi="Times New Roman" w:eastAsia="宋体"/>
          <w:sz w:val="24"/>
          <w:szCs w:val="24"/>
        </w:rPr>
        <w:t xml:space="preserve">：录入若干测试问题及期望命中的文件名或关键词，点击“评估”，计算召回率和精确率。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0" descr="检索测试与策略" title="检索测试与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31  检索测试与策略</w:t>
      </w:r>
    </w:p>
    <w:p>
      <w:pPr>
        <w:pStyle w:val="Heading2"/>
      </w:pPr>
      <w:r>
        <w:rPr>
          <w:rFonts w:ascii="Arial" w:hAnsi="Arial" w:eastAsia="黑体"/>
        </w:rPr>
        <w:t xml:space="preserve">11.3 RAG 链路监控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信创知识库 → RAG链路监控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查看检索量与耗时趋势、检索相关度趋势和最近的检索记录（查询内容、模式、命中数、最高分、检索耗时）。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1" descr="RAG 链路监控" title="RAG 链路监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32  RAG 链路监控</w:t>
      </w:r>
    </w:p>
    <w:p>
      <w:pPr>
        <w:pStyle w:val="Heading1"/>
      </w:pPr>
      <w:r>
        <w:rPr>
          <w:rFonts w:ascii="Arial" w:hAnsi="Arial" w:eastAsia="黑体"/>
        </w:rPr>
        <w:t xml:space="preserve">12. 合同智审</w:t>
      </w:r>
    </w:p>
    <w:p>
      <w:pPr>
        <w:pStyle w:val="Heading2"/>
      </w:pPr>
      <w:r>
        <w:rPr>
          <w:rFonts w:ascii="Arial" w:hAnsi="Arial" w:eastAsia="黑体"/>
        </w:rPr>
        <w:t xml:space="preserve">12.1 合同审查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合同智审 → 合同审查</w:t>
      </w:r>
    </w:p>
    <w:p>
      <w:pPr>
        <w:pStyle w:val="ListParagraph"/>
        <w:numPr>
          <w:ilvl w:val="0"/>
          <w:numId w:val="2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选择比对模板（默认第一个），上传合同文件（PDF、OFD、Word 等）；</w:t>
      </w:r>
    </w:p>
    <w:p>
      <w:pPr>
        <w:pStyle w:val="ListParagraph"/>
        <w:numPr>
          <w:ilvl w:val="0"/>
          <w:numId w:val="2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审查完成后，列表显示风险等级、不合规项数和耗时；可按文件名、风险等级查询；</w:t>
      </w:r>
    </w:p>
    <w:p>
      <w:pPr>
        <w:pStyle w:val="ListParagraph"/>
        <w:numPr>
          <w:ilvl w:val="0"/>
          <w:numId w:val="2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点击“审查结果”，查看：</w:t>
      </w:r>
    </w:p>
    <w:p>
      <w:pPr>
        <w:pStyle w:val="ListParagraph"/>
        <w:numPr>
          <w:ilvl w:val="1"/>
          <w:numId w:val="2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合规性研判</w:t>
      </w:r>
      <w:r>
        <w:rPr>
          <w:rFonts w:ascii="Times New Roman" w:hAnsi="Times New Roman" w:eastAsia="宋体"/>
          <w:sz w:val="24"/>
          <w:szCs w:val="24"/>
        </w:rPr>
        <w:t xml:space="preserve">：33 条规则的逐条结果，不合规项排在前面并标红，给出预警提醒；</w:t>
      </w:r>
    </w:p>
    <w:p>
      <w:pPr>
        <w:pStyle w:val="ListParagraph"/>
        <w:numPr>
          <w:ilvl w:val="1"/>
          <w:numId w:val="2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要素提取</w:t>
      </w:r>
      <w:r>
        <w:rPr>
          <w:rFonts w:ascii="Times New Roman" w:hAnsi="Times New Roman" w:eastAsia="宋体"/>
          <w:sz w:val="24"/>
          <w:szCs w:val="24"/>
        </w:rPr>
        <w:t xml:space="preserve">：合同名称、编号、甲乙方、金额（大小写）、期限、付款方式、违约责任、管辖等；</w:t>
      </w:r>
    </w:p>
    <w:p>
      <w:pPr>
        <w:pStyle w:val="ListParagraph"/>
        <w:numPr>
          <w:ilvl w:val="1"/>
          <w:numId w:val="2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模板差异</w:t>
      </w:r>
      <w:r>
        <w:rPr>
          <w:rFonts w:ascii="Times New Roman" w:hAnsi="Times New Roman" w:eastAsia="宋体"/>
          <w:sz w:val="24"/>
          <w:szCs w:val="24"/>
        </w:rPr>
        <w:t xml:space="preserve">：与模板逐条比对，绿色一致、红色缺失、橙色格式不符或内容冲突；</w:t>
      </w:r>
    </w:p>
    <w:p>
      <w:pPr>
        <w:pStyle w:val="ListParagraph"/>
        <w:numPr>
          <w:ilvl w:val="1"/>
          <w:numId w:val="29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条款结构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原文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规则判断有误时，点击该项的“误报”，计入规则误报统计；修改规则后可点击“重新审查”。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2" descr="合同审查" title="合同审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33  合同审查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3" descr="合同审查结果" title="合同审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34  合同审查结果</w:t>
      </w:r>
    </w:p>
    <w:p>
      <w:pPr>
        <w:pStyle w:val="Heading2"/>
      </w:pPr>
      <w:r>
        <w:rPr>
          <w:rFonts w:ascii="Arial" w:hAnsi="Arial" w:eastAsia="黑体"/>
        </w:rPr>
        <w:t xml:space="preserve">12.2 审查规则管理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合同智审 → 审查规则管理</w:t>
      </w:r>
    </w:p>
    <w:p>
      <w:pPr>
        <w:pStyle w:val="ListParagraph"/>
        <w:numPr>
          <w:ilvl w:val="0"/>
          <w:numId w:val="3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按名称 / 编号、类别查询规则；点击“新增规则”或“编辑”打开规则编辑器，设置编号、名称、类别、级别、规则类型和参数，可粘贴一段合同文本点击“测试”即时验证；保存时版本号自动加 1；</w:t>
      </w:r>
    </w:p>
    <w:p>
      <w:pPr>
        <w:pStyle w:val="ListParagraph"/>
        <w:numPr>
          <w:ilvl w:val="0"/>
          <w:numId w:val="3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“复用”：以现有规则为模板新建；</w:t>
      </w:r>
    </w:p>
    <w:p>
      <w:pPr>
        <w:pStyle w:val="ListParagraph"/>
        <w:numPr>
          <w:ilvl w:val="0"/>
          <w:numId w:val="30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“批量导出” / 导入：以 JSON 文件导出或导入规则。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9"/>
        <w:gridCol w:w="5327"/>
      </w:tblGrid>
      <w:tr>
        <w:trPr>
          <w:cantSplit/>
          <w:tblHeader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规则类型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参数示例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必备要素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{"element": "甲方"}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必备关键词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{"keywords": ["违约"]}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禁止关键词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{"keywords": ["无限连带"]}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必须匹配 / 禁止匹配正则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{"pattern": "...", "message": "提示"}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金额上限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{"pattern": "单价...([\\d,]+)元", "max": 12000}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大小写金额一致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{}</w:t>
            </w:r>
          </w:p>
        </w:tc>
      </w:tr>
      <w:tr>
        <w:trPr>
          <w:cantSplit/>
          <w:tblHeader w:val="false"/>
        </w:trPr>
        <w:tc>
          <w:tcPr>
            <w:tcW w:type="dxa" w:w="3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大模型判定</w:t>
            </w:r>
          </w:p>
        </w:tc>
        <w:tc>
          <w:tcPr>
            <w:tcW w:type="dxa" w:w="53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{"prompt": "判断是否包含..."}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4" descr="审查规则管理" title="审查规则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35  审查规则管理</w:t>
      </w:r>
    </w:p>
    <w:p>
      <w:pPr>
        <w:pStyle w:val="Heading2"/>
      </w:pPr>
      <w:r>
        <w:rPr>
          <w:rFonts w:ascii="Arial" w:hAnsi="Arial" w:eastAsia="黑体"/>
        </w:rPr>
        <w:t xml:space="preserve">12.3 合同模板库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合同智审 → 合同模板库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维护标准合同模板：模板名称、合同类别、行业、条款要素定义（JSON，每项包括条款名称、是否必选、匹配关键词）、模板全文。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5" descr="合同模板库" title="合同模板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36  合同模板库</w:t>
      </w:r>
    </w:p>
    <w:p>
      <w:pPr>
        <w:pStyle w:val="Heading2"/>
      </w:pPr>
      <w:r>
        <w:rPr>
          <w:rFonts w:ascii="Arial" w:hAnsi="Arial" w:eastAsia="黑体"/>
        </w:rPr>
        <w:t xml:space="preserve">12.4 规则效果监控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合同智审 → 规则效果监控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查看每条规则的命中次数、命中率、误报次数和误报率，用于优化规则。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6" descr="规则效果监控" title="规则效果监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37  规则效果监控</w:t>
      </w:r>
    </w:p>
    <w:p>
      <w:pPr>
        <w:pStyle w:val="Heading1"/>
      </w:pPr>
      <w:r>
        <w:rPr>
          <w:rFonts w:ascii="Arial" w:hAnsi="Arial" w:eastAsia="黑体"/>
        </w:rPr>
        <w:t xml:space="preserve">13. 工具与插件</w:t>
      </w:r>
    </w:p>
    <w:p>
      <w:pPr>
        <w:pStyle w:val="Heading2"/>
      </w:pPr>
      <w:r>
        <w:rPr>
          <w:rFonts w:ascii="Arial" w:hAnsi="Arial" w:eastAsia="黑体"/>
        </w:rPr>
        <w:t xml:space="preserve">13.1 工具管理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工具与插件 → 工具管理</w:t>
      </w:r>
    </w:p>
    <w:p>
      <w:pPr>
        <w:pStyle w:val="ListParagraph"/>
        <w:numPr>
          <w:ilvl w:val="0"/>
          <w:numId w:val="3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列表包括内置工具（OCR 文字识别、图片场景 / 图表分析、知识库检索、文档解析、文本摘要、计算器、当前时间）和第三方插件；</w:t>
      </w:r>
    </w:p>
    <w:p>
      <w:pPr>
        <w:pStyle w:val="ListParagraph"/>
        <w:numPr>
          <w:ilvl w:val="0"/>
          <w:numId w:val="3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点击“调用测试”，填写参数 JSON 后调用，查看返回结果；</w:t>
      </w:r>
    </w:p>
    <w:p>
      <w:pPr>
        <w:pStyle w:val="ListParagraph"/>
        <w:numPr>
          <w:ilvl w:val="0"/>
          <w:numId w:val="3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第三方插件注册后默认停用，管理员核实后编辑并勾选“启用”。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7" descr="工具管理" title="工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38  工具管理</w:t>
      </w:r>
    </w:p>
    <w:p>
      <w:pPr>
        <w:pStyle w:val="Heading2"/>
      </w:pPr>
      <w:r>
        <w:rPr>
          <w:rFonts w:ascii="Arial" w:hAnsi="Arial" w:eastAsia="黑体"/>
        </w:rPr>
        <w:t xml:space="preserve">13.2 工具调度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工具与插件 → 工具调度</w:t>
      </w:r>
    </w:p>
    <w:p>
      <w:pPr>
        <w:pStyle w:val="ListParagraph"/>
        <w:numPr>
          <w:ilvl w:val="0"/>
          <w:numId w:val="3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点击“+ 添加步骤”，为每步选择工具、填写参数和超时；参数中可用 </w:t>
      </w:r>
      <w:r>
        <w:rPr>
          <w:rFonts w:ascii="Consolas" w:hAnsi="Consolas" w:eastAsia="宋体"/>
          <w:color w:val="8B1A1A"/>
          <w:sz w:val="22"/>
          <w:szCs w:val="22"/>
        </w:rPr>
        <w:t xml:space="preserve">${steps.0.text}</w:t>
      </w:r>
      <w:r>
        <w:rPr>
          <w:rFonts w:ascii="Times New Roman" w:hAnsi="Times New Roman" w:eastAsia="宋体"/>
          <w:sz w:val="24"/>
          <w:szCs w:val="24"/>
        </w:rPr>
        <w:t xml:space="preserve"> 引用第 1 步的输出；</w:t>
      </w:r>
    </w:p>
    <w:p>
      <w:pPr>
        <w:pStyle w:val="ListParagraph"/>
        <w:numPr>
          <w:ilvl w:val="0"/>
          <w:numId w:val="3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点击“执行”，查看每一步的结果、耗时和错误。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8" descr="工具调度" title="工具调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39  工具调度</w:t>
      </w:r>
    </w:p>
    <w:p>
      <w:pPr>
        <w:pStyle w:val="Heading2"/>
      </w:pPr>
      <w:r>
        <w:rPr>
          <w:rFonts w:ascii="Arial" w:hAnsi="Arial" w:eastAsia="黑体"/>
        </w:rPr>
        <w:t xml:space="preserve">13.3 工具性能评估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工具与插件 → 工具性能评估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查看异常告警、调用趋势、各工具成功率，以及调用次数、平均 / P95 / 最大响应时间、成功率和最近异常。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39" descr="工具性能评估" title="工具性能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40  工具性能评估</w:t>
      </w:r>
    </w:p>
    <w:p>
      <w:pPr>
        <w:pStyle w:val="Heading2"/>
      </w:pPr>
      <w:r>
        <w:rPr>
          <w:rFonts w:ascii="Arial" w:hAnsi="Arial" w:eastAsia="黑体"/>
        </w:rPr>
        <w:t xml:space="preserve">13.4 插件开放平台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工具与插件 → 插件开放平台</w:t>
      </w:r>
    </w:p>
    <w:p>
      <w:pPr>
        <w:pStyle w:val="ListParagraph"/>
        <w:numPr>
          <w:ilvl w:val="0"/>
          <w:numId w:val="3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填写调用方名称，点击“创建 API Key”，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密钥只显示一次</w:t>
      </w:r>
      <w:r>
        <w:rPr>
          <w:rFonts w:ascii="Times New Roman" w:hAnsi="Times New Roman" w:eastAsia="宋体"/>
          <w:sz w:val="24"/>
          <w:szCs w:val="24"/>
        </w:rPr>
        <w:t xml:space="preserve">，请复制保存后交给开发者；</w:t>
      </w:r>
    </w:p>
    <w:p>
      <w:pPr>
        <w:pStyle w:val="ListParagraph"/>
        <w:numPr>
          <w:ilvl w:val="0"/>
          <w:numId w:val="3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不再使用的密钥点击“吊销”；</w:t>
      </w:r>
    </w:p>
    <w:p>
      <w:pPr>
        <w:pStyle w:val="ListParagraph"/>
        <w:numPr>
          <w:ilvl w:val="0"/>
          <w:numId w:val="3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页面下方提供第三方工具接入说明，开发者使用 </w:t>
      </w:r>
      <w:r>
        <w:rPr>
          <w:rFonts w:ascii="Consolas" w:hAnsi="Consolas" w:eastAsia="宋体"/>
          <w:color w:val="8B1A1A"/>
          <w:sz w:val="22"/>
          <w:szCs w:val="22"/>
        </w:rPr>
        <w:t xml:space="preserve">sdk/xiaoxin_sdk.py</w:t>
      </w:r>
      <w:r>
        <w:rPr>
          <w:rFonts w:ascii="Times New Roman" w:hAnsi="Times New Roman" w:eastAsia="宋体"/>
          <w:sz w:val="24"/>
          <w:szCs w:val="24"/>
        </w:rPr>
        <w:t xml:space="preserve"> 注册插件，详见 </w:t>
      </w:r>
      <w:r>
        <w:rPr>
          <w:rFonts w:ascii="Consolas" w:hAnsi="Consolas" w:eastAsia="宋体"/>
          <w:color w:val="8B1A1A"/>
          <w:sz w:val="22"/>
          <w:szCs w:val="22"/>
        </w:rPr>
        <w:t xml:space="preserve">sdk/README.md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40" descr="插件开放平台" title="插件开放平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41  插件开放平台</w:t>
      </w:r>
    </w:p>
    <w:p>
      <w:pPr>
        <w:pStyle w:val="Heading1"/>
      </w:pPr>
      <w:r>
        <w:rPr>
          <w:rFonts w:ascii="Arial" w:hAnsi="Arial" w:eastAsia="黑体"/>
        </w:rPr>
        <w:t xml:space="preserve">14. 系统管理</w:t>
      </w:r>
    </w:p>
    <w:p>
      <w:pPr>
        <w:pStyle w:val="Heading2"/>
      </w:pPr>
      <w:r>
        <w:rPr>
          <w:rFonts w:ascii="Arial" w:hAnsi="Arial" w:eastAsia="黑体"/>
        </w:rPr>
        <w:t xml:space="preserve">14.1 用户管理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系统管理 → 用户管理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新增或编辑用户：账号、姓名、角色（管理员 / 客服 / 运维 / 普通用户）、保障站、供应商 / 厂商（纳管厂商运维人员填写）、电话、密码、是否启用。停用后该用户不能登录。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41" descr="用户管理" title="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42  用户管理</w:t>
      </w:r>
    </w:p>
    <w:p>
      <w:pPr>
        <w:pStyle w:val="Heading2"/>
      </w:pPr>
      <w:r>
        <w:rPr>
          <w:rFonts w:ascii="Arial" w:hAnsi="Arial" w:eastAsia="黑体"/>
        </w:rPr>
        <w:t xml:space="preserve">14.2 系统设置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菜单：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系统管理 → 系统设置</w:t>
      </w:r>
    </w:p>
    <w:p>
      <w:pPr>
        <w:pStyle w:val="ListParagraph"/>
        <w:numPr>
          <w:ilvl w:val="0"/>
          <w:numId w:val="3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客户端接入</w:t>
      </w:r>
      <w:r>
        <w:rPr>
          <w:rFonts w:ascii="Times New Roman" w:hAnsi="Times New Roman" w:eastAsia="宋体"/>
          <w:sz w:val="24"/>
          <w:szCs w:val="24"/>
        </w:rPr>
        <w:t xml:space="preserve">：查看服务端地址；设置客户端接入密钥（留空表示不校验），设置后终端客户端需在“设置”中填写相同的密钥；</w:t>
      </w:r>
    </w:p>
    <w:p>
      <w:pPr>
        <w:pStyle w:val="ListParagraph"/>
        <w:numPr>
          <w:ilvl w:val="0"/>
          <w:numId w:val="3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修改密码</w:t>
      </w:r>
      <w:r>
        <w:rPr>
          <w:rFonts w:ascii="Times New Roman" w:hAnsi="Times New Roman" w:eastAsia="宋体"/>
          <w:sz w:val="24"/>
          <w:szCs w:val="24"/>
        </w:rPr>
        <w:t xml:space="preserve">：输入原密码和新密码，点击“修改”；</w:t>
      </w:r>
    </w:p>
    <w:p>
      <w:pPr>
        <w:pStyle w:val="ListParagraph"/>
        <w:numPr>
          <w:ilvl w:val="0"/>
          <w:numId w:val="34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相关入口</w:t>
      </w:r>
      <w:r>
        <w:rPr>
          <w:rFonts w:ascii="Times New Roman" w:hAnsi="Times New Roman" w:eastAsia="宋体"/>
          <w:sz w:val="24"/>
          <w:szCs w:val="24"/>
        </w:rPr>
        <w:t xml:space="preserve">：接口文档、运维移动端地址等。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42" descr="系统设置" title="系统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43  系统设置</w:t>
      </w:r>
    </w:p>
    <w:p>
      <w:pPr>
        <w:pStyle w:val="Heading1"/>
      </w:pPr>
      <w:r>
        <w:rPr>
          <w:rFonts w:ascii="Arial" w:hAnsi="Arial" w:eastAsia="黑体"/>
        </w:rPr>
        <w:t xml:space="preserve">15. 运维人员移动端</w:t>
      </w:r>
    </w:p>
    <w:p>
      <w:pPr>
        <w:pStyle w:val="Heading2"/>
      </w:pPr>
      <w:r>
        <w:rPr>
          <w:rFonts w:ascii="Arial" w:hAnsi="Arial" w:eastAsia="黑体"/>
        </w:rPr>
        <w:t xml:space="preserve">15.1 登录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手机浏览器打开 </w:t>
      </w:r>
      <w:r>
        <w:rPr>
          <w:rFonts w:ascii="Consolas" w:hAnsi="Consolas" w:eastAsia="宋体"/>
          <w:color w:val="8B1A1A"/>
          <w:sz w:val="22"/>
          <w:szCs w:val="22"/>
        </w:rPr>
        <w:t xml:space="preserve">http://服务器地址:8000/h5/</w:t>
      </w:r>
      <w:r>
        <w:rPr>
          <w:rFonts w:ascii="Times New Roman" w:hAnsi="Times New Roman" w:eastAsia="宋体"/>
          <w:sz w:val="24"/>
          <w:szCs w:val="24"/>
        </w:rPr>
        <w:t xml:space="preserve">，输入运维账号和密码，点击“登录”。建议添加到手机桌面方便使用。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img43" descr="移动端登录" title="移动端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44  移动端登录</w:t>
      </w:r>
    </w:p>
    <w:p>
      <w:pPr>
        <w:pStyle w:val="Heading2"/>
      </w:pPr>
      <w:r>
        <w:rPr>
          <w:rFonts w:ascii="Arial" w:hAnsi="Arial" w:eastAsia="黑体"/>
        </w:rPr>
        <w:t xml:space="preserve">15.2 我的工单</w:t>
      </w:r>
    </w:p>
    <w:p>
      <w:pPr>
        <w:pStyle w:val="ListParagraph"/>
        <w:numPr>
          <w:ilvl w:val="0"/>
          <w:numId w:val="3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顶部统计待签收、处理中、挂起审核、已办数量；</w:t>
      </w:r>
    </w:p>
    <w:p>
      <w:pPr>
        <w:pStyle w:val="ListParagraph"/>
        <w:numPr>
          <w:ilvl w:val="0"/>
          <w:numId w:val="3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切换“待办 / 已办 / 全部”页签，可按工单号或标题搜索；</w:t>
      </w:r>
    </w:p>
    <w:p>
      <w:pPr>
        <w:pStyle w:val="ListParagraph"/>
        <w:numPr>
          <w:ilvl w:val="0"/>
          <w:numId w:val="35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点击工单进入详情。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img44" descr="我的工单" title="我的工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45  我的工单</w:t>
      </w:r>
    </w:p>
    <w:p>
      <w:pPr>
        <w:pStyle w:val="Heading2"/>
      </w:pPr>
      <w:r>
        <w:rPr>
          <w:rFonts w:ascii="Arial" w:hAnsi="Arial" w:eastAsia="黑体"/>
        </w:rPr>
        <w:t xml:space="preserve">15.3 处理工单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工单详情显示工单号、状态、标题、问题描述、报修人、部门 / 地点、设备、反馈期限和流转记录，底部按钮随状态变化：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5"/>
        <w:gridCol w:w="2287"/>
        <w:gridCol w:w="5044"/>
      </w:tblGrid>
      <w:tr>
        <w:trPr>
          <w:cantSplit/>
          <w:tblHeader/>
        </w:trPr>
        <w:tc>
          <w:tcPr>
            <w:tcW w:type="dxa" w:w="16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按钮</w:t>
            </w:r>
          </w:p>
        </w:tc>
        <w:tc>
          <w:tcPr>
            <w:tcW w:type="dxa" w:w="228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适用状态</w:t>
            </w:r>
          </w:p>
        </w:tc>
        <w:tc>
          <w:tcPr>
            <w:tcW w:type="dxa" w:w="50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操作</w:t>
            </w:r>
          </w:p>
        </w:tc>
      </w:tr>
      <w:tr>
        <w:trPr>
          <w:cantSplit/>
          <w:tblHeader w:val="false"/>
        </w:trPr>
        <w:tc>
          <w:tcPr>
            <w:tcW w:type="dxa" w:w="16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签收</w:t>
            </w:r>
          </w:p>
        </w:tc>
        <w:tc>
          <w:tcPr>
            <w:tcW w:type="dxa" w:w="228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待签收</w:t>
            </w:r>
          </w:p>
        </w:tc>
        <w:tc>
          <w:tcPr>
            <w:tcW w:type="dxa" w:w="50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在确认框中确认后，工单变为“处理中”</w:t>
            </w:r>
          </w:p>
        </w:tc>
      </w:tr>
      <w:tr>
        <w:trPr>
          <w:cantSplit/>
          <w:tblHeader w:val="false"/>
        </w:trPr>
        <w:tc>
          <w:tcPr>
            <w:tcW w:type="dxa" w:w="16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信息补充</w:t>
            </w:r>
          </w:p>
        </w:tc>
        <w:tc>
          <w:tcPr>
            <w:tcW w:type="dxa" w:w="228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处理中</w:t>
            </w:r>
          </w:p>
        </w:tc>
        <w:tc>
          <w:tcPr>
            <w:tcW w:type="dxa" w:w="50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核对并修改报修人、电话、部门、地点、报修设备等信息后保存</w:t>
            </w:r>
          </w:p>
        </w:tc>
      </w:tr>
      <w:tr>
        <w:trPr>
          <w:cantSplit/>
          <w:tblHeader w:val="false"/>
        </w:trPr>
        <w:tc>
          <w:tcPr>
            <w:tcW w:type="dxa" w:w="16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转派</w:t>
            </w:r>
          </w:p>
        </w:tc>
        <w:tc>
          <w:tcPr>
            <w:tcW w:type="dxa" w:w="228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待签收、处理中</w:t>
            </w:r>
          </w:p>
        </w:tc>
        <w:tc>
          <w:tcPr>
            <w:tcW w:type="dxa" w:w="50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选择本保障站的其他运维人员（含纳管的厂商运维人员），填写转派原因，点击“确认转派”</w:t>
            </w:r>
          </w:p>
        </w:tc>
      </w:tr>
      <w:tr>
        <w:trPr>
          <w:cantSplit/>
          <w:tblHeader w:val="false"/>
        </w:trPr>
        <w:tc>
          <w:tcPr>
            <w:tcW w:type="dxa" w:w="16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挂起</w:t>
            </w:r>
          </w:p>
        </w:tc>
        <w:tc>
          <w:tcPr>
            <w:tcW w:type="dxa" w:w="228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处理中</w:t>
            </w:r>
          </w:p>
        </w:tc>
        <w:tc>
          <w:tcPr>
            <w:tcW w:type="dxa" w:w="50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填写挂起原因（如等待配件到货）和延期天数，点击“提交审核”，由客服审核</w:t>
            </w:r>
          </w:p>
        </w:tc>
      </w:tr>
      <w:tr>
        <w:trPr>
          <w:cantSplit/>
          <w:tblHeader w:val="false"/>
        </w:trPr>
        <w:tc>
          <w:tcPr>
            <w:tcW w:type="dxa" w:w="16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反馈</w:t>
            </w:r>
          </w:p>
        </w:tc>
        <w:tc>
          <w:tcPr>
            <w:tcW w:type="dxa" w:w="228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处理中</w:t>
            </w:r>
          </w:p>
        </w:tc>
        <w:tc>
          <w:tcPr>
            <w:tcW w:type="dxa" w:w="50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填写故障原因及解决方法、备注，点击“提交反馈”，工单变为“待评价”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img45" descr="工单详情" title="工单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46  工单详情</w:t>
      </w:r>
    </w:p>
    <w:p>
      <w:pPr>
        <w:pStyle w:val="Heading2"/>
      </w:pPr>
      <w:r>
        <w:rPr>
          <w:rFonts w:ascii="Arial" w:hAnsi="Arial" w:eastAsia="黑体"/>
        </w:rPr>
        <w:t xml:space="preserve">15.4 工单补录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已解决但未登记的问题，点击底部“工单补录”，填写问题、描述、分类、报修人、电话、地点、设备、处理结果和备注，点击“提交补录”。补录的工单直接办结。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img46" descr="工单补录" title="工单补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8"/>
          <w:szCs w:val="18"/>
        </w:rPr>
        <w:t xml:space="preserve">图 47  工单补录</w:t>
      </w:r>
    </w:p>
    <w:p>
      <w:pPr>
        <w:pStyle w:val="Heading1"/>
      </w:pPr>
      <w:r>
        <w:rPr>
          <w:rFonts w:ascii="Arial" w:hAnsi="Arial" w:eastAsia="黑体"/>
        </w:rPr>
        <w:t xml:space="preserve">16. 桌面客户端</w:t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本章为终端用户使用说明。客户端界面截图建议在实际信创终端（麒麟 / 统信）上补充。</w:t>
      </w:r>
    </w:p>
    <w:p>
      <w:pPr>
        <w:pStyle w:val="Heading2"/>
      </w:pPr>
      <w:r>
        <w:rPr>
          <w:rFonts w:ascii="Arial" w:hAnsi="Arial" w:eastAsia="黑体"/>
        </w:rPr>
        <w:t xml:space="preserve">16.1 启动与界面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安装后客户端随系统自动启动，也可在开始菜单中打开“小信助手”。主窗口左侧为功能导航：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一键提速、设备监测、智能问答、合同智审、消息中心、软件中心、设置</w:t>
      </w:r>
      <w:r>
        <w:rPr>
          <w:rFonts w:ascii="Times New Roman" w:hAnsi="Times New Roman" w:eastAsia="宋体"/>
          <w:sz w:val="24"/>
          <w:szCs w:val="24"/>
        </w:rPr>
        <w:t xml:space="preserve">，导航下方显示与服务器的连接状态（“已连接服务器”或“离线：原因”）。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关闭主窗口后程序继续在后台运行，桌面右侧保留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悬浮助手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单击悬浮助手：打开智能问答；</w:t>
      </w:r>
    </w:p>
    <w:p>
      <w:pPr>
        <w:pStyle w:val="ListParagraph"/>
        <w:numPr>
          <w:ilvl w:val="0"/>
          <w:numId w:val="3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拖动：移动位置；</w:t>
      </w:r>
    </w:p>
    <w:p>
      <w:pPr>
        <w:pStyle w:val="ListParagraph"/>
        <w:numPr>
          <w:ilvl w:val="0"/>
          <w:numId w:val="3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右键菜单：智能问答、一键提速、设备监测、消息中心、打开主界面、退出小信助手；</w:t>
      </w:r>
    </w:p>
    <w:p>
      <w:pPr>
        <w:pStyle w:val="ListParagraph"/>
        <w:numPr>
          <w:ilvl w:val="0"/>
          <w:numId w:val="36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有未读消息时显示红点。</w:t>
      </w:r>
    </w:p>
    <w:p>
      <w:pPr>
        <w:pStyle w:val="Heading2"/>
      </w:pPr>
      <w:r>
        <w:rPr>
          <w:rFonts w:ascii="Arial" w:hAnsi="Arial" w:eastAsia="黑体"/>
        </w:rPr>
        <w:t xml:space="preserve">16.2 一键提速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垃圾清理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点击“一键扫描”，等待进度条完成；</w:t>
      </w:r>
    </w:p>
    <w:p>
      <w:pPr>
        <w:pStyle w:val="ListParagraph"/>
        <w:numPr>
          <w:ilvl w:val="0"/>
          <w:numId w:val="3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在“垃圾分类”树中查看各类垃圾的大小，双击类别切换勾选；右键类别可打开详细信息窗口查看具体文件；</w:t>
      </w:r>
    </w:p>
    <w:p>
      <w:pPr>
        <w:pStyle w:val="ListParagraph"/>
        <w:numPr>
          <w:ilvl w:val="0"/>
          <w:numId w:val="37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点击“一键清理”。需要管理员权限的项目（如 APT 缓存、/var/log）会弹出系统授权窗口，输入本机密码即可。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内存加速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上方实时显示 CPU、内存、网络、磁盘使用曲线，下方为进程列表，可在“排序”中选择按 CPU、内存、网络或磁盘排序；</w:t>
      </w:r>
    </w:p>
    <w:p>
      <w:pPr>
        <w:pStyle w:val="ListParagraph"/>
        <w:numPr>
          <w:ilvl w:val="0"/>
          <w:numId w:val="38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点击“一键优化闲置进程”，系统列出长时间无活动的进程，确认后结束；也可选中进程后点击“结束选中进程”。系统进程、浏览器、办公软件、安全软件等不会被列为闲置进程。</w:t>
      </w:r>
    </w:p>
    <w:p>
      <w:pPr>
        <w:spacing w:line="3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大文件检索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设置扫描路径和大小阈值（默认大于 100MB），点击“开始扫描”，可随时“停止”；</w:t>
      </w:r>
    </w:p>
    <w:p>
      <w:pPr>
        <w:pStyle w:val="ListParagraph"/>
        <w:numPr>
          <w:ilvl w:val="0"/>
          <w:numId w:val="3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列表显示文件名、大小、更新时间，底部汇总文件数、总大小和按类型统计；</w:t>
      </w:r>
    </w:p>
    <w:p>
      <w:pPr>
        <w:pStyle w:val="ListParagraph"/>
        <w:numPr>
          <w:ilvl w:val="0"/>
          <w:numId w:val="39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勾选或“全选”后点击“删除选中”（会二次确认），也可“打开所在目录”。</w:t>
      </w:r>
    </w:p>
    <w:p>
      <w:pPr>
        <w:pStyle w:val="Heading2"/>
      </w:pPr>
      <w:r>
        <w:rPr>
          <w:rFonts w:ascii="Arial" w:hAnsi="Arial" w:eastAsia="黑体"/>
        </w:rPr>
        <w:t xml:space="preserve">16.3 设备监测</w:t>
      </w:r>
    </w:p>
    <w:p>
      <w:pPr>
        <w:pStyle w:val="ListParagraph"/>
        <w:numPr>
          <w:ilvl w:val="0"/>
          <w:numId w:val="4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配件信息</w:t>
      </w:r>
      <w:r>
        <w:rPr>
          <w:rFonts w:ascii="Times New Roman" w:hAnsi="Times New Roman" w:eastAsia="宋体"/>
          <w:sz w:val="24"/>
          <w:szCs w:val="24"/>
        </w:rPr>
        <w:t xml:space="preserve">：显示本机 CPU、内存、硬盘、操作系统、品牌、型号、序列号等，以及是否信创终端、双系统检测结果；点击“重新采集并上报”立即同步；</w:t>
      </w:r>
    </w:p>
    <w:p>
      <w:pPr>
        <w:pStyle w:val="ListParagraph"/>
        <w:numPr>
          <w:ilvl w:val="0"/>
          <w:numId w:val="4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配件更换记录</w:t>
      </w:r>
      <w:r>
        <w:rPr>
          <w:rFonts w:ascii="Times New Roman" w:hAnsi="Times New Roman" w:eastAsia="宋体"/>
          <w:sz w:val="24"/>
          <w:szCs w:val="24"/>
        </w:rPr>
        <w:t xml:space="preserve">：本机的配件变更历史；</w:t>
      </w:r>
    </w:p>
    <w:p>
      <w:pPr>
        <w:pStyle w:val="ListParagraph"/>
        <w:numPr>
          <w:ilvl w:val="0"/>
          <w:numId w:val="40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违规 / 异常预警</w:t>
      </w:r>
      <w:r>
        <w:rPr>
          <w:rFonts w:ascii="Times New Roman" w:hAnsi="Times New Roman" w:eastAsia="宋体"/>
          <w:sz w:val="24"/>
          <w:szCs w:val="24"/>
        </w:rPr>
        <w:t xml:space="preserve">：与本机相关的预警。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配件发生变化时，客户端会弹出“配件更换提醒”，并自动上报管理端。</w:t>
      </w:r>
    </w:p>
    <w:p>
      <w:pPr>
        <w:pStyle w:val="Heading2"/>
      </w:pPr>
      <w:r>
        <w:rPr>
          <w:rFonts w:ascii="Arial" w:hAnsi="Arial" w:eastAsia="黑体"/>
        </w:rPr>
        <w:t xml:space="preserve">16.4 智能问答</w:t>
      </w:r>
    </w:p>
    <w:p>
      <w:pPr>
        <w:pStyle w:val="ListParagraph"/>
        <w:numPr>
          <w:ilvl w:val="0"/>
          <w:numId w:val="4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选择模式：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智能问答</w:t>
      </w:r>
      <w:r>
        <w:rPr>
          <w:rFonts w:ascii="Times New Roman" w:hAnsi="Times New Roman" w:eastAsia="宋体"/>
          <w:sz w:val="24"/>
          <w:szCs w:val="24"/>
        </w:rPr>
        <w:t xml:space="preserve"> 或 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本地知识问答</w:t>
      </w:r>
      <w:r>
        <w:rPr>
          <w:rFonts w:ascii="Times New Roman" w:hAnsi="Times New Roman" w:eastAsia="宋体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4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在“模型”下拉框中可切换 DeepSeek、星辰、Qwen 等模型（默认自动选择）；</w:t>
      </w:r>
    </w:p>
    <w:p>
      <w:pPr>
        <w:pStyle w:val="ListParagraph"/>
        <w:numPr>
          <w:ilvl w:val="0"/>
          <w:numId w:val="4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输入问题后点击“发送”，回答逐字显示，可点击“暂停”中断；点击“新会话”开始新的话题；</w:t>
      </w:r>
    </w:p>
    <w:p>
      <w:pPr>
        <w:pStyle w:val="ListParagraph"/>
        <w:numPr>
          <w:ilvl w:val="0"/>
          <w:numId w:val="41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本地知识问答模式下，可点击“上传私有文档”上传 PDF、Word、TXT 等文件到个人知识库，之后基于这些文档提问，回答下方显示引用来源。</w:t>
      </w:r>
    </w:p>
    <w:p>
      <w:pPr>
        <w:pBdr>
          <w:left w:val="single" w:color="1664FF" w:sz="18" w:space="6"/>
        </w:pBdr>
        <w:shd w:fill="EEF3FB" w:color="auto" w:val="clear"/>
        <w:spacing w:before="60" w:after="120" w:line="320"/>
        <w:ind w:left="240"/>
      </w:pPr>
      <w:r>
        <w:rPr>
          <w:rFonts w:ascii="Times New Roman" w:hAnsi="Times New Roman" w:eastAsia="宋体"/>
          <w:color w:val="33415C"/>
          <w:sz w:val="21"/>
          <w:szCs w:val="21"/>
        </w:rPr>
        <w:t xml:space="preserve">描述电脑故障并表示需要报修时，助手会询问设备、现象、地点、电话，并自动生成报修工单。</w:t>
      </w:r>
    </w:p>
    <w:p>
      <w:pPr>
        <w:pStyle w:val="Heading2"/>
      </w:pPr>
      <w:r>
        <w:rPr>
          <w:rFonts w:ascii="Arial" w:hAnsi="Arial" w:eastAsia="黑体"/>
        </w:rPr>
        <w:t xml:space="preserve">16.5 合同智审</w:t>
      </w:r>
    </w:p>
    <w:p>
      <w:pPr>
        <w:pStyle w:val="ListParagraph"/>
        <w:numPr>
          <w:ilvl w:val="0"/>
          <w:numId w:val="4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点击“上传合同（PDF/OFD）”选择合同文件；勾选“大模型增强”可用大模型补充要素提取；</w:t>
      </w:r>
    </w:p>
    <w:p>
      <w:pPr>
        <w:pStyle w:val="ListParagraph"/>
        <w:numPr>
          <w:ilvl w:val="0"/>
          <w:numId w:val="4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上传后自动审查，点击“刷新列表”查看状态；</w:t>
      </w:r>
    </w:p>
    <w:p>
      <w:pPr>
        <w:pStyle w:val="ListParagraph"/>
        <w:numPr>
          <w:ilvl w:val="0"/>
          <w:numId w:val="4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选中合同，查看“合规性研判”（不合规项标红并给出提醒）、“要素提取”和“差异提示”。</w:t>
      </w:r>
    </w:p>
    <w:p>
      <w:pPr>
        <w:pStyle w:val="Heading2"/>
      </w:pPr>
      <w:r>
        <w:rPr>
          <w:rFonts w:ascii="Arial" w:hAnsi="Arial" w:eastAsia="黑体"/>
        </w:rPr>
        <w:t xml:space="preserve">16.6 消息中心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查看管理员推送的通知消息。新消息到达时屏幕右下角弹窗提醒，点击“查看”进入消息中心。</w:t>
      </w:r>
    </w:p>
    <w:p>
      <w:pPr>
        <w:pStyle w:val="Heading2"/>
      </w:pPr>
      <w:r>
        <w:rPr>
          <w:rFonts w:ascii="Arial" w:hAnsi="Arial" w:eastAsia="黑体"/>
        </w:rPr>
        <w:t xml:space="preserve">16.7 软件中心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列出管理员上架的常用软件，选中后点击“下载并安装”；点击“刷新”获取最新列表。</w:t>
      </w:r>
    </w:p>
    <w:p>
      <w:pPr>
        <w:pStyle w:val="Heading2"/>
      </w:pPr>
      <w:r>
        <w:rPr>
          <w:rFonts w:ascii="Arial" w:hAnsi="Arial" w:eastAsia="黑体"/>
        </w:rPr>
        <w:t xml:space="preserve">16.8 设置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9"/>
        <w:gridCol w:w="4867"/>
      </w:tblGrid>
      <w:tr>
        <w:trPr>
          <w:cantSplit/>
          <w:tblHeader/>
        </w:trPr>
        <w:tc>
          <w:tcPr>
            <w:tcW w:type="dxa" w:w="4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设置项</w:t>
            </w:r>
          </w:p>
        </w:tc>
        <w:tc>
          <w:tcPr>
            <w:tcW w:type="dxa" w:w="4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4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服务器地址</w:t>
            </w:r>
          </w:p>
        </w:tc>
        <w:tc>
          <w:tcPr>
            <w:tcW w:type="dxa" w:w="4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管理员提供的服务端地址，如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http://10.0.0.10:8000</w:t>
            </w:r>
          </w:p>
        </w:tc>
      </w:tr>
      <w:tr>
        <w:trPr>
          <w:cantSplit/>
          <w:tblHeader w:val="false"/>
        </w:trPr>
        <w:tc>
          <w:tcPr>
            <w:tcW w:type="dxa" w:w="4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客户端接入密钥</w:t>
            </w:r>
          </w:p>
        </w:tc>
        <w:tc>
          <w:tcPr>
            <w:tcW w:type="dxa" w:w="4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管理员设置了接入密钥时填写</w:t>
            </w:r>
          </w:p>
        </w:tc>
      </w:tr>
      <w:tr>
        <w:trPr>
          <w:cantSplit/>
          <w:tblHeader w:val="false"/>
        </w:trPr>
        <w:tc>
          <w:tcPr>
            <w:tcW w:type="dxa" w:w="4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使用人、部门</w:t>
            </w:r>
          </w:p>
        </w:tc>
        <w:tc>
          <w:tcPr>
            <w:tcW w:type="dxa" w:w="4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用于管理端统计</w:t>
            </w:r>
          </w:p>
        </w:tc>
      </w:tr>
      <w:tr>
        <w:trPr>
          <w:cantSplit/>
          <w:tblHeader w:val="false"/>
        </w:trPr>
        <w:tc>
          <w:tcPr>
            <w:tcW w:type="dxa" w:w="4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本机为云桌面用户端、云桌面服务端名称</w:t>
            </w:r>
          </w:p>
        </w:tc>
        <w:tc>
          <w:tcPr>
            <w:tcW w:type="dxa" w:w="4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云桌面终端勾选并填写</w:t>
            </w:r>
          </w:p>
        </w:tc>
      </w:tr>
      <w:tr>
        <w:trPr>
          <w:cantSplit/>
          <w:tblHeader w:val="false"/>
        </w:trPr>
        <w:tc>
          <w:tcPr>
            <w:tcW w:type="dxa" w:w="4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显示桌面悬浮助手</w:t>
            </w:r>
          </w:p>
        </w:tc>
        <w:tc>
          <w:tcPr>
            <w:tcW w:type="dxa" w:w="4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是否显示悬浮助手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修改后点击“保存”。页面下方显示设备 ID、客户端版本和配置文件位置，报修时可提供给运维人员。</w:t>
      </w:r>
    </w:p>
    <w:p>
      <w:pPr>
        <w:pStyle w:val="Heading1"/>
      </w:pPr>
      <w:r>
        <w:rPr>
          <w:rFonts w:ascii="Arial" w:hAnsi="Arial" w:eastAsia="黑体"/>
        </w:rPr>
        <w:t xml:space="preserve">17. 典型业务流程</w:t>
      </w:r>
    </w:p>
    <w:p>
      <w:pPr>
        <w:pStyle w:val="Heading2"/>
      </w:pPr>
      <w:r>
        <w:rPr>
          <w:rFonts w:ascii="Arial" w:hAnsi="Arial" w:eastAsia="黑体"/>
        </w:rPr>
        <w:t xml:space="preserve">17.1 来电报修到办结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5762625"/>
            <wp:effectExtent t="0" r="0" b="0" l="0"/>
            <wp:docPr id="1" name="img47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 w:eastAsia="黑体"/>
        </w:rPr>
        <w:t xml:space="preserve">17.2 终端用户自助报修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用户在客户端或悬浮助手中描述故障（如“电脑蓝屏了要报修”）→ 助手追问设备、现象、地点、电话 → 自动创建工单 → 工单进入工单池“待指派”，后续按 17.1 流转。</w:t>
      </w:r>
    </w:p>
    <w:p>
      <w:pPr>
        <w:pStyle w:val="Heading2"/>
      </w:pPr>
      <w:r>
        <w:rPr>
          <w:rFonts w:ascii="Arial" w:hAnsi="Arial" w:eastAsia="黑体"/>
        </w:rPr>
        <w:t xml:space="preserve">17.3 新客户端版本发布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打包新版本 → 管理端“版本管理”新增版本（草稿）→ 上传安装包 → 在少量终端上验证 → 改为“已发布” → 终端启动时提示升级。</w:t>
      </w:r>
    </w:p>
    <w:p>
      <w:pPr>
        <w:pStyle w:val="Heading2"/>
      </w:pPr>
      <w:r>
        <w:rPr>
          <w:rFonts w:ascii="Arial" w:hAnsi="Arial" w:eastAsia="黑体"/>
        </w:rPr>
        <w:t xml:space="preserve">17.4 知识库建设与问答优化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收集运维手册、常见问题、政策文件 → “知识库构建”批量导入 → 检查标签并人工校验 → “检索测试与策略”用典型问题验证效果并调整阈值、权重 → 在问答中使用“本地知识问答” → 通过“RAG 链路监控”跟踪命中率和满意度，持续补充资料。</w:t>
      </w:r>
    </w:p>
    <w:p>
      <w:pPr>
        <w:pStyle w:val="Heading1"/>
      </w:pPr>
      <w:r>
        <w:rPr>
          <w:rFonts w:ascii="Arial" w:hAnsi="Arial" w:eastAsia="黑体"/>
        </w:rPr>
        <w:t xml:space="preserve">18.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5414"/>
      </w:tblGrid>
      <w:tr>
        <w:trPr>
          <w:cantSplit/>
          <w:tblHeader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处理方法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登录提示“用户名或密码错误”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核对账号密码，注意大小写；忘记密码请联系管理员在“用户管理”中重置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登录后很快又要求重新登录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登录已过期（默认 24 小时）或管理员修改了系统密钥，重新登录即可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看不到某些菜单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菜单按角色显示，需要相应权限请联系管理员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问答回复“未配置大模型”之类的提示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当前没有可用的大模型，请管理员在“模型接入与配置”中配置并通过健康检查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知识问答回答与资料无关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检查知识库中是否有相关资料；在“检索测试”中查看命中情况，适当降低相似度阈值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文档导入一直“处理中”或“失败”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点击“日志”查看原因；扫描件需服务器开启 OCR；可点击“重试”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客户端显示“离线”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检查网络和“设置”中的服务器地址；联系管理员确认服务正常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客户端没有收到消息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消息拉取有间隔（默认 2 分钟）；确认推送范围包含本机；检查客户端是否在线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移动端看不到工单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确认工单已指派给本人；切换“全部”页签查看</w:t>
            </w:r>
          </w:p>
        </w:tc>
      </w:tr>
      <w:tr>
        <w:trPr>
          <w:cantSplit/>
          <w:tblHeader w:val="false"/>
        </w:trPr>
        <w:tc>
          <w:tcPr>
            <w:tcW w:type="dxa" w:w="36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合同审查结果与实际不符</w:t>
            </w:r>
          </w:p>
        </w:tc>
        <w:tc>
          <w:tcPr>
            <w:tcW w:type="dxa" w:w="5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点击该项“误报”反馈；请管理员在“审查规则管理”中调整规则后“重新审查”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8" w:sz="4" w:space="4"/>
      </w:pBdr>
      <w:jc w:val="right"/>
    </w:pPr>
    <w:r>
      <w:rPr>
        <w:rFonts w:ascii="Times New Roman" w:hAnsi="Times New Roman" w:eastAsia="宋体"/>
        <w:color w:val="666666"/>
        <w:sz w:val="18"/>
        <w:szCs w:val="18"/>
      </w:rPr>
      <w:t xml:space="preserve">小信助手智能体 ·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Arial" w:hAnsi="Arial" w:eastAsia="黑体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Arial" w:hAnsi="Arial" w:eastAsia="黑体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Arial" w:hAnsi="Arial" w:eastAsia="黑体"/>
      <w:b/>
      <w:bCs/>
      <w:color w:val="1F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cddeaf28074c781dcadd31fa861f1e68b27572d.jpg"/><Relationship Id="rId9" Type="http://schemas.openxmlformats.org/officeDocument/2006/relationships/image" Target="media/abcc67472ae114427d1cdafa4df8b8b32b22c4df.jpg"/><Relationship Id="rId10" Type="http://schemas.openxmlformats.org/officeDocument/2006/relationships/image" Target="media/c561c7a4bb2632c0e7a80f59055a854ef5f5eb67.jpg"/><Relationship Id="rId11" Type="http://schemas.openxmlformats.org/officeDocument/2006/relationships/image" Target="media/1f87b45b3e9b2b7beae6442f091845d779c4116a.jpg"/><Relationship Id="rId12" Type="http://schemas.openxmlformats.org/officeDocument/2006/relationships/image" Target="media/bf72590aefb2225d1d260615b7cfdc3c5c11bec4.jpg"/><Relationship Id="rId13" Type="http://schemas.openxmlformats.org/officeDocument/2006/relationships/image" Target="media/41c19ca50564907088b4bb343104d310ddfadf18.jpg"/><Relationship Id="rId14" Type="http://schemas.openxmlformats.org/officeDocument/2006/relationships/image" Target="media/5e43e73e18804e0016d4789ba7c4fe527e40a319.jpg"/><Relationship Id="rId15" Type="http://schemas.openxmlformats.org/officeDocument/2006/relationships/image" Target="media/95d5e72999f3ca1f17913ed8bf6c4b3d76945f2d.jpg"/><Relationship Id="rId16" Type="http://schemas.openxmlformats.org/officeDocument/2006/relationships/image" Target="media/1ac381e994ee534fe013e8121910a019c6fca750.jpg"/><Relationship Id="rId17" Type="http://schemas.openxmlformats.org/officeDocument/2006/relationships/image" Target="media/f0a1c5658a742c7185920c6821ac711ad09ba412.jpg"/><Relationship Id="rId18" Type="http://schemas.openxmlformats.org/officeDocument/2006/relationships/image" Target="media/ee915af707e84f3c2b83feed9522c1d83e83bb69.jpg"/><Relationship Id="rId19" Type="http://schemas.openxmlformats.org/officeDocument/2006/relationships/image" Target="media/bb29c4ab8413448d22876c7d3013f8c686f1b718.jpg"/><Relationship Id="rId20" Type="http://schemas.openxmlformats.org/officeDocument/2006/relationships/image" Target="media/3b75f8bdc73d81d9e2358f4a40a490e17e3a9769.jpg"/><Relationship Id="rId21" Type="http://schemas.openxmlformats.org/officeDocument/2006/relationships/image" Target="media/397daab6982a30e96fa96f14318408df4f79ea89.jpg"/><Relationship Id="rId22" Type="http://schemas.openxmlformats.org/officeDocument/2006/relationships/image" Target="media/470713025798214b3100d6683d02e4fe464098d4.jpg"/><Relationship Id="rId23" Type="http://schemas.openxmlformats.org/officeDocument/2006/relationships/image" Target="media/d447d9297f7a711aaac42dbed05ad7170c9e672d.jpg"/><Relationship Id="rId24" Type="http://schemas.openxmlformats.org/officeDocument/2006/relationships/image" Target="media/d534b3c198aa484494c7eed3818e919faecf71dc.jpg"/><Relationship Id="rId25" Type="http://schemas.openxmlformats.org/officeDocument/2006/relationships/image" Target="media/9d72fb9ac76c85fb8e521a748891130d42f4067a.jpg"/><Relationship Id="rId26" Type="http://schemas.openxmlformats.org/officeDocument/2006/relationships/image" Target="media/e0220daece497ecb1c7ecdcc22db9924c4cc522e.jpg"/><Relationship Id="rId27" Type="http://schemas.openxmlformats.org/officeDocument/2006/relationships/image" Target="media/e6f183d08104f8ee26905f5447951145d33cebfc.jpg"/><Relationship Id="rId28" Type="http://schemas.openxmlformats.org/officeDocument/2006/relationships/image" Target="media/d960f225088bfafea3457969dc26979acbd19463.jpg"/><Relationship Id="rId29" Type="http://schemas.openxmlformats.org/officeDocument/2006/relationships/image" Target="media/511e9575c4ba6c8c0b645a4a206dc04d940c28cd.jpg"/><Relationship Id="rId30" Type="http://schemas.openxmlformats.org/officeDocument/2006/relationships/image" Target="media/311323195fe769fdebab78d325d38de67b8976e5.jpg"/><Relationship Id="rId31" Type="http://schemas.openxmlformats.org/officeDocument/2006/relationships/image" Target="media/8e93e281fa632b931b675ac728e3c6fcf430da3b.jpg"/><Relationship Id="rId32" Type="http://schemas.openxmlformats.org/officeDocument/2006/relationships/image" Target="media/ef07774b783984ac49e08e32567ae93a0f793c4f.jpg"/><Relationship Id="rId33" Type="http://schemas.openxmlformats.org/officeDocument/2006/relationships/image" Target="media/279bfcbca287132f05cc29ee0fafef5acf2fae3b.jpg"/><Relationship Id="rId34" Type="http://schemas.openxmlformats.org/officeDocument/2006/relationships/image" Target="media/8cb37d6df60c7939cf06f0b329dac9d951438f73.jpg"/><Relationship Id="rId35" Type="http://schemas.openxmlformats.org/officeDocument/2006/relationships/image" Target="media/efe8309e0c4f96cf1d281b51156eb2c1f42730ee.jpg"/><Relationship Id="rId36" Type="http://schemas.openxmlformats.org/officeDocument/2006/relationships/image" Target="media/2e83ec79a26317ec44eedcae65dcd49b06e49b2d.jpg"/><Relationship Id="rId37" Type="http://schemas.openxmlformats.org/officeDocument/2006/relationships/image" Target="media/fea3270d48c399ef9f7625fec9c925a60b087843.jpg"/><Relationship Id="rId38" Type="http://schemas.openxmlformats.org/officeDocument/2006/relationships/image" Target="media/2d15853fb6940335fbb47715abeae32309898ae0.jpg"/><Relationship Id="rId39" Type="http://schemas.openxmlformats.org/officeDocument/2006/relationships/image" Target="media/db14bec1f091e5053c34b3b6a643af2fd43e7912.jpg"/><Relationship Id="rId40" Type="http://schemas.openxmlformats.org/officeDocument/2006/relationships/image" Target="media/b8228badaba4bcddb916bf1f479fa28c11570cb2.jpg"/><Relationship Id="rId41" Type="http://schemas.openxmlformats.org/officeDocument/2006/relationships/image" Target="media/1bed39f1e9e29b53c4d80a52446139323ad1f948.jpg"/><Relationship Id="rId42" Type="http://schemas.openxmlformats.org/officeDocument/2006/relationships/image" Target="media/6feed86ef983eae34121463a7c1886ac73a6b5ee.jpg"/><Relationship Id="rId43" Type="http://schemas.openxmlformats.org/officeDocument/2006/relationships/image" Target="media/92ad366b2e1613dab595b3c7c20e8f446c412d88.jpg"/><Relationship Id="rId44" Type="http://schemas.openxmlformats.org/officeDocument/2006/relationships/image" Target="media/d0d3ac15e6a90ad493afa230619c2aa4e616e460.jpg"/><Relationship Id="rId45" Type="http://schemas.openxmlformats.org/officeDocument/2006/relationships/image" Target="media/42a6ed74c47dd82f0a400815cdf5872f0f6dc556.jpg"/><Relationship Id="rId46" Type="http://schemas.openxmlformats.org/officeDocument/2006/relationships/image" Target="media/9759e84a0c7f5c26f656ae7c7b220487a0cf9013.jpg"/><Relationship Id="rId47" Type="http://schemas.openxmlformats.org/officeDocument/2006/relationships/image" Target="media/bea4ac85a261917308deca28d8fb1e9632fe182e.jpg"/><Relationship Id="rId48" Type="http://schemas.openxmlformats.org/officeDocument/2006/relationships/image" Target="media/633d4123563c8db2e2d32dac1cc9c513a020afcc.jpg"/><Relationship Id="rId49" Type="http://schemas.openxmlformats.org/officeDocument/2006/relationships/image" Target="media/96383970cbcbc138efe136b7fc0a93c88ee381a1.jpg"/><Relationship Id="rId50" Type="http://schemas.openxmlformats.org/officeDocument/2006/relationships/image" Target="media/7807940cec28b73eabcc4e263937f26b0b2b15be.jpg"/><Relationship Id="rId51" Type="http://schemas.openxmlformats.org/officeDocument/2006/relationships/image" Target="media/2bffcec50c38d565286b400dce2f134e6c0e51b5.jpg"/><Relationship Id="rId52" Type="http://schemas.openxmlformats.org/officeDocument/2006/relationships/image" Target="media/5d7f86649fabf1704e60eb0c0ba8d4df95a46797.jpg"/><Relationship Id="rId53" Type="http://schemas.openxmlformats.org/officeDocument/2006/relationships/image" Target="media/7ab11e0953a56c7f82d0634f425ee40a43bd6076.jpg"/><Relationship Id="rId54" Type="http://schemas.openxmlformats.org/officeDocument/2006/relationships/image" Target="media/7b2b811d214e575c54107e7fcc557a90f862c1d9.jpg"/><Relationship Id="rId55" Type="http://schemas.openxmlformats.org/officeDocument/2006/relationships/image" Target="media/d964c7695df1f7d415ed7b5b76bb871c6fbc5445.png"/><Relationship Id="rId5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小信助手智能体 · 用户操作手册</dc:title>
  <dc:creator>小信助手项目组</dc:creator>
  <cp:lastModifiedBy>Un-named</cp:lastModifiedBy>
  <cp:revision>1</cp:revision>
  <dcterms:created xsi:type="dcterms:W3CDTF">2026-10-08T15:23:04.241Z</dcterms:created>
  <dcterms:modified xsi:type="dcterms:W3CDTF">2026-10-08T15:23:04.242Z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