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300"/>
        <w:jc w:val="center"/>
      </w:pPr>
      <w:r>
        <w:rPr>
          <w:rFonts w:ascii="Arial" w:hAnsi="Arial" w:eastAsia="黑体"/>
          <w:color w:val="1664FF"/>
          <w:sz w:val="36"/>
          <w:szCs w:val="36"/>
        </w:rPr>
        <w:t xml:space="preserve">小信助手智能体</w:t>
      </w:r>
    </w:p>
    <w:p>
      <w:pPr>
        <w:spacing w:after="1200"/>
        <w:jc w:val="center"/>
      </w:pPr>
      <w:r>
        <w:rPr>
          <w:rFonts w:ascii="Arial" w:hAnsi="Arial" w:eastAsia="黑体"/>
          <w:b/>
          <w:bCs/>
          <w:sz w:val="52"/>
          <w:szCs w:val="52"/>
        </w:rPr>
        <w:t xml:space="preserve">需求规格说明书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6440"/>
      </w:tblGrid>
      <w:tr>
        <w:trPr>
          <w:cantSplit/>
          <w:tblHeader/>
        </w:trPr>
        <w:tc>
          <w:tcPr>
            <w:tcW w:type="dxa" w:w="25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4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5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64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2025 年中国电信浙江公司小信助手智能体研发项目</w:t>
            </w:r>
          </w:p>
        </w:tc>
      </w:tr>
      <w:tr>
        <w:trPr>
          <w:cantSplit/>
          <w:tblHeader w:val="false"/>
        </w:trPr>
        <w:tc>
          <w:tcPr>
            <w:tcW w:type="dxa" w:w="25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4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V1.0</w:t>
            </w:r>
          </w:p>
        </w:tc>
      </w:tr>
      <w:tr>
        <w:trPr>
          <w:cantSplit/>
          <w:tblHeader w:val="false"/>
        </w:trPr>
        <w:tc>
          <w:tcPr>
            <w:tcW w:type="dxa" w:w="25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需求来源</w:t>
            </w:r>
          </w:p>
        </w:tc>
        <w:tc>
          <w:tcPr>
            <w:tcW w:type="dxa" w:w="64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《附件1：价格清单》1.2 报价明细表</w:t>
            </w:r>
          </w:p>
        </w:tc>
      </w:tr>
      <w:tr>
        <w:trPr>
          <w:cantSplit/>
          <w:tblHeader w:val="false"/>
        </w:trPr>
        <w:tc>
          <w:tcPr>
            <w:tcW w:type="dxa" w:w="25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工期要求</w:t>
            </w:r>
          </w:p>
        </w:tc>
        <w:tc>
          <w:tcPr>
            <w:tcW w:type="dxa" w:w="64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合同签订之日起 9 个月内完成开发及部署上线</w:t>
            </w:r>
          </w:p>
        </w:tc>
      </w:tr>
    </w:tbl>
    <w:p>
      <w:pPr>
        <w:spacing w:before="1400"/>
        <w:jc w:val="center"/>
      </w:pPr>
      <w:r>
        <w:rPr>
          <w:rFonts w:ascii="Times New Roman" w:hAnsi="Times New Roman" w:eastAsia="宋体"/>
          <w:sz w:val="28"/>
          <w:szCs w:val="28"/>
        </w:rPr>
        <w:t xml:space="preserve">2026 年 10 月</w:t>
      </w:r>
    </w:p>
    <w:p>
      <w:r>
        <w:br w:type="page"/>
      </w:r>
    </w:p>
    <w:p>
      <w:pPr>
        <w:spacing w:after="240"/>
        <w:jc w:val="center"/>
      </w:pPr>
      <w:r>
        <w:rPr>
          <w:rFonts w:ascii="Arial" w:hAnsi="Arial" w:eastAsia="黑体"/>
          <w:b/>
          <w:bCs/>
          <w:sz w:val="32"/>
          <w:szCs w:val="32"/>
        </w:rPr>
        <w:t xml:space="preserve">目  录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1. 引言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1.1 编写目的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1.2 适用范围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1.3 术语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1.4 参考资料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2. 项目概述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2.1 建设背景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2.2 建设目标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2.3 用户角色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2.4 系统组成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3. 功能需求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3.1 小信助手桌面客户端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3.2 小信助手管理端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3.3 运维人员移动端（运维工单处置）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3.4 信创垂域大模型能力底座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3.5 信创终端适配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14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4. 非功能需求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4.1 兼容性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4.2 性能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14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4.3 安全性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4.4 可靠性与可维护性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15</w:t>
      </w:r>
    </w:p>
    <w:p>
      <w:pPr>
        <w:tabs>
          <w:tab w:val="right" w:pos="9026" w:leader="dot"/>
        </w:tabs>
        <w:spacing w:line="300" w:before="0" w:after="40"/>
        <w:ind w:left="420"/>
      </w:pPr>
      <w:r>
        <w:rPr>
          <w:rFonts w:ascii="Times New Roman" w:hAnsi="Times New Roman" w:eastAsia="宋体"/>
          <w:b w:val="false"/>
          <w:bCs w:val="false"/>
          <w:sz w:val="21"/>
          <w:szCs w:val="21"/>
        </w:rPr>
        <w:t xml:space="preserve">4.5 易用性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15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5. 外部接口需求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15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6. 数据需求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16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7. 约束与假设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16</w:t>
      </w:r>
    </w:p>
    <w:p>
      <w:pPr>
        <w:tabs>
          <w:tab w:val="right" w:pos="9026" w:leader="dot"/>
        </w:tabs>
        <w:spacing w:line="300" w:before="100" w:after="40"/>
        <w:ind w:left="0"/>
      </w:pPr>
      <w:r>
        <w:rPr>
          <w:rFonts w:ascii="Arial" w:hAnsi="Arial" w:eastAsia="黑体"/>
          <w:b/>
          <w:bCs/>
          <w:sz w:val="23"/>
          <w:szCs w:val="23"/>
        </w:rPr>
        <w:t xml:space="preserve">8. 需求跟踪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 xml:space="preserve">16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</w:rPr>
        <w:t xml:space="preserve">1. 引言</w:t>
      </w:r>
    </w:p>
    <w:p>
      <w:pPr>
        <w:pStyle w:val="Heading2"/>
      </w:pPr>
      <w:r>
        <w:rPr>
          <w:rFonts w:ascii="Arial" w:hAnsi="Arial" w:eastAsia="黑体"/>
        </w:rPr>
        <w:t xml:space="preserve">1.1 编写目的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本文明确小信助手智能体的功能需求、非功能需求、接口需求和约束条件，作为系统设计、开发、测试和验收的依据。</w:t>
      </w:r>
    </w:p>
    <w:p>
      <w:pPr>
        <w:pStyle w:val="Heading2"/>
      </w:pPr>
      <w:r>
        <w:rPr>
          <w:rFonts w:ascii="Arial" w:hAnsi="Arial" w:eastAsia="黑体"/>
        </w:rPr>
        <w:t xml:space="preserve">1.2 适用范围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适用于项目的产品、研发、测试、实施和验收人员。需求覆盖四部分：小信助手桌面客户端、小信助手管理端（含运维人员移动端）、信创垂域大模型能力底座、信创终端适配。</w:t>
      </w:r>
    </w:p>
    <w:p>
      <w:pPr>
        <w:pStyle w:val="Heading2"/>
      </w:pPr>
      <w:r>
        <w:rPr>
          <w:rFonts w:ascii="Arial" w:hAnsi="Arial" w:eastAsia="黑体"/>
        </w:rPr>
        <w:t xml:space="preserve">1.3 术语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8"/>
        <w:gridCol w:w="6168"/>
      </w:tblGrid>
      <w:tr>
        <w:trPr>
          <w:cantSplit/>
          <w:tblHeader/>
        </w:trPr>
        <w:tc>
          <w:tcPr>
            <w:tcW w:type="dxa" w:w="28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6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8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信创终端</w:t>
            </w:r>
          </w:p>
        </w:tc>
        <w:tc>
          <w:tcPr>
            <w:tcW w:type="dxa" w:w="6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采用国产 CPU（飞腾、鲲鹏、海光、兆芯等）和国产操作系统（银河麒麟、统信 UOS 等）的办公终端</w:t>
            </w:r>
          </w:p>
        </w:tc>
      </w:tr>
      <w:tr>
        <w:trPr>
          <w:cantSplit/>
          <w:tblHeader w:val="false"/>
        </w:trPr>
        <w:tc>
          <w:tcPr>
            <w:tcW w:type="dxa" w:w="28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双轨运行</w:t>
            </w:r>
          </w:p>
        </w:tc>
        <w:tc>
          <w:tcPr>
            <w:tcW w:type="dxa" w:w="6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同一使用人同时使用信创终端和原 Windows 终端的过渡期状态</w:t>
            </w:r>
          </w:p>
        </w:tc>
      </w:tr>
      <w:tr>
        <w:trPr>
          <w:cantSplit/>
          <w:tblHeader w:val="false"/>
        </w:trPr>
        <w:tc>
          <w:tcPr>
            <w:tcW w:type="dxa" w:w="28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双系统</w:t>
            </w:r>
          </w:p>
        </w:tc>
        <w:tc>
          <w:tcPr>
            <w:tcW w:type="dxa" w:w="6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同一台终端同时安装国产操作系统和 Windows 系统，属于违规情形</w:t>
            </w:r>
          </w:p>
        </w:tc>
      </w:tr>
      <w:tr>
        <w:trPr>
          <w:cantSplit/>
          <w:tblHeader w:val="false"/>
        </w:trPr>
        <w:tc>
          <w:tcPr>
            <w:tcW w:type="dxa" w:w="28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保障中心 / 保障站</w:t>
            </w:r>
          </w:p>
        </w:tc>
        <w:tc>
          <w:tcPr>
            <w:tcW w:type="dxa" w:w="6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市级信创保障中心、区县信创保障站，负责终端运维服务</w:t>
            </w:r>
          </w:p>
        </w:tc>
      </w:tr>
      <w:tr>
        <w:trPr>
          <w:cantSplit/>
          <w:tblHeader w:val="false"/>
        </w:trPr>
        <w:tc>
          <w:tcPr>
            <w:tcW w:type="dxa" w:w="28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RAG</w:t>
            </w:r>
          </w:p>
        </w:tc>
        <w:tc>
          <w:tcPr>
            <w:tcW w:type="dxa" w:w="6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检索增强生成：先从知识库检索相关内容，再交给大模型生成回答</w:t>
            </w:r>
          </w:p>
        </w:tc>
      </w:tr>
      <w:tr>
        <w:trPr>
          <w:cantSplit/>
          <w:tblHeader w:val="false"/>
        </w:trPr>
        <w:tc>
          <w:tcPr>
            <w:tcW w:type="dxa" w:w="28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槽位填充</w:t>
            </w:r>
          </w:p>
        </w:tc>
        <w:tc>
          <w:tcPr>
            <w:tcW w:type="dxa" w:w="6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对话中识别并持续收集完成某项任务所需的关键参数</w:t>
            </w:r>
          </w:p>
        </w:tc>
      </w:tr>
      <w:tr>
        <w:trPr>
          <w:cantSplit/>
          <w:tblHeader w:val="false"/>
        </w:trPr>
        <w:tc>
          <w:tcPr>
            <w:tcW w:type="dxa" w:w="28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LoRA / QLoRA</w:t>
            </w:r>
          </w:p>
        </w:tc>
        <w:tc>
          <w:tcPr>
            <w:tcW w:type="dxa" w:w="6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参数高效的大模型微调技术</w:t>
            </w:r>
          </w:p>
        </w:tc>
      </w:tr>
      <w:tr>
        <w:trPr>
          <w:cantSplit/>
          <w:tblHeader w:val="false"/>
        </w:trPr>
        <w:tc>
          <w:tcPr>
            <w:tcW w:type="dxa" w:w="28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OFD</w:t>
            </w:r>
          </w:p>
        </w:tc>
        <w:tc>
          <w:tcPr>
            <w:tcW w:type="dxa" w:w="61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我国自主的版式文档格式标准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1.4 参考资料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《附件1：价格清单》（报价详表与报价明细表）</w:t>
      </w:r>
    </w:p>
    <w:p>
      <w:pPr>
        <w:pStyle w:val="ListParagraph"/>
        <w:numPr>
          <w:ilvl w:val="0"/>
          <w:numId w:val="2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《无锡信创平台操作手册（总集管理员）》（界面风格参考）</w:t>
      </w:r>
    </w:p>
    <w:p>
      <w:pPr>
        <w:pStyle w:val="Heading1"/>
      </w:pPr>
      <w:r>
        <w:rPr>
          <w:rFonts w:ascii="Arial" w:hAnsi="Arial" w:eastAsia="黑体"/>
        </w:rPr>
        <w:t xml:space="preserve">2. 项目概述</w:t>
      </w:r>
    </w:p>
    <w:p>
      <w:pPr>
        <w:pStyle w:val="Heading2"/>
      </w:pPr>
      <w:r>
        <w:rPr>
          <w:rFonts w:ascii="Arial" w:hAnsi="Arial" w:eastAsia="黑体"/>
        </w:rPr>
        <w:t xml:space="preserve">2.1 建设背景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信创终端大规模替代后，终端数量多、型号杂、分布广，用户在使用国产软硬件时遇到的问题多，保障中心的运维压力大。需要一个部署在终端上的智能助手，帮助用户自助解决常见问题、优化终端性能，并让管理部门实时掌握终端的接入、替代、运行和合规情况；同时建设信创垂域大模型能力底座，为问答、知识检索和合同审查等智能服务提供支撑。</w:t>
      </w:r>
    </w:p>
    <w:p>
      <w:pPr>
        <w:pStyle w:val="Heading2"/>
      </w:pPr>
      <w:r>
        <w:rPr>
          <w:rFonts w:ascii="Arial" w:hAnsi="Arial" w:eastAsia="黑体"/>
        </w:rPr>
        <w:t xml:space="preserve">2.2 建设目标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为终端用户提供一键提速、智能问答、本地知识问答、合同智审、消息接收等桌面服务；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为管理部门提供终端资源、运行情况、监测指标和违规预警的统一管理与可视化；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为保障中心提供来电登记、工单流转、移动处置、案例沉淀的智能运维闭环；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建设可接入多种大模型、可微调、可评估的信创垂域大模型能力底座，以及信创知识库、合同智审和工具插件能力；</w:t>
      </w:r>
    </w:p>
    <w:p>
      <w:pPr>
        <w:pStyle w:val="ListParagraph"/>
        <w:numPr>
          <w:ilvl w:val="0"/>
          <w:numId w:val="3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完成 4 种国产 CPU、2 种国产操作系统、3 种杀毒软件的适配验证。</w:t>
      </w:r>
    </w:p>
    <w:p>
      <w:pPr>
        <w:pStyle w:val="Heading2"/>
      </w:pPr>
      <w:r>
        <w:rPr>
          <w:rFonts w:ascii="Arial" w:hAnsi="Arial" w:eastAsia="黑体"/>
        </w:rPr>
        <w:t xml:space="preserve">2.3 用户角色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9"/>
        <w:gridCol w:w="1721"/>
        <w:gridCol w:w="4026"/>
      </w:tblGrid>
      <w:tr>
        <w:trPr>
          <w:cantSplit/>
          <w:tblHeader/>
        </w:trPr>
        <w:tc>
          <w:tcPr>
            <w:tcW w:type="dxa" w:w="32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使用端</w:t>
            </w:r>
          </w:p>
        </w:tc>
        <w:tc>
          <w:tcPr>
            <w:tcW w:type="dxa" w:w="4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主要职责</w:t>
            </w:r>
          </w:p>
        </w:tc>
      </w:tr>
      <w:tr>
        <w:trPr>
          <w:cantSplit/>
          <w:tblHeader w:val="false"/>
        </w:trPr>
        <w:tc>
          <w:tcPr>
            <w:tcW w:type="dxa" w:w="32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终端用户</w:t>
            </w:r>
          </w:p>
        </w:tc>
        <w:tc>
          <w:tcPr>
            <w:tcW w:type="dxa" w:w="1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桌面客户端</w:t>
            </w:r>
          </w:p>
        </w:tc>
        <w:tc>
          <w:tcPr>
            <w:tcW w:type="dxa" w:w="4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使用提速、问答、合同审查、消息、软件中心，发起报修</w:t>
            </w:r>
          </w:p>
        </w:tc>
      </w:tr>
      <w:tr>
        <w:trPr>
          <w:cantSplit/>
          <w:tblHeader w:val="false"/>
        </w:trPr>
        <w:tc>
          <w:tcPr>
            <w:tcW w:type="dxa" w:w="32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1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</w:t>
            </w:r>
          </w:p>
        </w:tc>
        <w:tc>
          <w:tcPr>
            <w:tcW w:type="dxa" w:w="4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终端与客户端管理、模型与知识库管理、规则与工具管理、用户与系统设置</w:t>
            </w:r>
          </w:p>
        </w:tc>
      </w:tr>
      <w:tr>
        <w:trPr>
          <w:cantSplit/>
          <w:tblHeader w:val="false"/>
        </w:trPr>
        <w:tc>
          <w:tcPr>
            <w:tcW w:type="dxa" w:w="32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保障中心客服</w:t>
            </w:r>
          </w:p>
        </w:tc>
        <w:tc>
          <w:tcPr>
            <w:tcW w:type="dxa" w:w="1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</w:t>
            </w:r>
          </w:p>
        </w:tc>
        <w:tc>
          <w:tcPr>
            <w:tcW w:type="dxa" w:w="4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来电登记、工单指派、挂起审核、评价录入、案例查询与维护、消息推送</w:t>
            </w:r>
          </w:p>
        </w:tc>
      </w:tr>
      <w:tr>
        <w:trPr>
          <w:cantSplit/>
          <w:tblHeader w:val="false"/>
        </w:trPr>
        <w:tc>
          <w:tcPr>
            <w:tcW w:type="dxa" w:w="32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运维人员（市保障中心 / 区县保障站 / 纳管厂商）</w:t>
            </w:r>
          </w:p>
        </w:tc>
        <w:tc>
          <w:tcPr>
            <w:tcW w:type="dxa" w:w="1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移动端 H5</w:t>
            </w:r>
          </w:p>
        </w:tc>
        <w:tc>
          <w:tcPr>
            <w:tcW w:type="dxa" w:w="4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工单签收、转派、挂起、信息补充、反馈、补录，上报典型案例</w:t>
            </w:r>
          </w:p>
        </w:tc>
      </w:tr>
      <w:tr>
        <w:trPr>
          <w:cantSplit/>
          <w:tblHeader w:val="false"/>
        </w:trPr>
        <w:tc>
          <w:tcPr>
            <w:tcW w:type="dxa" w:w="327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第三方开发者</w:t>
            </w:r>
          </w:p>
        </w:tc>
        <w:tc>
          <w:tcPr>
            <w:tcW w:type="dxa" w:w="17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开放平台</w:t>
            </w:r>
          </w:p>
        </w:tc>
        <w:tc>
          <w:tcPr>
            <w:tcW w:type="dxa" w:w="4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开发并接入第三方工具插件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2.4 系统组成</w:t>
      </w:r>
    </w:p>
    <w:p>
      <w:pPr>
        <w:shd w:fill="F2F4F7" w:color="auto" w:val="clear"/>
        <w:spacing w:before="8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小信助手智能体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├── 桌面客户端：一键提速 · 探针监测 · 悬浮助手 · 智能问答 · 合同智审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├── 管理端：终端资源管理 · 终端运行监测 · 客户端管理 · 消息管理 · 智能运维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│   └── 运维人员移动端：运维工单处置</w:t>
      </w:r>
    </w:p>
    <w:p>
      <w:pPr>
        <w:shd w:fill="F2F4F7" w:color="auto" w:val="clear"/>
        <w:spacing w:before="0" w:after="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├── 信创垂域大模型能力底座：模型管理 · 模型优化 · 信创知识库管理 · 合同智审服务 · 工具与插件</w:t>
      </w:r>
    </w:p>
    <w:p>
      <w:pPr>
        <w:shd w:fill="F2F4F7" w:color="auto" w:val="clear"/>
        <w:spacing w:before="0" w:after="120" w:line="260"/>
        <w:ind w:left="200" w:right="200"/>
      </w:pPr>
      <w:r>
        <w:rPr>
          <w:rFonts w:ascii="Consolas" w:hAnsi="Consolas" w:eastAsia="宋体"/>
          <w:sz w:val="17"/>
          <w:szCs w:val="17"/>
        </w:rPr>
        <w:t xml:space="preserve">└── 信创终端适配：4 种 CPU × 2 种操作系统 × 3 种杀毒软件</w:t>
      </w:r>
    </w:p>
    <w:p>
      <w:pPr>
        <w:pStyle w:val="Heading1"/>
      </w:pPr>
      <w:r>
        <w:rPr>
          <w:rFonts w:ascii="Arial" w:hAnsi="Arial" w:eastAsia="黑体"/>
        </w:rPr>
        <w:t xml:space="preserve">3. 功能需求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需求编号规则：</w:t>
      </w:r>
      <w:r>
        <w:rPr>
          <w:rFonts w:ascii="Consolas" w:hAnsi="Consolas" w:eastAsia="宋体"/>
          <w:color w:val="8B1A1A"/>
          <w:sz w:val="22"/>
          <w:szCs w:val="22"/>
        </w:rPr>
        <w:t xml:space="preserve">CL</w:t>
      </w:r>
      <w:r>
        <w:rPr>
          <w:rFonts w:ascii="Times New Roman" w:hAnsi="Times New Roman" w:eastAsia="宋体"/>
          <w:sz w:val="24"/>
          <w:szCs w:val="24"/>
        </w:rPr>
        <w:t xml:space="preserve"> 桌面客户端、</w:t>
      </w:r>
      <w:r>
        <w:rPr>
          <w:rFonts w:ascii="Consolas" w:hAnsi="Consolas" w:eastAsia="宋体"/>
          <w:color w:val="8B1A1A"/>
          <w:sz w:val="22"/>
          <w:szCs w:val="22"/>
        </w:rPr>
        <w:t xml:space="preserve">AD</w:t>
      </w:r>
      <w:r>
        <w:rPr>
          <w:rFonts w:ascii="Times New Roman" w:hAnsi="Times New Roman" w:eastAsia="宋体"/>
          <w:sz w:val="24"/>
          <w:szCs w:val="24"/>
        </w:rPr>
        <w:t xml:space="preserve"> 管理端、</w:t>
      </w:r>
      <w:r>
        <w:rPr>
          <w:rFonts w:ascii="Consolas" w:hAnsi="Consolas" w:eastAsia="宋体"/>
          <w:color w:val="8B1A1A"/>
          <w:sz w:val="22"/>
          <w:szCs w:val="22"/>
        </w:rPr>
        <w:t xml:space="preserve">MB</w:t>
      </w:r>
      <w:r>
        <w:rPr>
          <w:rFonts w:ascii="Times New Roman" w:hAnsi="Times New Roman" w:eastAsia="宋体"/>
          <w:sz w:val="24"/>
          <w:szCs w:val="24"/>
        </w:rPr>
        <w:t xml:space="preserve"> 运维移动端、</w:t>
      </w:r>
      <w:r>
        <w:rPr>
          <w:rFonts w:ascii="Consolas" w:hAnsi="Consolas" w:eastAsia="宋体"/>
          <w:color w:val="8B1A1A"/>
          <w:sz w:val="22"/>
          <w:szCs w:val="22"/>
        </w:rPr>
        <w:t xml:space="preserve">AI</w:t>
      </w:r>
      <w:r>
        <w:rPr>
          <w:rFonts w:ascii="Times New Roman" w:hAnsi="Times New Roman" w:eastAsia="宋体"/>
          <w:sz w:val="24"/>
          <w:szCs w:val="24"/>
        </w:rPr>
        <w:t xml:space="preserve"> 大模型能力底座、</w:t>
      </w:r>
      <w:r>
        <w:rPr>
          <w:rFonts w:ascii="Consolas" w:hAnsi="Consolas" w:eastAsia="宋体"/>
          <w:color w:val="8B1A1A"/>
          <w:sz w:val="22"/>
          <w:szCs w:val="22"/>
        </w:rPr>
        <w:t xml:space="preserve">AP</w:t>
      </w:r>
      <w:r>
        <w:rPr>
          <w:rFonts w:ascii="Times New Roman" w:hAnsi="Times New Roman" w:eastAsia="宋体"/>
          <w:sz w:val="24"/>
          <w:szCs w:val="24"/>
        </w:rPr>
        <w:t xml:space="preserve"> 信创适配。优先级：高（核心功能）/ 中。</w:t>
      </w:r>
    </w:p>
    <w:p>
      <w:pPr>
        <w:pStyle w:val="Heading2"/>
      </w:pPr>
      <w:r>
        <w:rPr>
          <w:rFonts w:ascii="Arial" w:hAnsi="Arial" w:eastAsia="黑体"/>
        </w:rPr>
        <w:t xml:space="preserve">3.1 小信助手桌面客户端</w:t>
      </w:r>
    </w:p>
    <w:p>
      <w:pPr>
        <w:pStyle w:val="Heading3"/>
      </w:pPr>
      <w:r>
        <w:rPr>
          <w:rFonts w:ascii="Arial" w:hAnsi="Arial" w:eastAsia="黑体"/>
        </w:rPr>
        <w:t xml:space="preserve">3.1.1 一键提速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8"/>
        <w:gridCol w:w="1164"/>
        <w:gridCol w:w="3207"/>
        <w:gridCol w:w="2606"/>
        <w:gridCol w:w="1081"/>
      </w:tblGrid>
      <w:tr>
        <w:trPr>
          <w:cantSplit/>
          <w:tblHeader/>
        </w:trPr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1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0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CL-01</w:t>
            </w:r>
          </w:p>
        </w:tc>
        <w:tc>
          <w:tcPr>
            <w:tcW w:type="dxa" w:w="11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垃圾文件扫描</w:t>
            </w:r>
          </w:p>
        </w:tc>
        <w:tc>
          <w:tcPr>
            <w:tcW w:type="dxa" w:w="3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一键扫描系统缓存、日志、临时文件、应用文件等垃圾文件。Linux 下须覆盖：APT 包管理器相关文件（autoclean、clean、autoremove、软件包列表）；Bash 历史记录；系统临时文件（/tmp、/var/tmp）；日志文件（/var/log、~/.xsession-errors）；应用程序缓存（~/.cache、/var/cache）</w:t>
            </w:r>
          </w:p>
        </w:tc>
        <w:tc>
          <w:tcPr>
            <w:tcW w:type="dxa" w:w="2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扫描结果按类别列出文件数和占用空间</w:t>
            </w:r>
          </w:p>
        </w:tc>
        <w:tc>
          <w:tcPr>
            <w:tcW w:type="dxa" w:w="10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CL-02</w:t>
            </w:r>
          </w:p>
        </w:tc>
        <w:tc>
          <w:tcPr>
            <w:tcW w:type="dxa" w:w="11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垃圾文件清理</w:t>
            </w:r>
          </w:p>
        </w:tc>
        <w:tc>
          <w:tcPr>
            <w:tcW w:type="dxa" w:w="3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支持一键清理；以树状结构显示垃圾文件分类；提供详细信息窗口，展示每个类别的具体文件；用进度条显示扫描和清理进度</w:t>
            </w:r>
          </w:p>
        </w:tc>
        <w:tc>
          <w:tcPr>
            <w:tcW w:type="dxa" w:w="2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可按类别勾选清理；需要管理员权限的项目弹出系统授权；清理后显示释放空间</w:t>
            </w:r>
          </w:p>
        </w:tc>
        <w:tc>
          <w:tcPr>
            <w:tcW w:type="dxa" w:w="10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CL-03</w:t>
            </w:r>
          </w:p>
        </w:tc>
        <w:tc>
          <w:tcPr>
            <w:tcW w:type="dxa" w:w="11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进程可视化</w:t>
            </w:r>
          </w:p>
        </w:tc>
        <w:tc>
          <w:tcPr>
            <w:tcW w:type="dxa" w:w="3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监控 CPU、内存、网络和磁盘使用情况，按资源占用显示进程排序</w:t>
            </w:r>
          </w:p>
        </w:tc>
        <w:tc>
          <w:tcPr>
            <w:tcW w:type="dxa" w:w="2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实时曲线；进程列表可按 CPU、内存、网络、磁盘排序</w:t>
            </w:r>
          </w:p>
        </w:tc>
        <w:tc>
          <w:tcPr>
            <w:tcW w:type="dxa" w:w="10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CL-04</w:t>
            </w:r>
          </w:p>
        </w:tc>
        <w:tc>
          <w:tcPr>
            <w:tcW w:type="dxa" w:w="11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进程优化</w:t>
            </w:r>
          </w:p>
        </w:tc>
        <w:tc>
          <w:tcPr>
            <w:tcW w:type="dxa" w:w="3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支持一键优化闲置进程</w:t>
            </w:r>
          </w:p>
        </w:tc>
        <w:tc>
          <w:tcPr>
            <w:tcW w:type="dxa" w:w="2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识别长时间无活动且占用内存的非关键进程，用户确认后结束；系统进程和安全软件进程不可结束</w:t>
            </w:r>
          </w:p>
        </w:tc>
        <w:tc>
          <w:tcPr>
            <w:tcW w:type="dxa" w:w="10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CL-05</w:t>
            </w:r>
          </w:p>
        </w:tc>
        <w:tc>
          <w:tcPr>
            <w:tcW w:type="dxa" w:w="11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本机文件扫描</w:t>
            </w:r>
          </w:p>
        </w:tc>
        <w:tc>
          <w:tcPr>
            <w:tcW w:type="dxa" w:w="3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扫描系统中大于 100MB 的文件</w:t>
            </w:r>
          </w:p>
        </w:tc>
        <w:tc>
          <w:tcPr>
            <w:tcW w:type="dxa" w:w="2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阈值可配置；跳过系统虚拟目录</w:t>
            </w:r>
          </w:p>
        </w:tc>
        <w:tc>
          <w:tcPr>
            <w:tcW w:type="dxa" w:w="10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CL-06</w:t>
            </w:r>
          </w:p>
        </w:tc>
        <w:tc>
          <w:tcPr>
            <w:tcW w:type="dxa" w:w="11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扫描进度</w:t>
            </w:r>
          </w:p>
        </w:tc>
        <w:tc>
          <w:tcPr>
            <w:tcW w:type="dxa" w:w="3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显示扫描进度、文件名称、文件大小、更新时间等信息和统计信息</w:t>
            </w:r>
          </w:p>
        </w:tc>
        <w:tc>
          <w:tcPr>
            <w:tcW w:type="dxa" w:w="2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实时显示当前扫描文件；按类型统计数量与大小</w:t>
            </w:r>
          </w:p>
        </w:tc>
        <w:tc>
          <w:tcPr>
            <w:tcW w:type="dxa" w:w="10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9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CL-07</w:t>
            </w:r>
          </w:p>
        </w:tc>
        <w:tc>
          <w:tcPr>
            <w:tcW w:type="dxa" w:w="116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删除清理</w:t>
            </w:r>
          </w:p>
        </w:tc>
        <w:tc>
          <w:tcPr>
            <w:tcW w:type="dxa" w:w="32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支持一键勾选或全部清理</w:t>
            </w:r>
          </w:p>
        </w:tc>
        <w:tc>
          <w:tcPr>
            <w:tcW w:type="dxa" w:w="260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支持勾选、全选删除；删除前二次确认</w:t>
            </w:r>
          </w:p>
        </w:tc>
        <w:tc>
          <w:tcPr>
            <w:tcW w:type="dxa" w:w="108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3.1.2 探针监测升级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4"/>
        <w:gridCol w:w="1401"/>
        <w:gridCol w:w="2762"/>
        <w:gridCol w:w="2761"/>
        <w:gridCol w:w="1108"/>
      </w:tblGrid>
      <w:tr>
        <w:trPr>
          <w:cantSplit/>
          <w:tblHeader/>
        </w:trPr>
        <w:tc>
          <w:tcPr>
            <w:tcW w:type="dxa" w:w="9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CL-08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配件信息采集</w:t>
            </w:r>
          </w:p>
        </w:tc>
        <w:tc>
          <w:tcPr>
            <w:tcW w:type="dxa" w:w="2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对信创终端实现配件级监测，采集 CPU、内存、硬盘、操作系统等配件参数</w:t>
            </w:r>
          </w:p>
        </w:tc>
        <w:tc>
          <w:tcPr>
            <w:tcW w:type="dxa" w:w="2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采集 CPU 型号与核数、内存、硬盘容量与型号、操作系统、品牌、型号、序列号、MAC、架构，并上报服务端；能识别飞腾、鲲鹏、海光、兆芯</w:t>
            </w:r>
          </w:p>
        </w:tc>
        <w:tc>
          <w:tcPr>
            <w:tcW w:type="dxa" w:w="11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CL-09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更换状态提醒</w:t>
            </w:r>
          </w:p>
        </w:tc>
        <w:tc>
          <w:tcPr>
            <w:tcW w:type="dxa" w:w="2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对比历史配件信息，提示更换状态，掌握终端配件替换情况</w:t>
            </w:r>
          </w:p>
        </w:tc>
        <w:tc>
          <w:tcPr>
            <w:tcW w:type="dxa" w:w="2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配件变化时客户端提醒，管理端生成配件变更记录</w:t>
            </w:r>
          </w:p>
        </w:tc>
        <w:tc>
          <w:tcPr>
            <w:tcW w:type="dxa" w:w="11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CL-10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监测指标管理</w:t>
            </w:r>
          </w:p>
        </w:tc>
        <w:tc>
          <w:tcPr>
            <w:tcW w:type="dxa" w:w="2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依据设备使用人、CPU、内存、硬盘、操作系统及利用率等数据，测算接入率、替代完成率、双轨率、活跃率、违规双系统情况等指标</w:t>
            </w:r>
          </w:p>
        </w:tc>
        <w:tc>
          <w:tcPr>
            <w:tcW w:type="dxa" w:w="2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指标计算口径明确，可按部门统计；客户端启动时检测双系统</w:t>
            </w:r>
          </w:p>
        </w:tc>
        <w:tc>
          <w:tcPr>
            <w:tcW w:type="dxa" w:w="11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CL-11</w:t>
            </w:r>
          </w:p>
        </w:tc>
        <w:tc>
          <w:tcPr>
            <w:tcW w:type="dxa" w:w="140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监测指标可视化预警</w:t>
            </w:r>
          </w:p>
        </w:tc>
        <w:tc>
          <w:tcPr>
            <w:tcW w:type="dxa" w:w="27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标记提醒异常或不合规的指标数据</w:t>
            </w:r>
          </w:p>
        </w:tc>
        <w:tc>
          <w:tcPr>
            <w:tcW w:type="dxa" w:w="276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阈值可配置；不达标指标高亮预警，并列出相关终端</w:t>
            </w:r>
          </w:p>
        </w:tc>
        <w:tc>
          <w:tcPr>
            <w:tcW w:type="dxa" w:w="11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3.1.3 悬浮助手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7"/>
        <w:gridCol w:w="1246"/>
        <w:gridCol w:w="2482"/>
        <w:gridCol w:w="2962"/>
        <w:gridCol w:w="1229"/>
      </w:tblGrid>
      <w:tr>
        <w:trPr>
          <w:cantSplit/>
          <w:tblHeader/>
        </w:trPr>
        <w:tc>
          <w:tcPr>
            <w:tcW w:type="dxa" w:w="11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2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48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9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2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10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CL-12</w:t>
            </w:r>
          </w:p>
        </w:tc>
        <w:tc>
          <w:tcPr>
            <w:tcW w:type="dxa" w:w="12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悬浮助手</w:t>
            </w:r>
          </w:p>
        </w:tc>
        <w:tc>
          <w:tcPr>
            <w:tcW w:type="dxa" w:w="248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桌面悬浮图标，可快速唤醒智能问答服务</w:t>
            </w:r>
          </w:p>
        </w:tc>
        <w:tc>
          <w:tcPr>
            <w:tcW w:type="dxa" w:w="29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置顶显示、可拖动；单击打开智能问答；有未读消息时显示提示</w:t>
            </w:r>
          </w:p>
        </w:tc>
        <w:tc>
          <w:tcPr>
            <w:tcW w:type="dxa" w:w="12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3.1.4 智能问答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1409"/>
        <w:gridCol w:w="2917"/>
        <w:gridCol w:w="2544"/>
        <w:gridCol w:w="1136"/>
      </w:tblGrid>
      <w:tr>
        <w:trPr>
          <w:cantSplit/>
          <w:tblHeader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CL-13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路由策略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定义统一的模型调用接口，屏蔽不同模型 API 的差异；首选模型失败或无响应时自动降级到备用模型；支持用户切换选择 DeepSeek、星辰、Qwen 等大模型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停用首选模型或使其失败时自动切换；客户端可选择模型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CL-14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配置与管理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提供管理界面，允许管理员动态添加、移除模型，配置路由策略，无需重启服务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管理端修改后立即生效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CL-15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模型调用接口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为每个支持的模型开发适配器，把统一格式的请求转换为特定模型的 API 调用，并把响应解析为统一格式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DeepSeek、星辰、Qwen 各有适配器；支持流式输出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CL-16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会话标识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为每个用户或对话线程创建唯一会话 ID（Session ID），管理会话生命周期（如超时销毁）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超时时长可配置；超时会话自动销毁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CL-17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上下文存储与管理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用“对话历史列表”存储最近几轮问答，每次请求时把全部或部分历史（通过摘要或滑动窗口）发送给模型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保留轮数可配置；支持滑动窗口和摘要两种策略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CL-18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状态跟踪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识别并维护对话中的关键信息（槽位填充），持续跟踪必要参数直到收集完毕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意图和槽位可配置；如“故障报修”收集齐信息后自动创建工单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CL-19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本地知识问答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用户可基于上传的私有文档（PDF、Word、TXT）或内部知识库问答；实现问题输入和答案生成输出，可暂停或启动当前任务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上传后可提问；回答附引用来源；生成过程可停止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CL-20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文本向量化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把向量和对应的原始文本存储在向量数据库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文档切分后向量化入库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CL-21</w:t>
            </w:r>
          </w:p>
        </w:tc>
        <w:tc>
          <w:tcPr>
            <w:tcW w:type="dxa" w:w="140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检索增强生成</w:t>
            </w:r>
          </w:p>
        </w:tc>
        <w:tc>
          <w:tcPr>
            <w:tcW w:type="dxa" w:w="29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把用户查询转为向量，在向量库中做相似度搜索找出最相关的文本块，与问题一起构造增强提示词发给大模型生成答案</w:t>
            </w:r>
          </w:p>
        </w:tc>
        <w:tc>
          <w:tcPr>
            <w:tcW w:type="dxa" w:w="25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回答内容与检索片段相关</w:t>
            </w:r>
          </w:p>
        </w:tc>
        <w:tc>
          <w:tcPr>
            <w:tcW w:type="dxa" w:w="11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3.1.5 合同智审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405"/>
        <w:gridCol w:w="2850"/>
        <w:gridCol w:w="2559"/>
        <w:gridCol w:w="1165"/>
      </w:tblGrid>
      <w:tr>
        <w:trPr>
          <w:cantSplit/>
          <w:tblHeader/>
        </w:trPr>
        <w:tc>
          <w:tcPr>
            <w:tcW w:type="dxa" w:w="10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4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6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CL-22</w:t>
            </w:r>
          </w:p>
        </w:tc>
        <w:tc>
          <w:tcPr>
            <w:tcW w:type="dxa" w:w="14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合同上传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支持上传 PDF、OFD 格式的采购合同文件</w:t>
            </w:r>
          </w:p>
        </w:tc>
        <w:tc>
          <w:tcPr>
            <w:tcW w:type="dxa" w:w="25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PDF、OFD 均可上传解析（扩展支持 Word 等）</w:t>
            </w:r>
          </w:p>
        </w:tc>
        <w:tc>
          <w:tcPr>
            <w:tcW w:type="dxa" w:w="116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4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CL-23</w:t>
            </w:r>
          </w:p>
        </w:tc>
        <w:tc>
          <w:tcPr>
            <w:tcW w:type="dxa" w:w="14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合规性审查分析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审查结果展示合同要素提取结果、合规性研判结果，对不合规要素预警提醒</w:t>
            </w:r>
          </w:p>
        </w:tc>
        <w:tc>
          <w:tcPr>
            <w:tcW w:type="dxa" w:w="255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展示要素、逐条审查结果和风险等级；不合规项醒目标记</w:t>
            </w:r>
          </w:p>
        </w:tc>
        <w:tc>
          <w:tcPr>
            <w:tcW w:type="dxa" w:w="116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3.2 小信助手管理端</w:t>
      </w:r>
    </w:p>
    <w:p>
      <w:pPr>
        <w:pStyle w:val="Heading3"/>
      </w:pPr>
      <w:r>
        <w:rPr>
          <w:rFonts w:ascii="Arial" w:hAnsi="Arial" w:eastAsia="黑体"/>
        </w:rPr>
        <w:t xml:space="preserve">3.2.1 终端资源管理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"/>
        <w:gridCol w:w="1367"/>
        <w:gridCol w:w="2817"/>
        <w:gridCol w:w="2720"/>
        <w:gridCol w:w="1118"/>
      </w:tblGrid>
      <w:tr>
        <w:trPr>
          <w:cantSplit/>
          <w:tblHeader/>
        </w:trPr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3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8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AD-01</w:t>
            </w:r>
          </w:p>
        </w:tc>
        <w:tc>
          <w:tcPr>
            <w:tcW w:type="dxa" w:w="13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终端资源清单</w:t>
            </w:r>
          </w:p>
        </w:tc>
        <w:tc>
          <w:tcPr>
            <w:tcW w:type="dxa" w:w="28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根据客户端采集的信息实时同步到管理后台，展示全量终端信息，支持多维查询</w:t>
            </w:r>
          </w:p>
        </w:tc>
        <w:tc>
          <w:tcPr>
            <w:tcW w:type="dxa" w:w="2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可按部门、状态、是否信创、双系统、云桌面、操作系统、CPU、品牌、关键字查询</w:t>
            </w:r>
          </w:p>
        </w:tc>
        <w:tc>
          <w:tcPr>
            <w:tcW w:type="dxa" w:w="11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AD-02</w:t>
            </w:r>
          </w:p>
        </w:tc>
        <w:tc>
          <w:tcPr>
            <w:tcW w:type="dxa" w:w="13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云桌面资源清单</w:t>
            </w:r>
          </w:p>
        </w:tc>
        <w:tc>
          <w:tcPr>
            <w:tcW w:type="dxa" w:w="28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根据云桌面采集的信息，以服务端与用户端一对多的形式展示，支持多维查询</w:t>
            </w:r>
          </w:p>
        </w:tc>
        <w:tc>
          <w:tcPr>
            <w:tcW w:type="dxa" w:w="2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按云桌面服务器分组展示其下的终端</w:t>
            </w:r>
          </w:p>
        </w:tc>
        <w:tc>
          <w:tcPr>
            <w:tcW w:type="dxa" w:w="11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AD-03</w:t>
            </w:r>
          </w:p>
        </w:tc>
        <w:tc>
          <w:tcPr>
            <w:tcW w:type="dxa" w:w="13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终端数据全量展示</w:t>
            </w:r>
          </w:p>
        </w:tc>
        <w:tc>
          <w:tcPr>
            <w:tcW w:type="dxa" w:w="28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展示接入小信助手的终端数量、运行状态等统计数据</w:t>
            </w:r>
          </w:p>
        </w:tc>
        <w:tc>
          <w:tcPr>
            <w:tcW w:type="dxa" w:w="2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首页展示总数、在线、离线、信创、云桌面、预警等统计和分布图</w:t>
            </w:r>
          </w:p>
        </w:tc>
        <w:tc>
          <w:tcPr>
            <w:tcW w:type="dxa" w:w="11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AD-04</w:t>
            </w:r>
          </w:p>
        </w:tc>
        <w:tc>
          <w:tcPr>
            <w:tcW w:type="dxa" w:w="13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终端资源数据采集</w:t>
            </w:r>
          </w:p>
        </w:tc>
        <w:tc>
          <w:tcPr>
            <w:tcW w:type="dxa" w:w="28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调用系统底层接口，采集 CPU、内存、硬盘、操作系统等配件参数，以及 CPU 利用率、内存利用率、磁盘使用率等运行负载</w:t>
            </w:r>
          </w:p>
        </w:tc>
        <w:tc>
          <w:tcPr>
            <w:tcW w:type="dxa" w:w="2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管理端可查看配件信息和最近负载</w:t>
            </w:r>
          </w:p>
        </w:tc>
        <w:tc>
          <w:tcPr>
            <w:tcW w:type="dxa" w:w="11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0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AD-05</w:t>
            </w:r>
          </w:p>
        </w:tc>
        <w:tc>
          <w:tcPr>
            <w:tcW w:type="dxa" w:w="136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终端异常预警</w:t>
            </w:r>
          </w:p>
        </w:tc>
        <w:tc>
          <w:tcPr>
            <w:tcW w:type="dxa" w:w="281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基于终端设备监管、操作行为采集、运行情况等数据，形成预警规则，实时发出违规预警</w:t>
            </w:r>
          </w:p>
        </w:tc>
        <w:tc>
          <w:tcPr>
            <w:tcW w:type="dxa" w:w="272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规则可增删改、启停；命中后生成预警，可标记处理</w:t>
            </w:r>
          </w:p>
        </w:tc>
        <w:tc>
          <w:tcPr>
            <w:tcW w:type="dxa" w:w="111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3.2.2 终端运行监测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536"/>
        <w:gridCol w:w="2828"/>
        <w:gridCol w:w="2400"/>
        <w:gridCol w:w="1191"/>
      </w:tblGrid>
      <w:tr>
        <w:trPr>
          <w:cantSplit/>
          <w:tblHeader/>
        </w:trPr>
        <w:tc>
          <w:tcPr>
            <w:tcW w:type="dxa" w:w="1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5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8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AD-06</w:t>
            </w:r>
          </w:p>
        </w:tc>
        <w:tc>
          <w:tcPr>
            <w:tcW w:type="dxa" w:w="15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终端运行情况</w:t>
            </w:r>
          </w:p>
        </w:tc>
        <w:tc>
          <w:tcPr>
            <w:tcW w:type="dxa" w:w="28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按日、按周计算终端活跃度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可切换按日 / 按周查看活跃终端趋势</w:t>
            </w:r>
          </w:p>
        </w:tc>
        <w:tc>
          <w:tcPr>
            <w:tcW w:type="dxa" w:w="11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AD-07</w:t>
            </w:r>
          </w:p>
        </w:tc>
        <w:tc>
          <w:tcPr>
            <w:tcW w:type="dxa" w:w="15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终端运行数据采集</w:t>
            </w:r>
          </w:p>
        </w:tc>
        <w:tc>
          <w:tcPr>
            <w:tcW w:type="dxa" w:w="28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采集开关机、应用程序、应用使用、U 盘使用、打印机使用等情况</w:t>
            </w:r>
          </w:p>
        </w:tc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可按终端、类型、时间查询运行数据和统计</w:t>
            </w:r>
          </w:p>
        </w:tc>
        <w:tc>
          <w:tcPr>
            <w:tcW w:type="dxa" w:w="11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3.2.3 客户端管理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316"/>
        <w:gridCol w:w="2845"/>
        <w:gridCol w:w="2733"/>
        <w:gridCol w:w="1124"/>
      </w:tblGrid>
      <w:tr>
        <w:trPr>
          <w:cantSplit/>
          <w:tblHeader/>
        </w:trPr>
        <w:tc>
          <w:tcPr>
            <w:tcW w:type="dxa" w:w="10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7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AD-08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版本管理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记录、跟踪、维护和控制客户端版本变更</w:t>
            </w:r>
          </w:p>
        </w:tc>
        <w:tc>
          <w:tcPr>
            <w:tcW w:type="dxa" w:w="27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版本可新增、上传安装包、灰度、发布、下线、强制更新；客户端检查并提示升级</w:t>
            </w:r>
          </w:p>
        </w:tc>
        <w:tc>
          <w:tcPr>
            <w:tcW w:type="dxa" w:w="11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AD-09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装机软件管理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管理员新增软件，提供用户装机所需的常用软件信息和安装包</w:t>
            </w:r>
          </w:p>
        </w:tc>
        <w:tc>
          <w:tcPr>
            <w:tcW w:type="dxa" w:w="27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上架后客户端软件中心可下载</w:t>
            </w:r>
          </w:p>
        </w:tc>
        <w:tc>
          <w:tcPr>
            <w:tcW w:type="dxa" w:w="11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AD-10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型号数据字典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把采集到的非规范文本转换为规范名称，确保品牌、型号、参数可读，并与业务管理类型一致</w:t>
            </w:r>
          </w:p>
        </w:tc>
        <w:tc>
          <w:tcPr>
            <w:tcW w:type="dxa" w:w="27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原始值→规范名称可维护；修改后可对存量终端重算</w:t>
            </w:r>
          </w:p>
        </w:tc>
        <w:tc>
          <w:tcPr>
            <w:tcW w:type="dxa" w:w="11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0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AD-11</w:t>
            </w:r>
          </w:p>
        </w:tc>
        <w:tc>
          <w:tcPr>
            <w:tcW w:type="dxa" w:w="13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客户端软件配置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配置客户端各进程或任务的执行周期或频率，如双系统监测在启动时执行、运行信息采集按固定间隔执行</w:t>
            </w:r>
          </w:p>
        </w:tc>
        <w:tc>
          <w:tcPr>
            <w:tcW w:type="dxa" w:w="27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支持“启动时 / 固定间隔 / 手动”；修改后客户端下次上报时生效</w:t>
            </w:r>
          </w:p>
        </w:tc>
        <w:tc>
          <w:tcPr>
            <w:tcW w:type="dxa" w:w="112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3.2.4 消息管理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8"/>
        <w:gridCol w:w="1350"/>
        <w:gridCol w:w="3140"/>
        <w:gridCol w:w="2302"/>
        <w:gridCol w:w="1176"/>
      </w:tblGrid>
      <w:tr>
        <w:trPr>
          <w:cantSplit/>
          <w:tblHeader/>
        </w:trPr>
        <w:tc>
          <w:tcPr>
            <w:tcW w:type="dxa" w:w="10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3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AD-12</w:t>
            </w:r>
          </w:p>
        </w:tc>
        <w:tc>
          <w:tcPr>
            <w:tcW w:type="dxa" w:w="1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消息列表</w:t>
            </w:r>
          </w:p>
        </w:tc>
        <w:tc>
          <w:tcPr>
            <w:tcW w:type="dxa" w:w="3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展示历史消息：名称、推送范围、创建时间、发送时间、发送对象数、阅读对象数；支持查阅、编辑、删除</w:t>
            </w:r>
          </w:p>
        </w:tc>
        <w:tc>
          <w:tcPr>
            <w:tcW w:type="dxa" w:w="23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列表字段齐全；可查看回执</w:t>
            </w:r>
          </w:p>
        </w:tc>
        <w:tc>
          <w:tcPr>
            <w:tcW w:type="dxa" w:w="11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AD-13</w:t>
            </w:r>
          </w:p>
        </w:tc>
        <w:tc>
          <w:tcPr>
            <w:tcW w:type="dxa" w:w="1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新建消息任务</w:t>
            </w:r>
          </w:p>
        </w:tc>
        <w:tc>
          <w:tcPr>
            <w:tcW w:type="dxa" w:w="3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人工发起消息通知，可选择模板二次编辑或直接输入文本，设置推送时间和推送范围</w:t>
            </w:r>
          </w:p>
        </w:tc>
        <w:tc>
          <w:tcPr>
            <w:tcW w:type="dxa" w:w="23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推送范围支持全部、部门、指定终端</w:t>
            </w:r>
          </w:p>
        </w:tc>
        <w:tc>
          <w:tcPr>
            <w:tcW w:type="dxa" w:w="11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AD-14</w:t>
            </w:r>
          </w:p>
        </w:tc>
        <w:tc>
          <w:tcPr>
            <w:tcW w:type="dxa" w:w="1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消息模板管理</w:t>
            </w:r>
          </w:p>
        </w:tc>
        <w:tc>
          <w:tcPr>
            <w:tcW w:type="dxa" w:w="3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创建消息模板，用于快速创建推送任务</w:t>
            </w:r>
          </w:p>
        </w:tc>
        <w:tc>
          <w:tcPr>
            <w:tcW w:type="dxa" w:w="23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模板可增删改并在新建消息时引用</w:t>
            </w:r>
          </w:p>
        </w:tc>
        <w:tc>
          <w:tcPr>
            <w:tcW w:type="dxa" w:w="11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5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AD-15</w:t>
            </w:r>
          </w:p>
        </w:tc>
        <w:tc>
          <w:tcPr>
            <w:tcW w:type="dxa" w:w="13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消息定时发送</w:t>
            </w:r>
          </w:p>
        </w:tc>
        <w:tc>
          <w:tcPr>
            <w:tcW w:type="dxa" w:w="31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可选择即时或定时发送，到点准时发送</w:t>
            </w:r>
          </w:p>
        </w:tc>
        <w:tc>
          <w:tcPr>
            <w:tcW w:type="dxa" w:w="230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定时消息到点自动发送，客户端弹窗提醒</w:t>
            </w:r>
          </w:p>
        </w:tc>
        <w:tc>
          <w:tcPr>
            <w:tcW w:type="dxa" w:w="11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3.2.5 智能运维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312"/>
        <w:gridCol w:w="3031"/>
        <w:gridCol w:w="2486"/>
        <w:gridCol w:w="1157"/>
      </w:tblGrid>
      <w:tr>
        <w:trPr>
          <w:cantSplit/>
          <w:tblHeader/>
        </w:trPr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3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0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4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AD-16</w:t>
            </w:r>
          </w:p>
        </w:tc>
        <w:tc>
          <w:tcPr>
            <w:tcW w:type="dxa" w:w="13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运维工作台</w:t>
            </w:r>
          </w:p>
        </w:tc>
        <w:tc>
          <w:tcPr>
            <w:tcW w:type="dxa" w:w="30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为保障中心人员提供统一的待办工单入口；统计各阶段工单数量；对待指派和待挂起审核的工单预警</w:t>
            </w:r>
          </w:p>
        </w:tc>
        <w:tc>
          <w:tcPr>
            <w:tcW w:type="dxa" w:w="24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显示各状态数量和预警数</w:t>
            </w:r>
          </w:p>
        </w:tc>
        <w:tc>
          <w:tcPr>
            <w:tcW w:type="dxa" w:w="11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AD-17</w:t>
            </w:r>
          </w:p>
        </w:tc>
        <w:tc>
          <w:tcPr>
            <w:tcW w:type="dxa" w:w="13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来电问题登记</w:t>
            </w:r>
          </w:p>
        </w:tc>
        <w:tc>
          <w:tcPr>
            <w:tcW w:type="dxa" w:w="30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客服记录用户来电反馈的问题；支持补录已办结的工单（状态选“已办结”即为补录，不进入指派流转）</w:t>
            </w:r>
          </w:p>
        </w:tc>
        <w:tc>
          <w:tcPr>
            <w:tcW w:type="dxa" w:w="24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登记后生成工单；补录工单直接办结</w:t>
            </w:r>
          </w:p>
        </w:tc>
        <w:tc>
          <w:tcPr>
            <w:tcW w:type="dxa" w:w="11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AD-18</w:t>
            </w:r>
          </w:p>
        </w:tc>
        <w:tc>
          <w:tcPr>
            <w:tcW w:type="dxa" w:w="13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案例检索</w:t>
            </w:r>
          </w:p>
        </w:tc>
        <w:tc>
          <w:tcPr>
            <w:tcW w:type="dxa" w:w="30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查询案例，高质量案例优先</w:t>
            </w:r>
          </w:p>
        </w:tc>
        <w:tc>
          <w:tcPr>
            <w:tcW w:type="dxa" w:w="24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关键字检索，高质量案例排在前面</w:t>
            </w:r>
          </w:p>
        </w:tc>
        <w:tc>
          <w:tcPr>
            <w:tcW w:type="dxa" w:w="11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AD-19</w:t>
            </w:r>
          </w:p>
        </w:tc>
        <w:tc>
          <w:tcPr>
            <w:tcW w:type="dxa" w:w="13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工单池</w:t>
            </w:r>
          </w:p>
        </w:tc>
        <w:tc>
          <w:tcPr>
            <w:tcW w:type="dxa" w:w="30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按条件搜索工单，查看工单详情</w:t>
            </w:r>
          </w:p>
        </w:tc>
        <w:tc>
          <w:tcPr>
            <w:tcW w:type="dxa" w:w="24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可按状态、分类、来源、时间等筛选；详情含流转记录</w:t>
            </w:r>
          </w:p>
        </w:tc>
        <w:tc>
          <w:tcPr>
            <w:tcW w:type="dxa" w:w="11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AD-20</w:t>
            </w:r>
          </w:p>
        </w:tc>
        <w:tc>
          <w:tcPr>
            <w:tcW w:type="dxa" w:w="13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案例库</w:t>
            </w:r>
          </w:p>
        </w:tc>
        <w:tc>
          <w:tcPr>
            <w:tcW w:type="dxa" w:w="30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客服登记问题时可查询案例；管理人员可维护案例库；区县保障站上报典型工单案例，市保障中心管理员审核通过后纳入案例库</w:t>
            </w:r>
          </w:p>
        </w:tc>
        <w:tc>
          <w:tcPr>
            <w:tcW w:type="dxa" w:w="248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上报→审核→纳入流程完整</w:t>
            </w:r>
          </w:p>
        </w:tc>
        <w:tc>
          <w:tcPr>
            <w:tcW w:type="dxa" w:w="11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3.3 运维人员移动端（运维工单处置）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375"/>
        <w:gridCol w:w="3199"/>
        <w:gridCol w:w="2193"/>
        <w:gridCol w:w="1189"/>
      </w:tblGrid>
      <w:tr>
        <w:trPr>
          <w:cantSplit/>
          <w:tblHeader/>
        </w:trPr>
        <w:tc>
          <w:tcPr>
            <w:tcW w:type="dxa" w:w="10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1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1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MB-01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我的工单</w:t>
            </w:r>
          </w:p>
        </w:tc>
        <w:tc>
          <w:tcPr>
            <w:tcW w:type="dxa" w:w="31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运维人员查看指派给自己的待办工单，可切换已办和全部</w:t>
            </w:r>
          </w:p>
        </w:tc>
        <w:tc>
          <w:tcPr>
            <w:tcW w:type="dxa" w:w="21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待办 / 已办 / 全部三个页签</w:t>
            </w:r>
          </w:p>
        </w:tc>
        <w:tc>
          <w:tcPr>
            <w:tcW w:type="dxa" w:w="11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MB-02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工单补录</w:t>
            </w:r>
          </w:p>
        </w:tc>
        <w:tc>
          <w:tcPr>
            <w:tcW w:type="dxa" w:w="31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已解决但未登记的工单，填写基础信息和反馈信息补录</w:t>
            </w:r>
          </w:p>
        </w:tc>
        <w:tc>
          <w:tcPr>
            <w:tcW w:type="dxa" w:w="21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补录工单直接办结</w:t>
            </w:r>
          </w:p>
        </w:tc>
        <w:tc>
          <w:tcPr>
            <w:tcW w:type="dxa" w:w="11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MB-03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工单签收</w:t>
            </w:r>
          </w:p>
        </w:tc>
        <w:tc>
          <w:tcPr>
            <w:tcW w:type="dxa" w:w="31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选择待签收工单，二次确认后完成签收</w:t>
            </w:r>
          </w:p>
        </w:tc>
        <w:tc>
          <w:tcPr>
            <w:tcW w:type="dxa" w:w="21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签收后状态为“处理中”</w:t>
            </w:r>
          </w:p>
        </w:tc>
        <w:tc>
          <w:tcPr>
            <w:tcW w:type="dxa" w:w="11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MB-04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工单转派</w:t>
            </w:r>
          </w:p>
        </w:tc>
        <w:tc>
          <w:tcPr>
            <w:tcW w:type="dxa" w:w="31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无法完成或需他人处理时，转派给本保障站其他运维人员或纳管的供应商 / 厂商运维人员</w:t>
            </w:r>
          </w:p>
        </w:tc>
        <w:tc>
          <w:tcPr>
            <w:tcW w:type="dxa" w:w="21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转派对象限定范围；记录转派日志</w:t>
            </w:r>
          </w:p>
        </w:tc>
        <w:tc>
          <w:tcPr>
            <w:tcW w:type="dxa" w:w="11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MB-05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工单挂起</w:t>
            </w:r>
          </w:p>
        </w:tc>
        <w:tc>
          <w:tcPr>
            <w:tcW w:type="dxa" w:w="31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无法按时完成时填写挂起原因等信息，提交客服审核，审核通过后反馈期限延长</w:t>
            </w:r>
          </w:p>
        </w:tc>
        <w:tc>
          <w:tcPr>
            <w:tcW w:type="dxa" w:w="21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挂起需审核；通过后期限顺延</w:t>
            </w:r>
          </w:p>
        </w:tc>
        <w:tc>
          <w:tcPr>
            <w:tcW w:type="dxa" w:w="11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MB-06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工单信息补充</w:t>
            </w:r>
          </w:p>
        </w:tc>
        <w:tc>
          <w:tcPr>
            <w:tcW w:type="dxa" w:w="31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反馈前查验或补充工单基础信息，确保报修内容和设备正确</w:t>
            </w:r>
          </w:p>
        </w:tc>
        <w:tc>
          <w:tcPr>
            <w:tcW w:type="dxa" w:w="21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可修改地点、设备等信息</w:t>
            </w:r>
          </w:p>
        </w:tc>
        <w:tc>
          <w:tcPr>
            <w:tcW w:type="dxa" w:w="11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7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MB-07</w:t>
            </w:r>
          </w:p>
        </w:tc>
        <w:tc>
          <w:tcPr>
            <w:tcW w:type="dxa" w:w="137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工单反馈</w:t>
            </w:r>
          </w:p>
        </w:tc>
        <w:tc>
          <w:tcPr>
            <w:tcW w:type="dxa" w:w="319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完成处置后填写反馈信息，提交后等待用户评价</w:t>
            </w:r>
          </w:p>
        </w:tc>
        <w:tc>
          <w:tcPr>
            <w:tcW w:type="dxa" w:w="219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反馈后状态为“待评价”</w:t>
            </w:r>
          </w:p>
        </w:tc>
        <w:tc>
          <w:tcPr>
            <w:tcW w:type="dxa" w:w="11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3.4 信创垂域大模型能力底座</w:t>
      </w:r>
    </w:p>
    <w:p>
      <w:pPr>
        <w:pStyle w:val="Heading3"/>
      </w:pPr>
      <w:r>
        <w:rPr>
          <w:rFonts w:ascii="Arial" w:hAnsi="Arial" w:eastAsia="黑体"/>
        </w:rPr>
        <w:t xml:space="preserve">3.4.1 模型管理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1433"/>
        <w:gridCol w:w="2973"/>
        <w:gridCol w:w="2444"/>
        <w:gridCol w:w="1146"/>
      </w:tblGrid>
      <w:tr>
        <w:trPr>
          <w:cantSplit/>
          <w:tblHeader/>
        </w:trPr>
        <w:tc>
          <w:tcPr>
            <w:tcW w:type="dxa" w:w="10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4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9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AI-01</w:t>
            </w:r>
          </w:p>
        </w:tc>
        <w:tc>
          <w:tcPr>
            <w:tcW w:type="dxa" w:w="14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支持多种模型类型</w:t>
            </w:r>
          </w:p>
        </w:tc>
        <w:tc>
          <w:tcPr>
            <w:tcW w:type="dxa" w:w="29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构建统一的模型管理平台；制定标准化 API 接口规范（调用协议、参数格式、响应结构）；为 DeepSeek、星辰、Qwen 等提供独立适配层；实现按业务场景自动选择模型的动态切换；建立模型性能监控（响应时间、准确率等）和健康检查</w:t>
            </w:r>
          </w:p>
        </w:tc>
        <w:tc>
          <w:tcPr>
            <w:tcW w:type="dxa" w:w="2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适配器齐全；支持按场景路由；有性能监控和健康检查</w:t>
            </w:r>
          </w:p>
        </w:tc>
        <w:tc>
          <w:tcPr>
            <w:tcW w:type="dxa" w:w="11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AI-02</w:t>
            </w:r>
          </w:p>
        </w:tc>
        <w:tc>
          <w:tcPr>
            <w:tcW w:type="dxa" w:w="143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模型配置</w:t>
            </w:r>
          </w:p>
        </w:tc>
        <w:tc>
          <w:tcPr>
            <w:tcW w:type="dxa" w:w="297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统一的模型配置管理界面，支持参数调优、版本管理和灰度发布</w:t>
            </w:r>
          </w:p>
        </w:tc>
        <w:tc>
          <w:tcPr>
            <w:tcW w:type="dxa" w:w="2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参数可在线调整；支持版本号与灰度比例</w:t>
            </w:r>
          </w:p>
        </w:tc>
        <w:tc>
          <w:tcPr>
            <w:tcW w:type="dxa" w:w="11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3.4.2 模型优化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6"/>
        <w:gridCol w:w="1262"/>
        <w:gridCol w:w="2889"/>
        <w:gridCol w:w="2728"/>
        <w:gridCol w:w="1131"/>
      </w:tblGrid>
      <w:tr>
        <w:trPr>
          <w:cantSplit/>
          <w:tblHeader/>
        </w:trPr>
        <w:tc>
          <w:tcPr>
            <w:tcW w:type="dxa" w:w="10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8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7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AI-03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模型微调</w:t>
            </w:r>
          </w:p>
        </w:tc>
        <w:tc>
          <w:tcPr>
            <w:tcW w:type="dxa" w:w="28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构建信创垂域模型训练流水线；对 2 万+ 信创运维知识和 1000+ 政策知识做数据预处理（格式标准化、质量清洗、标注规范）；建立分层知识体系（运维知识按技术栈、故障类型、解决方案分类，政策知识按法规层级、适用范围、时效性整理）；采用 LoRA、QLoRA 等参数高效微调；构建训练监控，实时跟踪损失函数和收敛情况</w:t>
            </w:r>
          </w:p>
        </w:tc>
        <w:tc>
          <w:tcPr>
            <w:tcW w:type="dxa" w:w="27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数据集可上传并自动清洗分类；可选 LoRA / QLoRA；训练过程显示 loss 曲线</w:t>
            </w:r>
          </w:p>
        </w:tc>
        <w:tc>
          <w:tcPr>
            <w:tcW w:type="dxa" w:w="11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AI-04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模型性能监控</w:t>
            </w:r>
          </w:p>
        </w:tc>
        <w:tc>
          <w:tcPr>
            <w:tcW w:type="dxa" w:w="28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建立模型评估体系和信创领域专业测试集，从准确性、专业性、时效性评估微调效果，实时监测模型运行状态</w:t>
            </w:r>
          </w:p>
        </w:tc>
        <w:tc>
          <w:tcPr>
            <w:tcW w:type="dxa" w:w="27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评估输出准确率、专业度、耗时</w:t>
            </w:r>
          </w:p>
        </w:tc>
        <w:tc>
          <w:tcPr>
            <w:tcW w:type="dxa" w:w="11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1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AI-05</w:t>
            </w:r>
          </w:p>
        </w:tc>
        <w:tc>
          <w:tcPr>
            <w:tcW w:type="dxa" w:w="126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参数调整</w:t>
            </w:r>
          </w:p>
        </w:tc>
        <w:tc>
          <w:tcPr>
            <w:tcW w:type="dxa" w:w="288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根据评估结果调整超参数，多次微调验证</w:t>
            </w:r>
          </w:p>
        </w:tc>
        <w:tc>
          <w:tcPr>
            <w:tcW w:type="dxa" w:w="272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可修改超参数后重新训练并对比结果</w:t>
            </w:r>
          </w:p>
        </w:tc>
        <w:tc>
          <w:tcPr>
            <w:tcW w:type="dxa" w:w="113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3.4.3 信创知识库管理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1225"/>
        <w:gridCol w:w="2846"/>
        <w:gridCol w:w="2845"/>
        <w:gridCol w:w="1112"/>
      </w:tblGrid>
      <w:tr>
        <w:trPr>
          <w:cantSplit/>
          <w:tblHeader/>
        </w:trPr>
        <w:tc>
          <w:tcPr>
            <w:tcW w:type="dxa" w:w="9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AI-06</w:t>
            </w: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知识导入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多格式文档解析引擎，批量解析 Word、PDF、Excel、PPT、TXT，具备 OCR 识别扫描件能力；文档版本管理（增量更新、历史版本追溯、冲突检测）；文档分类标签体系（自动打标 + 人工校验）；导入进度监控和异常处理（断点续传、错误重试、导入日志）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批量上传可解析；同名文档形成版本并可回滚；自动打标签可人工修改；失败可重试且有日志</w:t>
            </w:r>
          </w:p>
        </w:tc>
        <w:tc>
          <w:tcPr>
            <w:tcW w:type="dxa" w:w="11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AI-07</w:t>
            </w: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数据预处理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文本提取、向量化；编码识别、字符清洗、格式统一、段落结构化；自动识别并过滤无效信息、重复内容、乱码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可查看分片和被过滤数量</w:t>
            </w:r>
          </w:p>
        </w:tc>
        <w:tc>
          <w:tcPr>
            <w:tcW w:type="dxa" w:w="11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AI-08</w:t>
            </w: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RAG 技术集成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采用 BGE、m3e 等 embedding 模型把知识转为高维向量，建立索引；支持语义、关键词、混合检索；相似度阈值动态调整、检索结果重排序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三种检索模式可切换；阈值可调；embedding 服务可配置</w:t>
            </w:r>
          </w:p>
        </w:tc>
        <w:tc>
          <w:tcPr>
            <w:tcW w:type="dxa" w:w="11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99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AI-09</w:t>
            </w:r>
          </w:p>
        </w:tc>
        <w:tc>
          <w:tcPr>
            <w:tcW w:type="dxa" w:w="12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检索结果管理</w:t>
            </w:r>
          </w:p>
        </w:tc>
        <w:tc>
          <w:tcPr>
            <w:tcW w:type="dxa" w:w="28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多路检索结果去重合并、相关性评分、上下文拼接；通过召回率、精确率评估检索质量；RAG 推理链路监控（检索耗时、生成质量、答案准确性）并可视化</w:t>
            </w:r>
          </w:p>
        </w:tc>
        <w:tc>
          <w:tcPr>
            <w:tcW w:type="dxa" w:w="284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有检索评估功能和 RAG 链路监控图表</w:t>
            </w:r>
          </w:p>
        </w:tc>
        <w:tc>
          <w:tcPr>
            <w:tcW w:type="dxa" w:w="111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3.4.4 合同智审服务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9"/>
        <w:gridCol w:w="1291"/>
        <w:gridCol w:w="2972"/>
        <w:gridCol w:w="2588"/>
        <w:gridCol w:w="1146"/>
      </w:tblGrid>
      <w:tr>
        <w:trPr>
          <w:cantSplit/>
          <w:tblHeader/>
        </w:trPr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2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9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AI-10</w:t>
            </w:r>
          </w:p>
        </w:tc>
        <w:tc>
          <w:tcPr>
            <w:tcW w:type="dxa" w:w="12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多格式解析</w:t>
            </w:r>
          </w:p>
        </w:tc>
        <w:tc>
          <w:tcPr>
            <w:tcW w:type="dxa" w:w="29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 PDF、Word、OFD、Excel、PPT 深度结构化解析，包括文本提取、表格识别、图像分离；集成 OCR（手写体识别、印章检测、模糊文本修复、倾斜校正）；版面分析保持原文逻辑结构</w:t>
            </w:r>
          </w:p>
        </w:tc>
        <w:tc>
          <w:tcPr>
            <w:tcW w:type="dxa" w:w="25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各格式可解析；结果保持章节条款结构</w:t>
            </w:r>
          </w:p>
        </w:tc>
        <w:tc>
          <w:tcPr>
            <w:tcW w:type="dxa" w:w="11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AI-11</w:t>
            </w:r>
          </w:p>
        </w:tc>
        <w:tc>
          <w:tcPr>
            <w:tcW w:type="dxa" w:w="12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条款抽取</w:t>
            </w:r>
          </w:p>
        </w:tc>
        <w:tc>
          <w:tcPr>
            <w:tcW w:type="dxa" w:w="29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建立金额、期限、违约责任、管辖地等关键条款的识别规则库；实体识别与关系抽取（金额、时间、责任主体、地点）；条款结构化解析，支持层级分析、逻辑关系梳理、异常条款标记</w:t>
            </w:r>
          </w:p>
        </w:tc>
        <w:tc>
          <w:tcPr>
            <w:tcW w:type="dxa" w:w="25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输出结构化要素和条款层级</w:t>
            </w:r>
          </w:p>
        </w:tc>
        <w:tc>
          <w:tcPr>
            <w:tcW w:type="dxa" w:w="11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  <w:tr>
        <w:trPr>
          <w:cantSplit/>
          <w:tblHeader w:val="false"/>
        </w:trPr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AI-12</w:t>
            </w:r>
          </w:p>
        </w:tc>
        <w:tc>
          <w:tcPr>
            <w:tcW w:type="dxa" w:w="12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差异提示</w:t>
            </w:r>
          </w:p>
        </w:tc>
        <w:tc>
          <w:tcPr>
            <w:tcW w:type="dxa" w:w="29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分类别、分行业的标准合同模板库，支持条款要素定义、必选 / 可选配置；通过文本相似度、结构化匹配、关键词比对识别差异；用颜色编码、标签分类、层级展示差异，支持条款缺失提醒、格式不符警告、内容冲突标记</w:t>
            </w:r>
          </w:p>
        </w:tc>
        <w:tc>
          <w:tcPr>
            <w:tcW w:type="dxa" w:w="25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模板可维护；审查结果显示与模板的差异</w:t>
            </w:r>
          </w:p>
        </w:tc>
        <w:tc>
          <w:tcPr>
            <w:tcW w:type="dxa" w:w="11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AI-13</w:t>
            </w:r>
          </w:p>
        </w:tc>
        <w:tc>
          <w:tcPr>
            <w:tcW w:type="dxa" w:w="12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审查规则管理</w:t>
            </w:r>
          </w:p>
        </w:tc>
        <w:tc>
          <w:tcPr>
            <w:tcW w:type="dxa" w:w="297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 30+ 条审核规则的动态定义与维护，包括终端价格阈值、签字盖章完整性、信创产品合规性等；统计规则命中率、误报率、审核效率；规则可视化编辑、模板复用、批量导入导出、版本管理</w:t>
            </w:r>
          </w:p>
        </w:tc>
        <w:tc>
          <w:tcPr>
            <w:tcW w:type="dxa" w:w="258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默认规则不少于 30 条；可编辑、启停、导入导出；有效果统计</w:t>
            </w:r>
          </w:p>
        </w:tc>
        <w:tc>
          <w:tcPr>
            <w:tcW w:type="dxa" w:w="114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hAnsi="Arial" w:eastAsia="黑体"/>
        </w:rPr>
        <w:t xml:space="preserve">3.4.5 工具与插件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"/>
        <w:gridCol w:w="1378"/>
        <w:gridCol w:w="3068"/>
        <w:gridCol w:w="2391"/>
        <w:gridCol w:w="1153"/>
      </w:tblGrid>
      <w:tr>
        <w:trPr>
          <w:cantSplit/>
          <w:tblHeader/>
        </w:trPr>
        <w:tc>
          <w:tcPr>
            <w:tcW w:type="dxa" w:w="10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0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3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AI-14</w:t>
            </w:r>
          </w:p>
        </w:tc>
        <w:tc>
          <w:tcPr>
            <w:tcW w:type="dxa" w:w="1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内置工具使用</w:t>
            </w:r>
          </w:p>
        </w:tc>
        <w:tc>
          <w:tcPr>
            <w:tcW w:type="dxa" w:w="30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图片识别工具：OCR、物体检测、场景分析、图表解析，支持批量处理、结构化输出、置信度评估；工具调度：链式调用、参数传递、异常处理、超时控制</w:t>
            </w:r>
          </w:p>
        </w:tc>
        <w:tc>
          <w:tcPr>
            <w:tcW w:type="dxa" w:w="23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内置工具可调用；链式调用可引用上一步输出</w:t>
            </w: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AI-15</w:t>
            </w:r>
          </w:p>
        </w:tc>
        <w:tc>
          <w:tcPr>
            <w:tcW w:type="dxa" w:w="1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工具性能评估</w:t>
            </w:r>
          </w:p>
        </w:tc>
        <w:tc>
          <w:tcPr>
            <w:tcW w:type="dxa" w:w="30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实时监控工具响应时间、调用成功率、资源占用、并发处理能力；可视化性能仪表盘展示运行状态、趋势和异常告警</w:t>
            </w:r>
          </w:p>
        </w:tc>
        <w:tc>
          <w:tcPr>
            <w:tcW w:type="dxa" w:w="23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有性能统计和告警</w:t>
            </w: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103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AI-16</w:t>
            </w:r>
          </w:p>
        </w:tc>
        <w:tc>
          <w:tcPr>
            <w:tcW w:type="dxa" w:w="137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第三方工具接入</w:t>
            </w:r>
          </w:p>
        </w:tc>
        <w:tc>
          <w:tcPr>
            <w:tcW w:type="dxa" w:w="3068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标准化工具接入框架：统一 API 规范、数据格式、认证授权；支持 REST、GraphQL、WebSocket；提供 SDK 和接入文档</w:t>
            </w:r>
          </w:p>
        </w:tc>
        <w:tc>
          <w:tcPr>
            <w:tcW w:type="dxa" w:w="23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第三方可凭 API Key 注册插件；提供 SDK 与文档</w:t>
            </w:r>
          </w:p>
        </w:tc>
        <w:tc>
          <w:tcPr>
            <w:tcW w:type="dxa" w:w="115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3.5 信创终端适配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"/>
        <w:gridCol w:w="1444"/>
        <w:gridCol w:w="2856"/>
        <w:gridCol w:w="2591"/>
        <w:gridCol w:w="1125"/>
      </w:tblGrid>
      <w:tr>
        <w:trPr>
          <w:cantSplit/>
          <w:tblHeader/>
        </w:trPr>
        <w:tc>
          <w:tcPr>
            <w:tcW w:type="dxa" w:w="10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8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25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验收要点</w:t>
            </w:r>
          </w:p>
        </w:tc>
        <w:tc>
          <w:tcPr>
            <w:tcW w:type="dxa" w:w="11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rPr>
          <w:cantSplit/>
          <w:tblHeader w:val="false"/>
        </w:trPr>
        <w:tc>
          <w:tcPr>
            <w:tcW w:type="dxa" w:w="101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AP-01</w:t>
            </w:r>
          </w:p>
        </w:tc>
        <w:tc>
          <w:tcPr>
            <w:tcW w:type="dxa" w:w="144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桌面端及服务端适配</w:t>
            </w:r>
          </w:p>
        </w:tc>
        <w:tc>
          <w:tcPr>
            <w:tcW w:type="dxa" w:w="285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适配 4 种 CPU（海光、兆芯、鲲鹏、飞腾）、2 种操作系统、3 个杀毒软件（360、奇安信、安恒）等多个主流版本型号，独立验证与适配</w:t>
            </w:r>
          </w:p>
        </w:tc>
        <w:tc>
          <w:tcPr>
            <w:tcW w:type="dxa" w:w="259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每种 CPU × 操作系统 × 杀毒软件组合完成安装运行验证，无拦截误报</w:t>
            </w:r>
          </w:p>
        </w:tc>
        <w:tc>
          <w:tcPr>
            <w:tcW w:type="dxa" w:w="112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4. 非功能需求</w:t>
      </w:r>
    </w:p>
    <w:p>
      <w:pPr>
        <w:pStyle w:val="Heading2"/>
      </w:pPr>
      <w:r>
        <w:rPr>
          <w:rFonts w:ascii="Arial" w:hAnsi="Arial" w:eastAsia="黑体"/>
        </w:rPr>
        <w:t xml:space="preserve">4.1 兼容性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7274"/>
      </w:tblGrid>
      <w:tr>
        <w:trPr>
          <w:cantSplit/>
          <w:tblHeader/>
        </w:trPr>
        <w:tc>
          <w:tcPr>
            <w:tcW w:type="dxa" w:w="17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72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NF-01</w:t>
            </w:r>
          </w:p>
        </w:tc>
        <w:tc>
          <w:tcPr>
            <w:tcW w:type="dxa" w:w="72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客户端支持银河麒麟、统信 UOS（合同要求的 2 种国产操作系统），并兼容 Ubuntu 和 Windows 10/11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NF-02</w:t>
            </w:r>
          </w:p>
        </w:tc>
        <w:tc>
          <w:tcPr>
            <w:tcW w:type="dxa" w:w="72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客户端和服务端支持鲲鹏、飞腾（ARM 架构）和海光、兆芯（x86 架构）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NF-03</w:t>
            </w:r>
          </w:p>
        </w:tc>
        <w:tc>
          <w:tcPr>
            <w:tcW w:type="dxa" w:w="72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客户端在 360、奇安信、安恒杀毒软件开启实时防护时可正常安装运行，不被拦截或误报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NF-04</w:t>
            </w:r>
          </w:p>
        </w:tc>
        <w:tc>
          <w:tcPr>
            <w:tcW w:type="dxa" w:w="72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服务端可部署在 CentOS（ARM / x86）服务器上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NF-05</w:t>
            </w:r>
          </w:p>
        </w:tc>
        <w:tc>
          <w:tcPr>
            <w:tcW w:type="dxa" w:w="7274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管理端兼容主流 Chromium 内核浏览器，运维移动端适配手机浏览器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4.2 性能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合同未规定量化性能指标，以下为建议的验收参考值，可在验收前与业主方确认：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4040"/>
        <w:gridCol w:w="3515"/>
      </w:tblGrid>
      <w:tr>
        <w:trPr>
          <w:cantSplit/>
          <w:tblHeader/>
        </w:trPr>
        <w:tc>
          <w:tcPr>
            <w:tcW w:type="dxa" w:w="14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35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建议值</w:t>
            </w:r>
          </w:p>
        </w:tc>
      </w:tr>
      <w:tr>
        <w:trPr>
          <w:cantSplit/>
          <w:tblHeader w:val="false"/>
        </w:trPr>
        <w:tc>
          <w:tcPr>
            <w:tcW w:type="dxa" w:w="14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NF-06</w:t>
            </w:r>
          </w:p>
        </w:tc>
        <w:tc>
          <w:tcPr>
            <w:tcW w:type="dxa" w:w="4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管理端常规页面打开时间</w:t>
            </w:r>
          </w:p>
        </w:tc>
        <w:tc>
          <w:tcPr>
            <w:tcW w:type="dxa" w:w="35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≤ 3 秒</w:t>
            </w:r>
          </w:p>
        </w:tc>
      </w:tr>
      <w:tr>
        <w:trPr>
          <w:cantSplit/>
          <w:tblHeader w:val="false"/>
        </w:trPr>
        <w:tc>
          <w:tcPr>
            <w:tcW w:type="dxa" w:w="14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NF-07</w:t>
            </w:r>
          </w:p>
        </w:tc>
        <w:tc>
          <w:tcPr>
            <w:tcW w:type="dxa" w:w="4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终端上报接口响应时间</w:t>
            </w:r>
          </w:p>
        </w:tc>
        <w:tc>
          <w:tcPr>
            <w:tcW w:type="dxa" w:w="35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≤ 1 秒</w:t>
            </w:r>
          </w:p>
        </w:tc>
      </w:tr>
      <w:tr>
        <w:trPr>
          <w:cantSplit/>
          <w:tblHeader w:val="false"/>
        </w:trPr>
        <w:tc>
          <w:tcPr>
            <w:tcW w:type="dxa" w:w="14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NF-08</w:t>
            </w:r>
          </w:p>
        </w:tc>
        <w:tc>
          <w:tcPr>
            <w:tcW w:type="dxa" w:w="4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智能问答首字返回时间（不含大模型自身耗时）</w:t>
            </w:r>
          </w:p>
        </w:tc>
        <w:tc>
          <w:tcPr>
            <w:tcW w:type="dxa" w:w="35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≤ 2 秒</w:t>
            </w:r>
          </w:p>
        </w:tc>
      </w:tr>
      <w:tr>
        <w:trPr>
          <w:cantSplit/>
          <w:tblHeader w:val="false"/>
        </w:trPr>
        <w:tc>
          <w:tcPr>
            <w:tcW w:type="dxa" w:w="14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NF-09</w:t>
            </w:r>
          </w:p>
        </w:tc>
        <w:tc>
          <w:tcPr>
            <w:tcW w:type="dxa" w:w="4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知识库检索耗时</w:t>
            </w:r>
          </w:p>
        </w:tc>
        <w:tc>
          <w:tcPr>
            <w:tcW w:type="dxa" w:w="35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≤ 1 秒（10 万分片以内）</w:t>
            </w:r>
          </w:p>
        </w:tc>
      </w:tr>
      <w:tr>
        <w:trPr>
          <w:cantSplit/>
          <w:tblHeader w:val="false"/>
        </w:trPr>
        <w:tc>
          <w:tcPr>
            <w:tcW w:type="dxa" w:w="147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NF-10</w:t>
            </w:r>
          </w:p>
        </w:tc>
        <w:tc>
          <w:tcPr>
            <w:tcW w:type="dxa" w:w="404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客户端常驻资源占用</w:t>
            </w:r>
          </w:p>
        </w:tc>
        <w:tc>
          <w:tcPr>
            <w:tcW w:type="dxa" w:w="351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内存 ≤ 200MB，空闲时 CPU ≤ 2%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4.3 安全性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7"/>
        <w:gridCol w:w="7269"/>
      </w:tblGrid>
      <w:tr>
        <w:trPr>
          <w:cantSplit/>
          <w:tblHeader/>
        </w:trPr>
        <w:tc>
          <w:tcPr>
            <w:tcW w:type="dxa" w:w="1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7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NF-11</w:t>
            </w:r>
          </w:p>
        </w:tc>
        <w:tc>
          <w:tcPr>
            <w:tcW w:type="dxa" w:w="7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用户密码加盐哈希存储，登录凭证有有效期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NF-12</w:t>
            </w:r>
          </w:p>
        </w:tc>
        <w:tc>
          <w:tcPr>
            <w:tcW w:type="dxa" w:w="7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按角色控制功能与数据访问权限（管理员、客服、运维、普通用户）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NF-13</w:t>
            </w:r>
          </w:p>
        </w:tc>
        <w:tc>
          <w:tcPr>
            <w:tcW w:type="dxa" w:w="7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个人私有知识库、合同等数据仅本人可访问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NF-14</w:t>
            </w:r>
          </w:p>
        </w:tc>
        <w:tc>
          <w:tcPr>
            <w:tcW w:type="dxa" w:w="7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第三方插件通过 API Key 认证，经管理员审核后启用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NF-15</w:t>
            </w:r>
          </w:p>
        </w:tc>
        <w:tc>
          <w:tcPr>
            <w:tcW w:type="dxa" w:w="7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客户端不注入进程、不挂钩系统 API；结束进程需用户确认，系统和安全软件进程受保护</w:t>
            </w:r>
          </w:p>
        </w:tc>
      </w:tr>
      <w:tr>
        <w:trPr>
          <w:cantSplit/>
          <w:tblHeader w:val="false"/>
        </w:trPr>
        <w:tc>
          <w:tcPr>
            <w:tcW w:type="dxa" w:w="175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NF-16</w:t>
            </w:r>
          </w:p>
        </w:tc>
        <w:tc>
          <w:tcPr>
            <w:tcW w:type="dxa" w:w="726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支持内网离线部署，前端依赖不依赖外网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4.4 可靠性与可维护性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3"/>
        <w:gridCol w:w="7213"/>
      </w:tblGrid>
      <w:tr>
        <w:trPr>
          <w:cantSplit/>
          <w:tblHeader/>
        </w:trPr>
        <w:tc>
          <w:tcPr>
            <w:tcW w:type="dxa" w:w="18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72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false"/>
        </w:trPr>
        <w:tc>
          <w:tcPr>
            <w:tcW w:type="dxa" w:w="18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NF-17</w:t>
            </w:r>
          </w:p>
        </w:tc>
        <w:tc>
          <w:tcPr>
            <w:tcW w:type="dxa" w:w="72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大模型调用失败时自动降级；未配置大模型时其他功能不受影响</w:t>
            </w:r>
          </w:p>
        </w:tc>
      </w:tr>
      <w:tr>
        <w:trPr>
          <w:cantSplit/>
          <w:tblHeader w:val="false"/>
        </w:trPr>
        <w:tc>
          <w:tcPr>
            <w:tcW w:type="dxa" w:w="18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NF-18</w:t>
            </w:r>
          </w:p>
        </w:tc>
        <w:tc>
          <w:tcPr>
            <w:tcW w:type="dxa" w:w="72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知识导入失败可重试，已完成部分不重复处理</w:t>
            </w:r>
          </w:p>
        </w:tc>
      </w:tr>
      <w:tr>
        <w:trPr>
          <w:cantSplit/>
          <w:tblHeader w:val="false"/>
        </w:trPr>
        <w:tc>
          <w:tcPr>
            <w:tcW w:type="dxa" w:w="18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NF-19</w:t>
            </w:r>
          </w:p>
        </w:tc>
        <w:tc>
          <w:tcPr>
            <w:tcW w:type="dxa" w:w="72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大模型、路由策略、采集周期、预警规则、审查规则等参数在线修改，无需重启</w:t>
            </w:r>
          </w:p>
        </w:tc>
      </w:tr>
      <w:tr>
        <w:trPr>
          <w:cantSplit/>
          <w:tblHeader w:val="false"/>
        </w:trPr>
        <w:tc>
          <w:tcPr>
            <w:tcW w:type="dxa" w:w="18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NF-20</w:t>
            </w:r>
          </w:p>
        </w:tc>
        <w:tc>
          <w:tcPr>
            <w:tcW w:type="dxa" w:w="72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服务端提供一键部署、离线部署、容器部署方式，以及部署验证脚本</w:t>
            </w:r>
          </w:p>
        </w:tc>
      </w:tr>
      <w:tr>
        <w:trPr>
          <w:cantSplit/>
          <w:tblHeader w:val="false"/>
        </w:trPr>
        <w:tc>
          <w:tcPr>
            <w:tcW w:type="dxa" w:w="18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NF-21</w:t>
            </w:r>
          </w:p>
        </w:tc>
        <w:tc>
          <w:tcPr>
            <w:tcW w:type="dxa" w:w="7213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提供健康检查接口和接口文档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黑体"/>
        </w:rPr>
        <w:t xml:space="preserve">4.5 易用性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9"/>
        <w:gridCol w:w="7197"/>
      </w:tblGrid>
      <w:tr>
        <w:trPr>
          <w:cantSplit/>
          <w:tblHeader/>
        </w:trPr>
        <w:tc>
          <w:tcPr>
            <w:tcW w:type="dxa" w:w="18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7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NF-22</w:t>
            </w:r>
          </w:p>
        </w:tc>
        <w:tc>
          <w:tcPr>
            <w:tcW w:type="dxa" w:w="7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管理端界面风格参照《无锡信创平台操作手册（总集管理员）》中的系统截图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NF-23</w:t>
            </w:r>
          </w:p>
        </w:tc>
        <w:tc>
          <w:tcPr>
            <w:tcW w:type="dxa" w:w="7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客户端适配高分辨率屏幕缩放</w:t>
            </w:r>
          </w:p>
        </w:tc>
      </w:tr>
      <w:tr>
        <w:trPr>
          <w:cantSplit/>
          <w:tblHeader w:val="false"/>
        </w:trPr>
        <w:tc>
          <w:tcPr>
            <w:tcW w:type="dxa" w:w="182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NF-24</w:t>
            </w:r>
          </w:p>
        </w:tc>
        <w:tc>
          <w:tcPr>
            <w:tcW w:type="dxa" w:w="719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关键操作（删除、结束进程、签收等）提供二次确认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5. 外部接口需求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5"/>
        <w:gridCol w:w="5821"/>
      </w:tblGrid>
      <w:tr>
        <w:trPr>
          <w:cantSplit/>
          <w:tblHeader/>
        </w:trPr>
        <w:tc>
          <w:tcPr>
            <w:tcW w:type="dxa" w:w="32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接口</w:t>
            </w:r>
          </w:p>
        </w:tc>
        <w:tc>
          <w:tcPr>
            <w:tcW w:type="dxa" w:w="58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用户界面</w:t>
            </w:r>
          </w:p>
        </w:tc>
        <w:tc>
          <w:tcPr>
            <w:tcW w:type="dxa" w:w="58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桌面客户端（图形界面）、管理端（Web）、运维移动端（H5）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客户端—服务端</w:t>
            </w:r>
          </w:p>
        </w:tc>
        <w:tc>
          <w:tcPr>
            <w:tcW w:type="dxa" w:w="58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HTTP + JSON；问答结果以 SSE 流式返回；设备以设备 ID 标识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服务端—大模型</w:t>
            </w:r>
          </w:p>
        </w:tc>
        <w:tc>
          <w:tcPr>
            <w:tcW w:type="dxa" w:w="58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OpenAI 兼容的 Chat Completions 接口，覆盖 DeepSeek、通义千问、星辰 TeleChat 等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服务端—向量服务（可选）</w:t>
            </w:r>
          </w:p>
        </w:tc>
        <w:tc>
          <w:tcPr>
            <w:tcW w:type="dxa" w:w="58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OpenAI 兼容的 Embeddings 接口（BGE、m3e）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服务端—OCR（可选）</w:t>
            </w:r>
          </w:p>
        </w:tc>
        <w:tc>
          <w:tcPr>
            <w:tcW w:type="dxa" w:w="58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Tesseract 命令行或 HTTP OCR 服务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服务端—训练平台（可选）</w:t>
            </w:r>
          </w:p>
        </w:tc>
        <w:tc>
          <w:tcPr>
            <w:tcW w:type="dxa" w:w="58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通过命令行调用 LLaMA-Factory 等训练框架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开放平台</w:t>
            </w:r>
          </w:p>
        </w:tc>
        <w:tc>
          <w:tcPr>
            <w:tcW w:type="dxa" w:w="5821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Consolas" w:hAnsi="Consolas" w:eastAsia="宋体"/>
                <w:color w:val="8B1A1A"/>
                <w:sz w:val="17"/>
                <w:szCs w:val="17"/>
              </w:rPr>
              <w:t xml:space="preserve">/open/v1</w:t>
            </w:r>
            <w:r>
              <w:rPr>
                <w:rFonts w:ascii="Times New Roman" w:hAnsi="Times New Roman" w:eastAsia="宋体"/>
                <w:sz w:val="19"/>
                <w:szCs w:val="19"/>
              </w:rPr>
              <w:t xml:space="preserve"> 接口 + Python SDK，支持 REST、GraphQL、WebSocket 协议的插件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6. 数据需求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6649"/>
      </w:tblGrid>
      <w:tr>
        <w:trPr>
          <w:cantSplit/>
          <w:tblHeader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数据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DCE6F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微调数据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信创运维知识 2 万+ 条、政策知识 1000+ 条，支持 jsonl / json / csv / xlsx 格式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知识库文档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Word、PDF、Excel、PPT、TXT、OFD 及扫描件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终端数据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配件信息、负载、运行数据长期积累，需支持按时间统计与归档</w:t>
            </w:r>
          </w:p>
        </w:tc>
      </w:tr>
      <w:tr>
        <w:trPr>
          <w:cantSplit/>
          <w:tblHeader w:val="false"/>
        </w:trPr>
        <w:tc>
          <w:tcPr>
            <w:tcW w:type="dxa" w:w="2377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评估测试集</w:t>
            </w:r>
          </w:p>
        </w:tc>
        <w:tc>
          <w:tcPr>
            <w:tcW w:type="dxa" w:w="6649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信创领域专业测试题，含标准答案和关键词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黑体"/>
        </w:rPr>
        <w:t xml:space="preserve">7. 约束与假设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工期：合同签订之日起 9 个月内完成开发并部署上线。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部署环境：服务端部署在 CentOS ARM 服务器；终端多处于内网环境。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大模型：使用公网模型时需服务器可访问对应接口；私有化部署的模型需提供 OpenAI 兼容接口。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真实微调训练需要具备 GPU 的训练环境；无 GPU 时提供训练流程演示。</w:t>
      </w:r>
    </w:p>
    <w:p>
      <w:pPr>
        <w:pStyle w:val="ListParagraph"/>
        <w:numPr>
          <w:ilvl w:val="0"/>
          <w:numId w:val="4"/>
        </w:numPr>
        <w:spacing w:line="340" w:after="40"/>
      </w:pPr>
      <w:r>
        <w:rPr>
          <w:rFonts w:ascii="Times New Roman" w:hAnsi="Times New Roman" w:eastAsia="宋体"/>
          <w:sz w:val="24"/>
          <w:szCs w:val="24"/>
        </w:rPr>
        <w:t xml:space="preserve">客户端安装包需在对应 CPU 架构的终端上分别打包。</w:t>
      </w:r>
    </w:p>
    <w:p>
      <w:pPr>
        <w:pStyle w:val="Heading1"/>
      </w:pPr>
      <w:r>
        <w:rPr>
          <w:rFonts w:ascii="Arial" w:hAnsi="Arial" w:eastAsia="黑体"/>
        </w:rPr>
        <w:t xml:space="preserve">8. 需求跟踪</w:t>
      </w:r>
    </w:p>
    <w:p>
      <w:pPr>
        <w:spacing w:line="360" w:after="80"/>
      </w:pPr>
      <w:r>
        <w:rPr>
          <w:rFonts w:ascii="Times New Roman" w:hAnsi="Times New Roman" w:eastAsia="宋体"/>
          <w:sz w:val="24"/>
          <w:szCs w:val="24"/>
        </w:rPr>
        <w:t xml:space="preserve">各需求项与实现位置的对应关系见</w:t>
      </w:r>
      <w:r>
        <w:rPr>
          <w:rFonts w:ascii="Times New Roman" w:hAnsi="Times New Roman" w:eastAsia="宋体"/>
          <w:sz w:val="24"/>
          <w:szCs w:val="24"/>
        </w:rPr>
        <w:t xml:space="preserve">需求功能对照表</w:t>
      </w:r>
      <w:r>
        <w:rPr>
          <w:rFonts w:ascii="Times New Roman" w:hAnsi="Times New Roman" w:eastAsia="宋体"/>
          <w:sz w:val="24"/>
          <w:szCs w:val="24"/>
        </w:rPr>
        <w:t xml:space="preserve">；设计说明见</w:t>
      </w:r>
      <w:r>
        <w:rPr>
          <w:rFonts w:ascii="Times New Roman" w:hAnsi="Times New Roman" w:eastAsia="宋体"/>
          <w:sz w:val="24"/>
          <w:szCs w:val="24"/>
        </w:rPr>
        <w:t xml:space="preserve">系统设计说明书</w:t>
      </w:r>
      <w:r>
        <w:rPr>
          <w:rFonts w:ascii="Times New Roman" w:hAnsi="Times New Roman" w:eastAsia="宋体"/>
          <w:sz w:val="24"/>
          <w:szCs w:val="24"/>
        </w:rPr>
        <w:t xml:space="preserve">；验证方法见</w:t>
      </w:r>
      <w:r>
        <w:rPr>
          <w:rFonts w:ascii="Times New Roman" w:hAnsi="Times New Roman" w:eastAsia="宋体"/>
          <w:sz w:val="24"/>
          <w:szCs w:val="24"/>
        </w:rPr>
        <w:t xml:space="preserve">系统安装部署手册</w:t>
      </w:r>
      <w:r>
        <w:rPr>
          <w:rFonts w:ascii="Times New Roman" w:hAnsi="Times New Roman" w:eastAsia="宋体"/>
          <w:sz w:val="24"/>
          <w:szCs w:val="24"/>
        </w:rPr>
        <w:t xml:space="preserve">第 7 章。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 w:eastAsia="宋体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B4C8" w:sz="4" w:space="4"/>
      </w:pBdr>
      <w:jc w:val="right"/>
    </w:pPr>
    <w:r>
      <w:rPr>
        <w:rFonts w:ascii="Times New Roman" w:hAnsi="Times New Roman" w:eastAsia="宋体"/>
        <w:color w:val="666666"/>
        <w:sz w:val="18"/>
        <w:szCs w:val="18"/>
      </w:rPr>
      <w:t xml:space="preserve">小信助手智能体 ·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80"/>
      </w:pPr>
      <w:rPr>
        <w:sz w:val="14"/>
        <w:szCs w:val="14"/>
      </w:rPr>
    </w:lvl>
    <w:lvl w:ilvl="1" w15:tentative="1">
      <w:start w:val="1"/>
      <w:numFmt w:val="bullet"/>
      <w:lvlText w:val="○"/>
      <w:lvlJc w:val="left"/>
      <w:pPr>
        <w:ind w:left="960" w:hanging="280"/>
      </w:pPr>
      <w:rPr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○"/>
      <w:lvlJc w:val="left"/>
      <w:pPr>
        <w:ind w:left="960" w:hanging="28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60" w:after="200"/>
      <w:outlineLvl w:val="0"/>
    </w:pPr>
    <w:rPr>
      <w:rFonts w:ascii="Arial" w:hAnsi="Arial" w:eastAsia="黑体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  <w:outlineLvl w:val="1"/>
    </w:pPr>
    <w:rPr>
      <w:rFonts w:ascii="Arial" w:hAnsi="Arial" w:eastAsia="黑体"/>
      <w:b/>
      <w:bCs/>
      <w:color w:val="1F2D3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Arial" w:hAnsi="Arial" w:eastAsia="黑体"/>
      <w:b/>
      <w:bCs/>
      <w:color w:val="1F2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小信助手智能体 · 需求规格说明书</dc:title>
  <dc:creator>小信助手项目组</dc:creator>
  <cp:lastModifiedBy>Un-named</cp:lastModifiedBy>
  <cp:revision>1</cp:revision>
  <dcterms:created xsi:type="dcterms:W3CDTF">2026-10-08T15:22:41.141Z</dcterms:created>
  <dcterms:modified xsi:type="dcterms:W3CDTF">2026-10-08T15:22:41.142Z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