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68DFC79">
      <w:pPr>
        <w:pStyle w:val="style4097"/>
        <w:jc w:val="left"/>
        <w:rPr/>
      </w:pPr>
      <w:r>
        <w:t>新型操作系统法律合规指引</w:t>
      </w:r>
    </w:p>
    <w:p w14:paraId="C785D22B">
      <w:pPr>
        <w:pStyle w:val="style0"/>
        <w:jc w:val="left"/>
        <w:rPr/>
      </w:pPr>
      <w:r>
        <w:t>新型操作系统·面向所有开发者的法律合规指引</w:t>
      </w:r>
    </w:p>
    <w:p w14:paraId="C89DCD35">
      <w:pPr>
        <w:pStyle w:val="style0"/>
        <w:jc w:val="left"/>
        <w:rPr/>
      </w:pPr>
    </w:p>
    <w:p w14:paraId="1271BA6C">
      <w:pPr>
        <w:pStyle w:val="style0"/>
        <w:jc w:val="left"/>
        <w:rPr/>
      </w:pPr>
      <w:r>
        <w:t>免责声明：本文档仅供开发者参考，不构成正式法律意见。如有具体法律问题，请咨询具有相关领域执业资格的律师。</w:t>
      </w:r>
    </w:p>
    <w:p w14:paraId="1BAF9D60">
      <w:pPr>
        <w:pStyle w:val="style0"/>
        <w:jc w:val="left"/>
        <w:rPr/>
      </w:pPr>
    </w:p>
    <w:p w14:paraId="7AE58313">
      <w:pPr>
        <w:pStyle w:val="style0"/>
        <w:jc w:val="left"/>
        <w:rPr/>
      </w:pPr>
      <w:r>
        <w:t>给开发者的阅读指南本文档是写给谁的？</w:t>
      </w:r>
    </w:p>
    <w:p w14:paraId="A5B7D153">
      <w:pPr>
        <w:pStyle w:val="style0"/>
        <w:jc w:val="left"/>
        <w:rPr/>
      </w:pPr>
    </w:p>
    <w:p w14:paraId="C43F8B3B">
      <w:pPr>
        <w:pStyle w:val="style0"/>
        <w:jc w:val="left"/>
        <w:rPr/>
      </w:pPr>
      <w:r>
        <w:t>所有有意参与新型操作系统项目的开发者、用户、贡献者。</w:t>
      </w:r>
    </w:p>
    <w:p w14:paraId="512C99D7">
      <w:pPr>
        <w:pStyle w:val="style0"/>
        <w:jc w:val="left"/>
        <w:rPr/>
      </w:pPr>
    </w:p>
    <w:p w14:paraId="C3CE265E">
      <w:pPr>
        <w:pStyle w:val="style0"/>
        <w:jc w:val="left"/>
        <w:rPr/>
      </w:pPr>
      <w:r>
        <w:t>为什么需要读它？</w:t>
      </w:r>
    </w:p>
    <w:p w14:paraId="91D4B1D6">
      <w:pPr>
        <w:pStyle w:val="style0"/>
        <w:jc w:val="left"/>
        <w:rPr/>
      </w:pPr>
    </w:p>
    <w:p w14:paraId="4B872900">
      <w:pPr>
        <w:pStyle w:val="style0"/>
        <w:jc w:val="left"/>
        <w:rPr/>
      </w:pPr>
      <w:r>
        <w:t>开源不等于“随便用”。开源协议是一套有法律效力的规则。读完这份文档，你会知道：</w:t>
      </w:r>
    </w:p>
    <w:p w14:paraId="BD51455E">
      <w:pPr>
        <w:pStyle w:val="style0"/>
        <w:jc w:val="left"/>
        <w:rPr/>
      </w:pPr>
      <w:r>
        <w:t>· 你使用本项目代码时，享有哪些权利、需要承担哪些义务</w:t>
      </w:r>
    </w:p>
    <w:p w14:paraId="6903B00A">
      <w:pPr>
        <w:pStyle w:val="style0"/>
        <w:jc w:val="left"/>
        <w:rPr/>
      </w:pPr>
      <w:r>
        <w:t>· 你向本项目提交代码时，你的贡献会被如何处理</w:t>
      </w:r>
    </w:p>
    <w:p w14:paraId="BA0A7771">
      <w:pPr>
        <w:pStyle w:val="style0"/>
        <w:jc w:val="left"/>
        <w:rPr/>
      </w:pPr>
      <w:r>
        <w:t>· 如果你基于本项目开发衍生作品，需要注意哪些法律边界你不需要成为法律专家，但你需要知道这些。</w:t>
      </w:r>
    </w:p>
    <w:p w14:paraId="65F5F6E0">
      <w:pPr>
        <w:pStyle w:val="style0"/>
        <w:jc w:val="left"/>
        <w:rPr/>
      </w:pPr>
    </w:p>
    <w:p w14:paraId="3C503849">
      <w:pPr>
        <w:pStyle w:val="style0"/>
        <w:jc w:val="left"/>
        <w:rPr/>
      </w:pPr>
      <w:r>
        <w:t>一、著作权保护</w:t>
      </w:r>
    </w:p>
    <w:p w14:paraId="05882015">
      <w:pPr>
        <w:pStyle w:val="style0"/>
        <w:jc w:val="left"/>
        <w:rPr/>
      </w:pPr>
    </w:p>
    <w:p w14:paraId="498C6D44">
      <w:pPr>
        <w:pStyle w:val="style0"/>
        <w:jc w:val="left"/>
        <w:rPr/>
      </w:pPr>
      <w:r>
        <w:t>1.1 著作权自动产生，无需登记</w:t>
      </w:r>
    </w:p>
    <w:p w14:paraId="85275DE2">
      <w:pPr>
        <w:pStyle w:val="style0"/>
        <w:jc w:val="left"/>
        <w:rPr/>
      </w:pPr>
    </w:p>
    <w:p w14:paraId="9344E5A5">
      <w:pPr>
        <w:pStyle w:val="style0"/>
        <w:jc w:val="left"/>
        <w:rPr/>
      </w:pPr>
      <w:r>
        <w:t>根据《计算机软件保护条例》第十四条，软件著作权自软件开发完成之日起自动产生。开源软件的权利人仍然享有《中华人民共和国著作权法》下的各项权利。自然人的软件著作权，保护期为自然人终生及其死亡后50年；法人或者其他组织的软件著作权，保护期为50年，截止于软件首次发表后第50年的12月31日。</w:t>
      </w:r>
      <w:r>
        <w:rPr>
          <w:lang w:val="en-US"/>
        </w:rPr>
        <w:t>自然人开发的，保护期为作者终生及其死亡后第50年，与法人规则不同。</w:t>
      </w:r>
    </w:p>
    <w:p w14:paraId="A10D1BC5">
      <w:pPr>
        <w:pStyle w:val="style0"/>
        <w:jc w:val="left"/>
        <w:rPr/>
      </w:pPr>
    </w:p>
    <w:p w14:paraId="FDB052E0">
      <w:pPr>
        <w:pStyle w:val="style0"/>
        <w:jc w:val="left"/>
        <w:rPr/>
      </w:pPr>
      <w:r>
        <w:t>1.2 司法实践确认：开源≠免费</w:t>
      </w:r>
    </w:p>
    <w:p w14:paraId="F4E2E94F">
      <w:pPr>
        <w:pStyle w:val="style0"/>
        <w:jc w:val="left"/>
        <w:rPr/>
      </w:pPr>
    </w:p>
    <w:p w14:paraId="05D58CA0">
      <w:pPr>
        <w:pStyle w:val="style0"/>
        <w:jc w:val="left"/>
        <w:rPr/>
      </w:pPr>
      <w:r>
        <w:t>最高人民法院在（2021）最高法知民终51号判决（GPLv2语境）中指出：开发者是否违反开源协议和是否享有软件著作权，是两个相对独立的法律问题。违反开源协议并不当然丧失著作权。同一案件的一审判决（江苏省苏州市中级人民法院）进一步给出了判断衍生作品与独立作品的实操标准：如果二次开发部分与GPL代码通过命令行参数、配置文件、socket通信等方式交互，且通信内容不包含内部数据结构，则可构成“独立且可分离的程序”，不受GPL传染性约束。</w:t>
      </w:r>
    </w:p>
    <w:p w14:paraId="6EF2C087">
      <w:pPr>
        <w:pStyle w:val="style0"/>
        <w:jc w:val="left"/>
        <w:rPr>
          <w:lang w:val="en-US"/>
        </w:rPr>
      </w:pPr>
    </w:p>
    <w:p w14:paraId="7E91536D">
      <w:pPr>
        <w:pStyle w:val="style0"/>
        <w:jc w:val="left"/>
        <w:rPr/>
      </w:pPr>
      <w:r>
        <w:rPr>
          <w:lang w:val="en-US"/>
        </w:rPr>
        <w:t>通俗理解：如果你在GPL代码外面包了一层独立的壳（比如通过命令行调用、通过标准输入输出通信、通过网络协议交互），这层壳本身可以不开源。但如果你直接修改了GPL代码本身，修改部分必须开源。</w:t>
      </w:r>
    </w:p>
    <w:p w14:paraId="CC5C4CB6">
      <w:pPr>
        <w:pStyle w:val="style0"/>
        <w:jc w:val="left"/>
        <w:rPr/>
      </w:pPr>
    </w:p>
    <w:p w14:paraId="FBA351C5">
      <w:pPr>
        <w:pStyle w:val="style0"/>
        <w:jc w:val="left"/>
        <w:rPr/>
      </w:pPr>
      <w:r>
        <w:t>1.3 对开发者的核心建议</w:t>
      </w:r>
    </w:p>
    <w:p w14:paraId="BD20A659">
      <w:pPr>
        <w:pStyle w:val="style0"/>
        <w:jc w:val="left"/>
        <w:rPr/>
      </w:pPr>
    </w:p>
    <w:p w14:paraId="3C25E926">
      <w:pPr>
        <w:pStyle w:val="style0"/>
        <w:jc w:val="left"/>
        <w:rPr/>
      </w:pPr>
      <w:r>
        <w:t>· 保留版权声明：每个源文件头部应包含版权声明</w:t>
      </w:r>
    </w:p>
    <w:p w14:paraId="9BFEDD0A">
      <w:pPr>
        <w:pStyle w:val="style0"/>
        <w:jc w:val="left"/>
        <w:rPr/>
      </w:pPr>
      <w:r>
        <w:t>· 明确许可证：在仓库根目录放置完整的 LICENSE 文件</w:t>
      </w:r>
    </w:p>
    <w:p w14:paraId="297F0E28">
      <w:pPr>
        <w:pStyle w:val="style0"/>
        <w:jc w:val="left"/>
        <w:rPr/>
      </w:pPr>
      <w:r>
        <w:t>· 保留提交记录：Git/GitHub 的提交历史是证明开发时间和权利归属的有效证据</w:t>
      </w:r>
    </w:p>
    <w:p w14:paraId="7A2813AA">
      <w:pPr>
        <w:pStyle w:val="style0"/>
        <w:jc w:val="left"/>
        <w:rPr/>
      </w:pPr>
    </w:p>
    <w:p w14:paraId="A55C6206">
      <w:pPr>
        <w:pStyle w:val="style0"/>
        <w:jc w:val="left"/>
        <w:rPr/>
      </w:pPr>
      <w:r>
        <w:t>1.4 版权声明模板</w:t>
      </w:r>
    </w:p>
    <w:p w14:paraId="9882CD77">
      <w:pPr>
        <w:pStyle w:val="style0"/>
        <w:jc w:val="left"/>
        <w:rPr/>
      </w:pPr>
    </w:p>
    <w:p w14:paraId="2A05C19E">
      <w:pPr>
        <w:pStyle w:val="style0"/>
        <w:jc w:val="left"/>
        <w:rPr/>
      </w:pPr>
      <w:r>
        <w:t>在每一个源代码文件的头部添加以下格式的版权声明：</w:t>
      </w:r>
    </w:p>
    <w:p w14:paraId="487BE0AE">
      <w:pPr>
        <w:pStyle w:val="style0"/>
        <w:jc w:val="left"/>
        <w:rPr/>
      </w:pPr>
    </w:p>
    <w:p w14:paraId="F75A51EB">
      <w:pPr>
        <w:pStyle w:val="style0"/>
        <w:jc w:val="left"/>
        <w:rPr/>
      </w:pPr>
      <w:r>
        <w:t>rust</w:t>
      </w:r>
    </w:p>
    <w:p w14:paraId="AEA11EC6">
      <w:pPr>
        <w:pStyle w:val="style0"/>
        <w:jc w:val="left"/>
        <w:rPr/>
      </w:pPr>
      <w:r>
        <w:t>// Copyright (C) 2026-2027 新型操作系统开发者团队</w:t>
      </w:r>
    </w:p>
    <w:p w14:paraId="92BFE05E">
      <w:pPr>
        <w:pStyle w:val="style0"/>
        <w:jc w:val="left"/>
        <w:rPr/>
      </w:pPr>
      <w:r>
        <w:t>// SPDX-License-Identifier: GPL-3.0-or-later</w:t>
      </w:r>
    </w:p>
    <w:p w14:paraId="78C858D8">
      <w:pPr>
        <w:pStyle w:val="style0"/>
        <w:jc w:val="left"/>
        <w:rPr/>
      </w:pPr>
    </w:p>
    <w:p w14:paraId="F398C1B9">
      <w:pPr>
        <w:pStyle w:val="style0"/>
        <w:jc w:val="left"/>
        <w:rPr/>
      </w:pPr>
      <w:r>
        <w:t>说明：年份应覆盖开发起始年份至当前年份。首次公开发布后，每年更新一次结束年份。</w:t>
      </w:r>
    </w:p>
    <w:p w14:paraId="C144DAA1">
      <w:pPr>
        <w:pStyle w:val="style0"/>
        <w:jc w:val="left"/>
        <w:rPr/>
      </w:pPr>
    </w:p>
    <w:p w14:paraId="00511D30">
      <w:pPr>
        <w:pStyle w:val="style0"/>
        <w:jc w:val="left"/>
        <w:rPr/>
      </w:pPr>
      <w:r>
        <w:t>二、GPL-3.0 开源协议的法律效力</w:t>
      </w:r>
    </w:p>
    <w:p w14:paraId="3C17B7E9">
      <w:pPr>
        <w:pStyle w:val="style0"/>
        <w:jc w:val="left"/>
        <w:rPr/>
      </w:pPr>
    </w:p>
    <w:p w14:paraId="C6CF8D83">
      <w:pPr>
        <w:pStyle w:val="style0"/>
        <w:jc w:val="left"/>
        <w:rPr/>
      </w:pPr>
      <w:r>
        <w:t>2.1 GPL协议是有效合同</w:t>
      </w:r>
    </w:p>
    <w:p w14:paraId="D25FA327">
      <w:pPr>
        <w:pStyle w:val="style0"/>
        <w:jc w:val="left"/>
        <w:rPr/>
      </w:pPr>
    </w:p>
    <w:p w14:paraId="AA8BB030">
      <w:pPr>
        <w:pStyle w:val="style0"/>
        <w:jc w:val="left"/>
        <w:rPr/>
      </w:pPr>
      <w:r>
        <w:t>我国法院在多个案件中确认了GPL协议的法律效力。基于既有案件的梳理，法院均认可开源软件所采用的GPL协议的效力，以保护开源软件研发中的创造性劳动为核心，兼之以维护开源协议的契约精神。</w:t>
      </w:r>
    </w:p>
    <w:p w14:paraId="4408619B">
      <w:pPr>
        <w:pStyle w:val="style0"/>
        <w:jc w:val="left"/>
        <w:rPr/>
      </w:pPr>
    </w:p>
    <w:p w14:paraId="D760482F">
      <w:pPr>
        <w:pStyle w:val="style0"/>
        <w:jc w:val="left"/>
        <w:rPr/>
      </w:pPr>
      <w:r>
        <w:t>2.2 GPL v3协议：附解除条件的著作权合同</w:t>
      </w:r>
    </w:p>
    <w:p w14:paraId="155861B3">
      <w:pPr>
        <w:pStyle w:val="style0"/>
        <w:jc w:val="left"/>
        <w:rPr/>
      </w:pPr>
    </w:p>
    <w:p w14:paraId="4D8212EA">
      <w:pPr>
        <w:pStyle w:val="style0"/>
        <w:jc w:val="left"/>
        <w:rPr/>
      </w:pPr>
      <w:r>
        <w:t>广州知识产权法院在罗盒公司诉玩友公司案中作出全国首份确定开源协议合同性质的判决。法院认定：GPL v3协议属于附解除条件的著作权合同，许可条款是版权许可的条件。违反GPL v3协议的约定，其依据GPL v3协议获得的授权自动终止。这意味着：一旦违反协议条款，授权立即终止，后续使用行为构成侵权。</w:t>
      </w:r>
    </w:p>
    <w:p w14:paraId="BA7BC42E">
      <w:pPr>
        <w:pStyle w:val="style0"/>
        <w:jc w:val="left"/>
        <w:rPr/>
      </w:pPr>
    </w:p>
    <w:p w14:paraId="C339D58E">
      <w:pPr>
        <w:pStyle w:val="style0"/>
        <w:jc w:val="left"/>
        <w:rPr/>
      </w:pPr>
      <w:r>
        <w:t>2.3 GPL的“传染性”规则</w:t>
      </w:r>
    </w:p>
    <w:p w14:paraId="882CA8BA">
      <w:pPr>
        <w:pStyle w:val="style0"/>
        <w:jc w:val="left"/>
        <w:rPr/>
      </w:pPr>
    </w:p>
    <w:p w14:paraId="647FF232">
      <w:pPr>
        <w:pStyle w:val="style0"/>
        <w:jc w:val="left"/>
        <w:rPr/>
      </w:pPr>
      <w:r>
        <w:t>GPL协议具有“传染性”——只要一个作品衍生自GPL程序，该作品在复制和分发时必须采用相同的GPL许可证。广州知识产权法院在相关案件中明确：GPL协议具有高传染性，未开源整个衍生作品的源代码违反协议约定。</w:t>
      </w:r>
    </w:p>
    <w:p w14:paraId="035BF55B">
      <w:pPr>
        <w:pStyle w:val="style0"/>
        <w:jc w:val="left"/>
        <w:rPr/>
      </w:pPr>
      <w:r>
        <w:t>注意：GPL传染性的具体边界在司法实践中存在争议，具体情况需结合代码耦合程度、分发方式等因素综合判断。如果对特定使用场景的法律适用存在疑问，建议咨询专业律师。</w:t>
      </w:r>
    </w:p>
    <w:p w14:paraId="936FD1F8">
      <w:pPr>
        <w:pStyle w:val="style0"/>
        <w:jc w:val="left"/>
        <w:rPr/>
      </w:pPr>
    </w:p>
    <w:p w14:paraId="092F2DF2">
      <w:pPr>
        <w:pStyle w:val="style0"/>
        <w:jc w:val="left"/>
        <w:rPr/>
      </w:pPr>
      <w:r>
        <w:t>什么是“衍生作品”？什么是“独立作品”？</w:t>
      </w:r>
    </w:p>
    <w:p w14:paraId="277B556D">
      <w:pPr>
        <w:pStyle w:val="style0"/>
        <w:jc w:val="left"/>
        <w:rPr/>
      </w:pPr>
    </w:p>
    <w:p w14:paraId="2A96063A">
      <w:pPr>
        <w:pStyle w:val="style0"/>
        <w:jc w:val="left"/>
        <w:rPr/>
      </w:pPr>
      <w:r>
        <w:t>最高人民法院在（2021）最高法知民终51号案中给出的正向标准：</w:t>
      </w:r>
    </w:p>
    <w:p w14:paraId="AED7BAE9">
      <w:pPr>
        <w:pStyle w:val="style0"/>
        <w:jc w:val="left"/>
        <w:rPr/>
      </w:pPr>
    </w:p>
    <w:p w14:paraId="DB1B29F2">
      <w:pPr>
        <w:pStyle w:val="style0"/>
        <w:jc w:val="left"/>
        <w:rPr/>
      </w:pPr>
      <w:r>
        <w:t>交互方式</w:t>
      </w:r>
      <w:r>
        <w:rPr>
          <w:rFonts w:hint="eastAsia"/>
          <w:lang w:eastAsia="zh-CN"/>
        </w:rPr>
        <w:t>｜</w:t>
      </w:r>
      <w:r>
        <w:t>是否受GPL传染</w:t>
      </w:r>
      <w:r>
        <w:rPr>
          <w:rFonts w:hint="eastAsia"/>
          <w:lang w:eastAsia="zh-CN"/>
        </w:rPr>
        <w:t>｜</w:t>
      </w:r>
      <w:r>
        <w:t>说明</w:t>
      </w:r>
    </w:p>
    <w:p w14:paraId="A0901AA3">
      <w:pPr>
        <w:pStyle w:val="style0"/>
        <w:jc w:val="left"/>
        <w:rPr>
          <w:lang w:val="en-US"/>
        </w:rPr>
      </w:pPr>
      <w:r>
        <w:t>通过命令行参数、配置文件、socket通信交互</w:t>
      </w:r>
      <w:r>
        <w:rPr>
          <w:rFonts w:hint="eastAsia"/>
          <w:lang w:eastAsia="zh-CN"/>
        </w:rPr>
        <w:t>｜</w:t>
      </w:r>
      <w:r>
        <w:t>可独立，不受传染</w:t>
      </w:r>
      <w:r>
        <w:rPr>
          <w:rFonts w:hint="eastAsia"/>
          <w:lang w:eastAsia="zh-CN"/>
        </w:rPr>
        <w:t>｜</w:t>
      </w:r>
      <w:r>
        <w:t xml:space="preserve">双方属于“独立且可分离的程序” </w:t>
      </w:r>
    </w:p>
    <w:p w14:paraId="9D1088AE">
      <w:pPr>
        <w:pStyle w:val="style0"/>
        <w:jc w:val="left"/>
        <w:rPr/>
      </w:pPr>
      <w:r>
        <w:rPr>
          <w:lang w:val="en-US"/>
        </w:rPr>
        <w:t>通信内容包含内部数据结构（如共享内存、直接内存访问等紧密耦合方式</w:t>
      </w:r>
      <w:r>
        <w:rPr>
          <w:rFonts w:hint="eastAsia"/>
          <w:lang w:val="en-US" w:eastAsia="zh-CN"/>
        </w:rPr>
        <w:t>）｜</w:t>
      </w:r>
      <w:r>
        <w:rPr>
          <w:lang w:val="en-US"/>
        </w:rPr>
        <w:t>高风险</w:t>
      </w:r>
      <w:r>
        <w:rPr>
          <w:rFonts w:hint="eastAsia"/>
          <w:lang w:val="en-US" w:eastAsia="zh-CN"/>
        </w:rPr>
        <w:t>｜</w:t>
      </w:r>
      <w:r>
        <w:rPr>
          <w:lang w:val="en-US"/>
        </w:rPr>
        <w:t>司法实践中倾向于认定为衍生作品，具体需结合代码耦合程度综合判断，建议咨询律师</w:t>
      </w:r>
    </w:p>
    <w:p w14:paraId="25A0D0C6">
      <w:pPr>
        <w:pStyle w:val="style0"/>
        <w:jc w:val="left"/>
        <w:rPr/>
      </w:pPr>
      <w:r>
        <w:t>直接修改GPL源码或调用GPL内部函数</w:t>
      </w:r>
      <w:r>
        <w:rPr>
          <w:rFonts w:hint="eastAsia"/>
          <w:lang w:eastAsia="zh-CN"/>
        </w:rPr>
        <w:t>｜</w:t>
      </w:r>
      <w:r>
        <w:t>受传染</w:t>
      </w:r>
      <w:r>
        <w:rPr>
          <w:rFonts w:hint="eastAsia"/>
          <w:lang w:eastAsia="zh-CN"/>
        </w:rPr>
        <w:t>｜</w:t>
      </w:r>
      <w:r>
        <w:t>明确属于衍生作品</w:t>
      </w:r>
    </w:p>
    <w:p w14:paraId="FB3E6B45">
      <w:pPr>
        <w:pStyle w:val="style0"/>
        <w:jc w:val="left"/>
        <w:rPr/>
      </w:pPr>
    </w:p>
    <w:p w14:paraId="8891D8A2">
      <w:pPr>
        <w:pStyle w:val="style0"/>
        <w:jc w:val="left"/>
        <w:rPr/>
      </w:pPr>
      <w:r>
        <w:t>2.4 GPL-3.0的专利条款</w:t>
      </w:r>
    </w:p>
    <w:p w14:paraId="D605C2EE">
      <w:pPr>
        <w:pStyle w:val="style0"/>
        <w:jc w:val="left"/>
        <w:rPr/>
      </w:pPr>
    </w:p>
    <w:p w14:paraId="1D192D94">
      <w:pPr>
        <w:pStyle w:val="style0"/>
        <w:jc w:val="left"/>
        <w:rPr/>
      </w:pPr>
      <w:r>
        <w:t>GPL-3.0第11条明确规定：每个贡献者都授予用户非独占的、全球性的、无版税的专利许可。采用GPL协议的项目，贡献者自动授予项目及其用户与其贡献相关的专利使用权。</w:t>
      </w:r>
    </w:p>
    <w:p w14:paraId="052EAB86">
      <w:pPr>
        <w:pStyle w:val="style0"/>
        <w:jc w:val="left"/>
        <w:rPr/>
      </w:pPr>
    </w:p>
    <w:p w14:paraId="0F749B8D">
      <w:pPr>
        <w:pStyle w:val="style0"/>
        <w:jc w:val="left"/>
        <w:rPr/>
      </w:pPr>
      <w:r>
        <w:t>2.5 对开发者的核心建议</w:t>
      </w:r>
    </w:p>
    <w:p w14:paraId="33A8D176">
      <w:pPr>
        <w:pStyle w:val="style0"/>
        <w:jc w:val="left"/>
        <w:rPr/>
      </w:pPr>
    </w:p>
    <w:p w14:paraId="28EFA49E">
      <w:pPr>
        <w:pStyle w:val="style0"/>
        <w:jc w:val="left"/>
        <w:rPr/>
      </w:pPr>
      <w:r>
        <w:t>· 严格遵守协议条款：使用GPL代码的衍生作品必须开源</w:t>
      </w:r>
    </w:p>
    <w:p w14:paraId="3F15CD3B">
      <w:pPr>
        <w:pStyle w:val="style0"/>
        <w:jc w:val="left"/>
        <w:rPr/>
      </w:pPr>
      <w:r>
        <w:t>· 注意“传染性”边界：如果代码与GPL组件存在紧密耦合，整个作品可能受GPL约束</w:t>
      </w:r>
    </w:p>
    <w:p w14:paraId="E0E94989">
      <w:pPr>
        <w:pStyle w:val="style0"/>
        <w:jc w:val="left"/>
        <w:rPr/>
      </w:pPr>
      <w:r>
        <w:t>· 如需闭源商业使用：需获得权利人的商业授权</w:t>
      </w:r>
    </w:p>
    <w:p w14:paraId="A4D1C16C">
      <w:pPr>
        <w:pStyle w:val="style0"/>
        <w:jc w:val="left"/>
        <w:rPr>
          <w:rFonts w:hint="default"/>
          <w:lang w:val="en-US" w:eastAsia="zh-CN"/>
        </w:rPr>
      </w:pPr>
    </w:p>
    <w:p w14:paraId="C35377A4">
      <w:pPr>
        <w:pStyle w:val="style0"/>
        <w:jc w:val="left"/>
        <w:rPr>
          <w:rFonts w:hint="default"/>
          <w:lang w:val="en-US" w:eastAsia="zh-CN"/>
        </w:rPr>
      </w:pPr>
      <w:r>
        <w:rPr>
          <w:rFonts w:hint="default"/>
          <w:lang w:val="en-US" w:eastAsia="zh-CN"/>
        </w:rPr>
        <w:t>引入第三方代码前，需确认其许可证与GPL-3.0兼容：</w:t>
      </w:r>
    </w:p>
    <w:p w14:paraId="36ABA1B2">
      <w:pPr>
        <w:pStyle w:val="style0"/>
        <w:jc w:val="left"/>
        <w:rPr>
          <w:rFonts w:hint="eastAsia"/>
          <w:lang w:eastAsia="zh-CN"/>
        </w:rPr>
      </w:pPr>
    </w:p>
    <w:p w14:paraId="EBF6DC18">
      <w:pPr>
        <w:pStyle w:val="style0"/>
        <w:jc w:val="left"/>
        <w:rPr>
          <w:rFonts w:hint="default"/>
          <w:lang w:val="en-US" w:eastAsia="zh-CN"/>
        </w:rPr>
      </w:pPr>
      <w:r>
        <w:rPr>
          <w:rFonts w:hint="default"/>
          <w:lang w:val="en-US" w:eastAsia="zh-CN"/>
        </w:rPr>
        <w:t>第三方许可证</w:t>
      </w:r>
      <w:r>
        <w:rPr>
          <w:rFonts w:hint="eastAsia"/>
          <w:lang w:val="en-US" w:eastAsia="zh-CN"/>
        </w:rPr>
        <w:t>｜</w:t>
      </w:r>
      <w:r>
        <w:rPr>
          <w:rFonts w:hint="default"/>
          <w:lang w:val="en-US" w:eastAsia="zh-CN"/>
        </w:rPr>
        <w:t>与GPL-3.0兼容性</w:t>
      </w:r>
      <w:r>
        <w:rPr>
          <w:rFonts w:hint="eastAsia"/>
          <w:lang w:val="en-US" w:eastAsia="zh-CN"/>
        </w:rPr>
        <w:t>｜</w:t>
      </w:r>
      <w:r>
        <w:rPr>
          <w:rFonts w:hint="default"/>
          <w:lang w:val="en-US" w:eastAsia="zh-CN"/>
        </w:rPr>
        <w:t>说明</w:t>
      </w:r>
    </w:p>
    <w:p w14:paraId="256097D5">
      <w:pPr>
        <w:pStyle w:val="style0"/>
        <w:jc w:val="left"/>
        <w:rPr>
          <w:rFonts w:hint="default"/>
          <w:lang w:val="en-US" w:eastAsia="zh-CN"/>
        </w:rPr>
      </w:pPr>
      <w:r>
        <w:rPr>
          <w:rFonts w:hint="default"/>
          <w:lang w:val="en-US" w:eastAsia="zh-CN"/>
        </w:rPr>
        <w:t>MIT、BSD（3-clause/2-clause）</w:t>
      </w:r>
      <w:r>
        <w:rPr>
          <w:rFonts w:hint="eastAsia"/>
          <w:lang w:val="en-US" w:eastAsia="zh-CN"/>
        </w:rPr>
        <w:t>｜</w:t>
      </w:r>
      <w:r>
        <w:rPr>
          <w:rFonts w:hint="default"/>
          <w:lang w:val="en-US" w:eastAsia="zh-CN"/>
        </w:rPr>
        <w:t>兼容</w:t>
      </w:r>
      <w:r>
        <w:rPr>
          <w:rFonts w:hint="eastAsia"/>
          <w:lang w:val="en-US" w:eastAsia="zh-CN"/>
        </w:rPr>
        <w:t>｜</w:t>
      </w:r>
      <w:r>
        <w:rPr>
          <w:rFonts w:hint="default"/>
          <w:lang w:val="en-US" w:eastAsia="zh-CN"/>
        </w:rPr>
        <w:t>宽松许可证，可合入GPL项目</w:t>
      </w:r>
    </w:p>
    <w:p w14:paraId="15B9CBE5">
      <w:pPr>
        <w:pStyle w:val="style0"/>
        <w:jc w:val="left"/>
        <w:rPr>
          <w:rFonts w:hint="default"/>
          <w:lang w:val="en-US" w:eastAsia="zh-CN"/>
        </w:rPr>
      </w:pPr>
      <w:r>
        <w:rPr>
          <w:rFonts w:hint="default"/>
          <w:lang w:val="en-US" w:eastAsia="zh-CN"/>
        </w:rPr>
        <w:t>Apache-2.0</w:t>
      </w:r>
      <w:r>
        <w:rPr>
          <w:rFonts w:hint="eastAsia"/>
          <w:lang w:val="en-US" w:eastAsia="zh-CN"/>
        </w:rPr>
        <w:t>｜</w:t>
      </w:r>
      <w:r>
        <w:rPr>
          <w:rFonts w:hint="default"/>
          <w:lang w:val="en-US" w:eastAsia="zh-CN"/>
        </w:rPr>
        <w:t>兼容</w:t>
      </w:r>
      <w:r>
        <w:rPr>
          <w:rFonts w:hint="eastAsia"/>
          <w:lang w:val="en-US" w:eastAsia="zh-CN"/>
        </w:rPr>
        <w:t>｜</w:t>
      </w:r>
      <w:r>
        <w:rPr>
          <w:rFonts w:hint="default"/>
          <w:lang w:val="en-US" w:eastAsia="zh-CN"/>
        </w:rPr>
        <w:t>FSF确认与GPLv3兼容</w:t>
      </w:r>
    </w:p>
    <w:p w14:paraId="847EDBD6">
      <w:pPr>
        <w:pStyle w:val="style0"/>
        <w:jc w:val="left"/>
        <w:rPr>
          <w:rFonts w:hint="default"/>
          <w:lang w:val="en-US" w:eastAsia="zh-CN"/>
        </w:rPr>
      </w:pPr>
      <w:r>
        <w:rPr>
          <w:rFonts w:hint="default"/>
          <w:lang w:val="en-US" w:eastAsia="zh-CN"/>
        </w:rPr>
        <w:t>GPL-3.0 / GPL-3.0-or-later</w:t>
      </w:r>
      <w:r>
        <w:rPr>
          <w:rFonts w:hint="eastAsia"/>
          <w:lang w:val="en-US" w:eastAsia="zh-CN"/>
        </w:rPr>
        <w:t>｜</w:t>
      </w:r>
      <w:r>
        <w:rPr>
          <w:rFonts w:hint="default"/>
          <w:lang w:val="en-US" w:eastAsia="zh-CN"/>
        </w:rPr>
        <w:t>兼容</w:t>
      </w:r>
      <w:r>
        <w:rPr>
          <w:rFonts w:hint="eastAsia"/>
          <w:lang w:val="en-US" w:eastAsia="zh-CN"/>
        </w:rPr>
        <w:t>｜</w:t>
      </w:r>
      <w:r>
        <w:rPr>
          <w:rFonts w:hint="default"/>
          <w:lang w:val="en-US" w:eastAsia="zh-CN"/>
        </w:rPr>
        <w:t>相同许可证</w:t>
      </w:r>
    </w:p>
    <w:p w14:paraId="E82F12D8">
      <w:pPr>
        <w:pStyle w:val="style0"/>
        <w:jc w:val="left"/>
        <w:rPr>
          <w:rFonts w:hint="default"/>
          <w:lang w:val="en-US" w:eastAsia="zh-CN"/>
        </w:rPr>
      </w:pPr>
      <w:r>
        <w:rPr>
          <w:rFonts w:hint="default"/>
          <w:lang w:val="en-US" w:eastAsia="zh-CN"/>
        </w:rPr>
        <w:t>GPL-2.0-only</w:t>
      </w:r>
      <w:r>
        <w:rPr>
          <w:rFonts w:hint="eastAsia"/>
          <w:lang w:val="en-US" w:eastAsia="zh-CN"/>
        </w:rPr>
        <w:t>｜</w:t>
      </w:r>
      <w:r>
        <w:rPr>
          <w:rFonts w:hint="default"/>
          <w:lang w:val="en-US" w:eastAsia="zh-CN"/>
        </w:rPr>
        <w:t>需评估</w:t>
      </w:r>
      <w:r>
        <w:rPr>
          <w:rFonts w:hint="eastAsia"/>
          <w:lang w:val="en-US" w:eastAsia="zh-CN"/>
        </w:rPr>
        <w:t>｜</w:t>
      </w:r>
      <w:r>
        <w:rPr>
          <w:rFonts w:hint="default"/>
          <w:lang w:val="en-US" w:eastAsia="zh-CN"/>
        </w:rPr>
        <w:t>与GPLv3存在条款差异，需单独评估</w:t>
      </w:r>
    </w:p>
    <w:p w14:paraId="B21A5BAF">
      <w:pPr>
        <w:pStyle w:val="style0"/>
        <w:jc w:val="left"/>
        <w:rPr>
          <w:rFonts w:hint="default"/>
          <w:lang w:val="en-US" w:eastAsia="zh-CN"/>
        </w:rPr>
      </w:pPr>
      <w:r>
        <w:rPr>
          <w:rFonts w:hint="default"/>
          <w:lang w:val="en-US" w:eastAsia="zh-CN"/>
        </w:rPr>
        <w:t>商业/专有许可证</w:t>
      </w:r>
      <w:r>
        <w:rPr>
          <w:rFonts w:hint="eastAsia"/>
          <w:lang w:val="en-US" w:eastAsia="zh-CN"/>
        </w:rPr>
        <w:t>｜</w:t>
      </w:r>
      <w:r>
        <w:rPr>
          <w:rFonts w:hint="default"/>
          <w:lang w:val="en-US" w:eastAsia="zh-CN"/>
        </w:rPr>
        <w:t>不兼容</w:t>
      </w:r>
      <w:r>
        <w:rPr>
          <w:rFonts w:hint="eastAsia"/>
          <w:lang w:val="en-US" w:eastAsia="zh-CN"/>
        </w:rPr>
        <w:t>｜</w:t>
      </w:r>
      <w:r>
        <w:rPr>
          <w:rFonts w:hint="default"/>
          <w:lang w:val="en-US" w:eastAsia="zh-CN"/>
        </w:rPr>
        <w:t>不得合入开源版本</w:t>
      </w:r>
      <w:r>
        <w:rPr>
          <w:rFonts w:hint="eastAsia"/>
          <w:lang w:val="en-US" w:eastAsia="zh-CN"/>
        </w:rPr>
        <w:t>｜</w:t>
      </w:r>
    </w:p>
    <w:p w14:paraId="54B205C9">
      <w:pPr>
        <w:pStyle w:val="style0"/>
        <w:jc w:val="left"/>
        <w:rPr>
          <w:rFonts w:hint="eastAsia"/>
          <w:lang w:eastAsia="zh-CN"/>
        </w:rPr>
      </w:pPr>
    </w:p>
    <w:p w14:paraId="938CF7F8">
      <w:pPr>
        <w:pStyle w:val="style0"/>
        <w:jc w:val="left"/>
        <w:rPr>
          <w:rFonts w:hint="eastAsia"/>
          <w:lang w:eastAsia="zh-CN"/>
        </w:rPr>
      </w:pPr>
      <w:r>
        <w:rPr>
          <w:rFonts w:hint="default"/>
          <w:lang w:val="en-US" w:eastAsia="zh-CN"/>
        </w:rPr>
        <w:t>注意：GPL-2.0-only与GPL-3.0-or-later之间的兼容性存在争议。如果项目需要引入GPL-2.0-only组件，建议单独评估法律风险。</w:t>
      </w:r>
    </w:p>
    <w:p w14:paraId="50F0692C">
      <w:pPr>
        <w:pStyle w:val="style0"/>
        <w:jc w:val="left"/>
        <w:rPr>
          <w:rFonts w:hint="eastAsia"/>
          <w:lang w:eastAsia="zh-CN"/>
        </w:rPr>
      </w:pPr>
    </w:p>
    <w:p w14:paraId="AB1A8008">
      <w:pPr>
        <w:pStyle w:val="style0"/>
        <w:jc w:val="left"/>
        <w:rPr>
          <w:rFonts w:hint="eastAsia"/>
          <w:lang w:eastAsia="zh-CN"/>
        </w:rPr>
      </w:pPr>
      <w:r>
        <w:rPr>
          <w:rFonts w:hint="eastAsia"/>
          <w:lang w:eastAsia="zh-CN"/>
        </w:rPr>
        <w:t>2.6 为什么选用 GPL-3.0-or-later？</w:t>
      </w:r>
    </w:p>
    <w:p w14:paraId="201AD562">
      <w:pPr>
        <w:pStyle w:val="style0"/>
        <w:jc w:val="left"/>
        <w:rPr/>
      </w:pPr>
    </w:p>
    <w:p w14:paraId="2DAB9AE3">
      <w:pPr>
        <w:pStyle w:val="style0"/>
        <w:jc w:val="left"/>
        <w:rPr>
          <w:rFonts w:hint="eastAsia"/>
          <w:lang w:eastAsia="zh-CN"/>
        </w:rPr>
      </w:pPr>
      <w:r>
        <w:rPr>
          <w:rFonts w:hint="eastAsia"/>
          <w:lang w:eastAsia="zh-CN"/>
        </w:rPr>
        <w:t>本项目选用GPL-3.0-or-later（允许下游按GPLv3或任何更高版本使用），而非GPL-3.0-only（仅允许按GPLv3使用），核心考量如下：</w:t>
      </w:r>
    </w:p>
    <w:p w14:paraId="0789BDE2">
      <w:pPr>
        <w:pStyle w:val="style0"/>
        <w:jc w:val="left"/>
        <w:rPr/>
      </w:pPr>
    </w:p>
    <w:p w14:paraId="C7622E8F">
      <w:pPr>
        <w:pStyle w:val="style0"/>
        <w:jc w:val="left"/>
        <w:rPr>
          <w:rFonts w:hint="eastAsia"/>
          <w:lang w:eastAsia="zh-CN"/>
        </w:rPr>
      </w:pPr>
      <w:r>
        <w:rPr>
          <w:rFonts w:hint="eastAsia"/>
          <w:lang w:eastAsia="zh-CN"/>
        </w:rPr>
        <w:t xml:space="preserve">考量维度：说明 </w:t>
      </w:r>
    </w:p>
    <w:p w14:paraId="98703CD5">
      <w:pPr>
        <w:pStyle w:val="style0"/>
        <w:jc w:val="left"/>
        <w:rPr>
          <w:rFonts w:hint="eastAsia"/>
          <w:lang w:eastAsia="zh-CN"/>
        </w:rPr>
      </w:pPr>
      <w:r>
        <w:rPr>
          <w:rFonts w:hint="eastAsia"/>
          <w:lang w:eastAsia="zh-CN"/>
        </w:rPr>
        <w:t>优势：未来FSF发布GPLv4时，若包含必要的安全或合规修正，项目可自动适配，避免社区分裂</w:t>
      </w:r>
    </w:p>
    <w:p w14:paraId="601E2091">
      <w:pPr>
        <w:pStyle w:val="style0"/>
        <w:jc w:val="left"/>
        <w:rPr>
          <w:rFonts w:hint="eastAsia"/>
          <w:lang w:eastAsia="zh-CN"/>
        </w:rPr>
      </w:pPr>
      <w:r>
        <w:rPr>
          <w:rFonts w:hint="eastAsia"/>
          <w:lang w:eastAsia="zh-CN"/>
        </w:rPr>
        <w:t>风险：GPLv4可能新增义务（如更强的反DRM、出口管制条款），选择or-later意味着上游亦受约束</w:t>
      </w:r>
    </w:p>
    <w:p w14:paraId="264E5B3D">
      <w:pPr>
        <w:pStyle w:val="style0"/>
        <w:jc w:val="left"/>
        <w:rPr>
          <w:rFonts w:hint="eastAsia"/>
          <w:lang w:eastAsia="zh-CN"/>
        </w:rPr>
      </w:pPr>
      <w:r>
        <w:rPr>
          <w:rFonts w:hint="eastAsia"/>
          <w:lang w:eastAsia="zh-CN"/>
        </w:rPr>
        <w:t xml:space="preserve">决策理由：本项目作为基础设施型操作系统，长期可维护性高于对具体版本条款的控制偏好 </w:t>
      </w:r>
    </w:p>
    <w:p w14:paraId="9D1E9238">
      <w:pPr>
        <w:pStyle w:val="style0"/>
        <w:jc w:val="left"/>
        <w:rPr/>
      </w:pPr>
    </w:p>
    <w:p w14:paraId="2374BD6A">
      <w:pPr>
        <w:pStyle w:val="style0"/>
        <w:jc w:val="left"/>
        <w:rPr>
          <w:rFonts w:hint="eastAsia"/>
          <w:lang w:eastAsia="zh-CN"/>
        </w:rPr>
      </w:pPr>
      <w:r>
        <w:rPr>
          <w:rFonts w:hint="eastAsia"/>
          <w:lang w:eastAsia="zh-CN"/>
        </w:rPr>
        <w:t>项目最终决策：采用 GPL-3.0-or-later。此决策记录于2026年7月，后续如需更改，需征得所有已提交贡献者的同意。</w:t>
      </w:r>
    </w:p>
    <w:p w14:paraId="88CE9B4D">
      <w:pPr>
        <w:pStyle w:val="style0"/>
        <w:jc w:val="left"/>
        <w:rPr/>
      </w:pPr>
    </w:p>
    <w:p w14:paraId="AF9AD136">
      <w:pPr>
        <w:pStyle w:val="style0"/>
        <w:jc w:val="left"/>
        <w:rPr/>
      </w:pPr>
      <w:r>
        <w:t>三、专利与先用权保护</w:t>
      </w:r>
    </w:p>
    <w:p w14:paraId="4384F9C2">
      <w:pPr>
        <w:pStyle w:val="style0"/>
        <w:jc w:val="left"/>
        <w:rPr/>
      </w:pPr>
    </w:p>
    <w:p w14:paraId="2454EC28">
      <w:pPr>
        <w:pStyle w:val="style0"/>
        <w:jc w:val="left"/>
        <w:rPr/>
      </w:pPr>
      <w:r>
        <w:t>3.1 开源不等于放弃专利权</w:t>
      </w:r>
    </w:p>
    <w:p w14:paraId="256DE3D8">
      <w:pPr>
        <w:pStyle w:val="style0"/>
        <w:jc w:val="left"/>
        <w:rPr/>
      </w:pPr>
    </w:p>
    <w:p w14:paraId="53C49BFF">
      <w:pPr>
        <w:pStyle w:val="style0"/>
        <w:jc w:val="left"/>
        <w:rPr/>
      </w:pPr>
      <w:r>
        <w:t>GPL v3第11条明确包含专利授权条款。采用GPL协议的项目，贡献者自动授予项目及其用户与其贡献相关的专利使用权，这为项目构建了一道专利防御屏障。</w:t>
      </w:r>
    </w:p>
    <w:p w14:paraId="FD513E4D">
      <w:pPr>
        <w:pStyle w:val="style0"/>
        <w:jc w:val="left"/>
        <w:rPr/>
      </w:pPr>
    </w:p>
    <w:p w14:paraId="994E3AD4">
      <w:pPr>
        <w:pStyle w:val="style0"/>
        <w:jc w:val="left"/>
        <w:rPr/>
      </w:pPr>
      <w:r>
        <w:t>3.2 先用权制度</w:t>
      </w:r>
    </w:p>
    <w:p w14:paraId="2A6CAB83">
      <w:pPr>
        <w:pStyle w:val="style0"/>
        <w:jc w:val="left"/>
        <w:rPr/>
      </w:pPr>
    </w:p>
    <w:p w14:paraId="744918DF">
      <w:pPr>
        <w:pStyle w:val="style0"/>
        <w:jc w:val="left"/>
        <w:rPr/>
      </w:pPr>
      <w:r>
        <w:t>《中华人民共和国专利法》第七十五条规定：“在专利申请日前已经制造相同产品、使用相同方法或者已经作好制造、使用的必要准备，并且仅在原有范围内继续制造、使用的，不视为侵犯专利权。”先用权抗辩的成立要件：</w:t>
      </w:r>
    </w:p>
    <w:p w14:paraId="32924E85">
      <w:pPr>
        <w:pStyle w:val="style0"/>
        <w:jc w:val="left"/>
        <w:rPr/>
      </w:pPr>
      <w:r>
        <w:t>1. 技术方案相同或等同</w:t>
      </w:r>
    </w:p>
    <w:p w14:paraId="89F0F838">
      <w:pPr>
        <w:pStyle w:val="style0"/>
        <w:jc w:val="left"/>
        <w:rPr/>
      </w:pPr>
      <w:r>
        <w:t>2. 技术来源合法（独立研发、授权或转让）</w:t>
      </w:r>
    </w:p>
    <w:p w14:paraId="0E71B6D2">
      <w:pPr>
        <w:pStyle w:val="style0"/>
        <w:jc w:val="left"/>
        <w:rPr/>
      </w:pPr>
      <w:r>
        <w:t>3. 在专利申请日前已实施或做好必要准备</w:t>
      </w:r>
    </w:p>
    <w:p w14:paraId="BD0B7CD2">
      <w:pPr>
        <w:pStyle w:val="style0"/>
        <w:jc w:val="left"/>
        <w:rPr>
          <w:lang w:val="en-US"/>
        </w:rPr>
      </w:pPr>
    </w:p>
    <w:p w14:paraId="11860628">
      <w:pPr>
        <w:pStyle w:val="style0"/>
        <w:jc w:val="left"/>
        <w:rPr/>
      </w:pPr>
      <w:r>
        <w:rPr>
          <w:rFonts w:hint="eastAsia"/>
          <w:lang w:val="en-US" w:eastAsia="zh-CN"/>
        </w:rPr>
        <w:t>OS 类项目“原有范围”通常参照已有装机量级、CPU 架构与设备形态综合把握，大规模商用扩张前建议咨询律师。</w:t>
      </w:r>
    </w:p>
    <w:p w14:paraId="5596DE46">
      <w:pPr>
        <w:pStyle w:val="style0"/>
        <w:jc w:val="left"/>
        <w:rPr/>
      </w:pPr>
    </w:p>
    <w:p w14:paraId="ABBF9E9C">
      <w:pPr>
        <w:pStyle w:val="style0"/>
        <w:jc w:val="left"/>
        <w:rPr/>
      </w:pPr>
      <w:r>
        <w:t>3.3 对开发者的核心建议</w:t>
      </w:r>
    </w:p>
    <w:p w14:paraId="FEE65D38">
      <w:pPr>
        <w:pStyle w:val="style0"/>
        <w:jc w:val="left"/>
        <w:rPr/>
      </w:pPr>
    </w:p>
    <w:p w14:paraId="7142B2A8">
      <w:pPr>
        <w:pStyle w:val="style0"/>
        <w:jc w:val="left"/>
        <w:rPr/>
      </w:pPr>
      <w:r>
        <w:t>· 保留开发记录：Git提交历史、设计文档、讨论记录</w:t>
      </w:r>
    </w:p>
    <w:p w14:paraId="060C5056">
      <w:pPr>
        <w:pStyle w:val="style0"/>
        <w:jc w:val="left"/>
        <w:rPr/>
      </w:pPr>
      <w:r>
        <w:t>· 公开发布内容：代码仓库、演示视频、技术文章等都可以作为时间证据</w:t>
      </w:r>
    </w:p>
    <w:p w14:paraId="794FC6F7">
      <w:pPr>
        <w:pStyle w:val="style0"/>
        <w:jc w:val="left"/>
        <w:rPr/>
      </w:pPr>
      <w:r>
        <w:t>· 注意：公开发布本身也会使后续专利申请面临“丧失新颖性”的风险</w:t>
      </w:r>
    </w:p>
    <w:p w14:paraId="FB2DCB97">
      <w:pPr>
        <w:pStyle w:val="style0"/>
        <w:jc w:val="left"/>
        <w:rPr/>
      </w:pPr>
    </w:p>
    <w:p w14:paraId="D5E3631A">
      <w:pPr>
        <w:pStyle w:val="style0"/>
        <w:jc w:val="left"/>
        <w:rPr/>
      </w:pPr>
      <w:r>
        <w:t>四、商标保护</w:t>
      </w:r>
    </w:p>
    <w:p w14:paraId="CD0C571D">
      <w:pPr>
        <w:pStyle w:val="style0"/>
        <w:jc w:val="left"/>
        <w:rPr/>
      </w:pPr>
    </w:p>
    <w:p w14:paraId="F26D8219">
      <w:pPr>
        <w:pStyle w:val="style0"/>
        <w:jc w:val="left"/>
        <w:rPr/>
      </w:pPr>
      <w:r>
        <w:t>4.1 项目名称的保护</w:t>
      </w:r>
    </w:p>
    <w:p w14:paraId="9D1372C9">
      <w:pPr>
        <w:pStyle w:val="style0"/>
        <w:jc w:val="left"/>
        <w:rPr/>
      </w:pPr>
    </w:p>
    <w:p w14:paraId="0FA7594F">
      <w:pPr>
        <w:pStyle w:val="style0"/>
        <w:jc w:val="left"/>
        <w:rPr/>
      </w:pPr>
      <w:r>
        <w:t>当前项目名称为“新型操作系统”，该名称属于描述性名称，商标法对描述性标志的保护力度较弱。建议在适当时机为项目取一个独特的、具有显著性的正式名称，并在项目正式推向市场时注册商标。</w:t>
      </w:r>
    </w:p>
    <w:p w14:paraId="47F83AB1">
      <w:pPr>
        <w:pStyle w:val="style0"/>
        <w:jc w:val="left"/>
        <w:rPr/>
      </w:pPr>
    </w:p>
    <w:p w14:paraId="87A2C6B3">
      <w:pPr>
        <w:pStyle w:val="style0"/>
        <w:jc w:val="left"/>
        <w:rPr/>
      </w:pPr>
      <w:r>
        <w:t>改名方向：</w:t>
      </w:r>
    </w:p>
    <w:p w14:paraId="55FAD6F6">
      <w:pPr>
        <w:pStyle w:val="style0"/>
        <w:jc w:val="left"/>
        <w:rPr/>
      </w:pPr>
      <w:r>
        <w:t>- 自造词：创造一个新词，不与任何现有产品重名</w:t>
      </w:r>
    </w:p>
    <w:p w14:paraId="939507F9">
      <w:pPr>
        <w:pStyle w:val="style0"/>
        <w:jc w:val="left"/>
        <w:rPr/>
      </w:pPr>
      <w:r>
        <w:t>- 避免纯描述性词语：“新型”“民用”“下一代”“操作系统”</w:t>
      </w:r>
    </w:p>
    <w:p w14:paraId="663E43C6">
      <w:pPr>
        <w:pStyle w:val="style0"/>
        <w:jc w:val="left"/>
        <w:rPr/>
      </w:pPr>
    </w:p>
    <w:p w14:paraId="92C2BF3E">
      <w:pPr>
        <w:pStyle w:val="style0"/>
        <w:jc w:val="left"/>
        <w:rPr/>
      </w:pPr>
      <w:r>
        <w:t>操作建议：</w:t>
      </w:r>
    </w:p>
    <w:p w14:paraId="F1D66D58">
      <w:pPr>
        <w:pStyle w:val="style0"/>
        <w:jc w:val="left"/>
        <w:rPr/>
      </w:pPr>
      <w:r>
        <w:t>1. 在项目进入 0.x / 1.0 版本前，完成名称检索（国家知识产权局商标数据库 + GitHub重名检查）</w:t>
      </w:r>
    </w:p>
    <w:p w14:paraId="896D44B3">
      <w:pPr>
        <w:pStyle w:val="style0"/>
        <w:jc w:val="left"/>
        <w:rPr/>
      </w:pPr>
      <w:r>
        <w:t>2. 确定正式名称后，统一替换所有源文件头部的版权声明、README、文档中的项目名称</w:t>
      </w:r>
    </w:p>
    <w:p w14:paraId="D83A6901">
      <w:pPr>
        <w:pStyle w:val="style0"/>
        <w:jc w:val="left"/>
        <w:rPr/>
      </w:pPr>
      <w:r>
        <w:t>3. 如项目正式推向市场，考虑注册商标</w:t>
      </w:r>
    </w:p>
    <w:p w14:paraId="6828E817">
      <w:pPr>
        <w:pStyle w:val="style0"/>
        <w:jc w:val="left"/>
        <w:rPr/>
      </w:pPr>
    </w:p>
    <w:p w14:paraId="CA4E23CD">
      <w:pPr>
        <w:pStyle w:val="style0"/>
        <w:jc w:val="left"/>
        <w:rPr/>
      </w:pPr>
      <w:r>
        <w:t>4.2 当前保护措施</w:t>
      </w:r>
    </w:p>
    <w:p w14:paraId="1ADDBB8A">
      <w:pPr>
        <w:pStyle w:val="style0"/>
        <w:jc w:val="left"/>
        <w:rPr/>
      </w:pPr>
    </w:p>
    <w:p w14:paraId="E23B7A5F">
      <w:pPr>
        <w:pStyle w:val="style0"/>
        <w:jc w:val="left"/>
        <w:rPr/>
      </w:pPr>
      <w:r>
        <w:t>· 在README和网站中持续使用统一的项目名称和标识</w:t>
      </w:r>
    </w:p>
    <w:p w14:paraId="BDA4E352">
      <w:pPr>
        <w:pStyle w:val="style0"/>
        <w:jc w:val="left"/>
        <w:rPr/>
      </w:pPr>
      <w:r>
        <w:t>· 通过持续使用积累项目名称的“第二含义”</w:t>
      </w:r>
    </w:p>
    <w:p w14:paraId="6F16510E">
      <w:pPr>
        <w:pStyle w:val="style0"/>
        <w:jc w:val="left"/>
        <w:rPr/>
      </w:pPr>
      <w:r>
        <w:t xml:space="preserve">· 保留所有公开发布记录作为使用证据五、合规行动清单操作 </w:t>
      </w:r>
    </w:p>
    <w:p w14:paraId="9B7F5EE6">
      <w:pPr>
        <w:pStyle w:val="style0"/>
        <w:jc w:val="left"/>
        <w:rPr/>
      </w:pPr>
    </w:p>
    <w:p w14:paraId="47F58E36">
      <w:pPr>
        <w:pStyle w:val="style0"/>
        <w:jc w:val="left"/>
        <w:rPr/>
      </w:pPr>
      <w:r>
        <w:t>原因:</w:t>
      </w:r>
    </w:p>
    <w:p w14:paraId="70B3733B">
      <w:pPr>
        <w:pStyle w:val="style0"/>
        <w:jc w:val="left"/>
        <w:rPr/>
      </w:pPr>
      <w:r>
        <w:t>每个源文件头部添加版权声明：明确权利归属，避免“无主代码”</w:t>
      </w:r>
    </w:p>
    <w:p w14:paraId="F96F032F">
      <w:pPr>
        <w:pStyle w:val="style0"/>
        <w:jc w:val="left"/>
        <w:rPr/>
      </w:pPr>
      <w:r>
        <w:t xml:space="preserve">使用代码时保留原始版权信息：尊重原作者的署名权 </w:t>
      </w:r>
    </w:p>
    <w:p w14:paraId="98878DB3">
      <w:pPr>
        <w:pStyle w:val="style0"/>
        <w:jc w:val="left"/>
        <w:rPr/>
      </w:pPr>
      <w:r>
        <w:t>分发代码时附带完整LICENSE文件：确保接收方知道授权条件</w:t>
      </w:r>
    </w:p>
    <w:p w14:paraId="FDDB825E">
      <w:pPr>
        <w:pStyle w:val="style0"/>
        <w:jc w:val="left"/>
        <w:rPr/>
      </w:pPr>
      <w:r>
        <w:t>如果使用了GPL代码，衍生作品同样开源：遵守GPL的“传染性”规则</w:t>
      </w:r>
    </w:p>
    <w:p w14:paraId="7D87D062">
      <w:pPr>
        <w:pStyle w:val="style0"/>
        <w:jc w:val="left"/>
        <w:rPr/>
      </w:pPr>
      <w:r>
        <w:t>向项目提交代码前，了解贡献者授权条款：避免后续权利纠纷</w:t>
      </w:r>
    </w:p>
    <w:p w14:paraId="1D6D76E6">
      <w:pPr>
        <w:pStyle w:val="style0"/>
        <w:jc w:val="left"/>
        <w:rPr/>
      </w:pPr>
      <w:r>
        <w:t>保留开发过程中的所有记录：作为权利归属和时间证据</w:t>
      </w:r>
    </w:p>
    <w:p w14:paraId="8444431A">
      <w:pPr>
        <w:pStyle w:val="style0"/>
        <w:jc w:val="left"/>
        <w:rPr/>
      </w:pPr>
    </w:p>
    <w:p w14:paraId="0007CA52">
      <w:pPr>
        <w:pStyle w:val="style0"/>
        <w:jc w:val="left"/>
        <w:rPr/>
      </w:pPr>
      <w:r>
        <w:t>六、贡献者须知</w:t>
      </w:r>
    </w:p>
    <w:p w14:paraId="00E507AC">
      <w:pPr>
        <w:pStyle w:val="style0"/>
        <w:jc w:val="left"/>
        <w:rPr>
          <w:lang w:val="en-US"/>
        </w:rPr>
      </w:pPr>
    </w:p>
    <w:p w14:paraId="046FBF7B">
      <w:pPr>
        <w:pStyle w:val="style0"/>
        <w:jc w:val="left"/>
        <w:rPr>
          <w:lang w:val="en-US"/>
        </w:rPr>
      </w:pPr>
      <w:r>
        <w:rPr>
          <w:lang w:val="en-US"/>
        </w:rPr>
        <w:t>6.1 贡献者身份确认（DCO / CLA）</w:t>
      </w:r>
    </w:p>
    <w:p w14:paraId="2A85B614">
      <w:pPr>
        <w:pStyle w:val="style0"/>
        <w:jc w:val="left"/>
        <w:rPr/>
      </w:pPr>
    </w:p>
    <w:p w14:paraId="59D5C627">
      <w:pPr>
        <w:pStyle w:val="style0"/>
        <w:jc w:val="left"/>
        <w:rPr>
          <w:lang w:val="en-US"/>
        </w:rPr>
      </w:pPr>
      <w:r>
        <w:rPr>
          <w:lang w:val="en-US"/>
        </w:rPr>
        <w:t>本项目采用DCO（Developer Certificate of Origin）机制 确认贡献者身份与授权：</w:t>
      </w:r>
    </w:p>
    <w:p w14:paraId="47BC455F">
      <w:pPr>
        <w:pStyle w:val="style0"/>
        <w:jc w:val="left"/>
        <w:rPr/>
      </w:pPr>
    </w:p>
    <w:p w14:paraId="0EC4F9D7">
      <w:pPr>
        <w:pStyle w:val="style0"/>
        <w:jc w:val="left"/>
        <w:rPr>
          <w:lang w:val="en-US"/>
        </w:rPr>
      </w:pPr>
      <w:r>
        <w:rPr>
          <w:lang w:val="en-US"/>
        </w:rPr>
        <w:t>- 每次提交必须包含Signed-off-by: 行，格式为：</w:t>
      </w:r>
    </w:p>
    <w:p w14:paraId="1CA01FDB">
      <w:pPr>
        <w:pStyle w:val="style0"/>
        <w:jc w:val="left"/>
        <w:rPr>
          <w:lang w:val="en-US"/>
        </w:rPr>
      </w:pPr>
      <w:r>
        <w:rPr>
          <w:lang w:val="en-US"/>
        </w:rPr>
        <w:t xml:space="preserve">  Signed-off-by: Your Name &lt;your.email@example.com&gt;</w:t>
      </w:r>
    </w:p>
    <w:p w14:paraId="C1EA2B92">
      <w:pPr>
        <w:pStyle w:val="style0"/>
        <w:jc w:val="left"/>
        <w:rPr>
          <w:lang w:val="en-US"/>
        </w:rPr>
      </w:pPr>
      <w:r>
        <w:rPr>
          <w:lang w:val="en-US"/>
        </w:rPr>
        <w:t>- 签署DCO即表示你确认：</w:t>
      </w:r>
    </w:p>
    <w:p w14:paraId="225CA4FC">
      <w:pPr>
        <w:pStyle w:val="style0"/>
        <w:jc w:val="left"/>
        <w:rPr>
          <w:lang w:val="en-US"/>
        </w:rPr>
      </w:pPr>
      <w:r>
        <w:rPr>
          <w:lang w:val="en-US"/>
        </w:rPr>
        <w:t xml:space="preserve">  1. 你拥有提交该代码的合法权利</w:t>
      </w:r>
    </w:p>
    <w:p w14:paraId="7D791904">
      <w:pPr>
        <w:pStyle w:val="style0"/>
        <w:jc w:val="left"/>
        <w:rPr>
          <w:lang w:val="en-US"/>
        </w:rPr>
      </w:pPr>
      <w:r>
        <w:rPr>
          <w:lang w:val="en-US"/>
        </w:rPr>
        <w:t xml:space="preserve">  2. 你同意将其按 GPL-3.0-or-later 授权</w:t>
      </w:r>
    </w:p>
    <w:p w14:paraId="EC4D44E3">
      <w:pPr>
        <w:pStyle w:val="style0"/>
        <w:jc w:val="left"/>
        <w:rPr>
          <w:lang w:val="en-US"/>
        </w:rPr>
      </w:pPr>
      <w:r>
        <w:rPr>
          <w:lang w:val="en-US"/>
        </w:rPr>
        <w:t xml:space="preserve">  3. 你了解该代码将被公开分发</w:t>
      </w:r>
    </w:p>
    <w:p w14:paraId="BA92EF42">
      <w:pPr>
        <w:pStyle w:val="style0"/>
        <w:jc w:val="left"/>
        <w:rPr/>
      </w:pPr>
    </w:p>
    <w:p w14:paraId="48E95750">
      <w:pPr>
        <w:pStyle w:val="style0"/>
        <w:jc w:val="left"/>
        <w:rPr>
          <w:lang w:val="en-US"/>
        </w:rPr>
      </w:pPr>
      <w:r>
        <w:rPr>
          <w:lang w:val="en-US"/>
        </w:rPr>
        <w:t>DCO的完整文本见：https://developercertificate.org/</w:t>
      </w:r>
    </w:p>
    <w:p w14:paraId="4C3BB1BB">
      <w:pPr>
        <w:pStyle w:val="style0"/>
        <w:jc w:val="left"/>
        <w:rPr/>
      </w:pPr>
    </w:p>
    <w:p w14:paraId="2914DD26">
      <w:pPr>
        <w:pStyle w:val="style0"/>
        <w:jc w:val="left"/>
        <w:rPr/>
      </w:pPr>
      <w:r>
        <w:rPr>
          <w:lang w:val="en-US"/>
        </w:rPr>
        <w:t>&gt; 注：当前阶段采用轻量级DCO机制。若项目未来进入企业级贡献阶段，将考虑引入正式的CLA（Contributor License Agreement）。</w:t>
      </w:r>
    </w:p>
    <w:p w14:paraId="BB562003">
      <w:pPr>
        <w:pStyle w:val="style0"/>
        <w:jc w:val="left"/>
        <w:rPr/>
      </w:pPr>
    </w:p>
    <w:p w14:paraId="3C019880">
      <w:pPr>
        <w:pStyle w:val="style0"/>
        <w:jc w:val="left"/>
        <w:rPr/>
      </w:pPr>
      <w:r>
        <w:t>当你向本项目提交代码时：</w:t>
      </w:r>
    </w:p>
    <w:p w14:paraId="6F12C670">
      <w:pPr>
        <w:pStyle w:val="style0"/>
        <w:jc w:val="left"/>
        <w:rPr/>
      </w:pPr>
    </w:p>
    <w:p w14:paraId="1882FE80">
      <w:pPr>
        <w:pStyle w:val="style0"/>
        <w:jc w:val="left"/>
        <w:rPr/>
      </w:pPr>
      <w:r>
        <w:t>· 你的贡献将按照GPL-3.0许可证被纳入项目分发</w:t>
      </w:r>
    </w:p>
    <w:p w14:paraId="E08C8D99">
      <w:pPr>
        <w:pStyle w:val="style0"/>
        <w:jc w:val="left"/>
        <w:rPr/>
      </w:pPr>
      <w:r>
        <w:t xml:space="preserve">· </w:t>
      </w:r>
      <w:r>
        <w:rPr>
          <w:rFonts w:hint="eastAsia"/>
          <w:lang w:eastAsia="zh-CN"/>
        </w:rPr>
        <w:t>签署 DCO（Signed-off-by:）即代表你确认上述授权安排。建议在首次提交前阅读完整的 CONTRIBUTING.md 文件</w:t>
      </w:r>
    </w:p>
    <w:p w14:paraId="EA92E13A">
      <w:pPr>
        <w:pStyle w:val="style0"/>
        <w:jc w:val="left"/>
        <w:rPr/>
      </w:pPr>
      <w:r>
        <w:t>· 你保留你对所提交代码的著作权</w:t>
      </w:r>
    </w:p>
    <w:p w14:paraId="2FA9890D">
      <w:pPr>
        <w:pStyle w:val="style0"/>
        <w:jc w:val="left"/>
        <w:rPr/>
      </w:pPr>
      <w:r>
        <w:t>· 你授予本项目及其用户非独占的、全球性的、无版税的专利许可建议在首次提交前阅读完整的 CONTRIBUTING.md 文件。</w:t>
      </w:r>
    </w:p>
    <w:p w14:paraId="22B87A34">
      <w:pPr>
        <w:pStyle w:val="style0"/>
        <w:jc w:val="left"/>
        <w:rPr/>
      </w:pPr>
    </w:p>
    <w:p w14:paraId="E5758402">
      <w:pPr>
        <w:pStyle w:val="style0"/>
        <w:jc w:val="left"/>
        <w:rPr/>
      </w:pPr>
      <w:r>
        <w:t>七、常见法律术语</w:t>
      </w:r>
    </w:p>
    <w:p w14:paraId="0AED4784">
      <w:pPr>
        <w:pStyle w:val="style0"/>
        <w:jc w:val="left"/>
        <w:rPr/>
      </w:pPr>
    </w:p>
    <w:p w14:paraId="56F34D55">
      <w:pPr>
        <w:pStyle w:val="style0"/>
        <w:jc w:val="left"/>
        <w:rPr/>
      </w:pPr>
      <w:r>
        <w:t>通俗解释术语与通俗理解</w:t>
      </w:r>
    </w:p>
    <w:p w14:paraId="72CC55D9">
      <w:pPr>
        <w:pStyle w:val="style0"/>
        <w:jc w:val="left"/>
        <w:rPr/>
      </w:pPr>
      <w:r>
        <w:t>附解除条件的合同：如果条件达成（如违反协议），许可自动失效，不用对方来起诉先用权抗辩 我先做的，你后来才申请专利，我有权继续做</w:t>
      </w:r>
    </w:p>
    <w:p w14:paraId="CEE1772D">
      <w:pPr>
        <w:pStyle w:val="style0"/>
        <w:jc w:val="left"/>
        <w:rPr/>
      </w:pPr>
      <w:r>
        <w:t>第二含义：本来普通的名字，因为用久了大家就认它了传染性（GPL） 用了GPL代码，你的代码也得开源专利</w:t>
      </w:r>
    </w:p>
    <w:p w14:paraId="E35B80D0">
      <w:pPr>
        <w:pStyle w:val="style0"/>
        <w:jc w:val="left"/>
        <w:rPr/>
      </w:pPr>
    </w:p>
    <w:p w14:paraId="8EE9EC32">
      <w:pPr>
        <w:pStyle w:val="style0"/>
        <w:jc w:val="left"/>
        <w:rPr/>
      </w:pPr>
      <w:r>
        <w:t xml:space="preserve">八、核心法律依据索引依据 </w:t>
      </w:r>
    </w:p>
    <w:p w14:paraId="A8422999">
      <w:pPr>
        <w:pStyle w:val="style0"/>
        <w:jc w:val="left"/>
        <w:rPr/>
      </w:pPr>
    </w:p>
    <w:p w14:paraId="53ACE279">
      <w:pPr>
        <w:pStyle w:val="style0"/>
        <w:jc w:val="left"/>
        <w:rPr>
          <w:lang w:val="en-US"/>
        </w:rPr>
      </w:pPr>
      <w:r>
        <w:rPr>
          <w:lang w:val="en-US"/>
        </w:rPr>
        <w:t>《计算机软件保护条例》第十四条</w:t>
      </w:r>
      <w:r>
        <w:rPr>
          <w:rFonts w:hint="eastAsia"/>
          <w:lang w:val="en-US" w:eastAsia="zh-CN"/>
        </w:rPr>
        <w:t>：</w:t>
      </w:r>
      <w:r>
        <w:rPr>
          <w:lang w:val="en-US"/>
        </w:rPr>
        <w:t>软件著作权自开发完成之日起自动产生</w:t>
      </w:r>
    </w:p>
    <w:p w14:paraId="F579120B">
      <w:pPr>
        <w:pStyle w:val="style0"/>
        <w:jc w:val="left"/>
        <w:rPr>
          <w:lang w:val="en-US"/>
        </w:rPr>
      </w:pPr>
      <w:r>
        <w:rPr>
          <w:lang w:val="en-US"/>
        </w:rPr>
        <w:t>《专利法》第七十五条</w:t>
      </w:r>
      <w:r>
        <w:rPr>
          <w:rFonts w:hint="eastAsia"/>
          <w:lang w:val="en-US" w:eastAsia="zh-CN"/>
        </w:rPr>
        <w:t>：</w:t>
      </w:r>
      <w:r>
        <w:rPr>
          <w:lang w:val="en-US"/>
        </w:rPr>
        <w:t>先用权抗辩</w:t>
      </w:r>
    </w:p>
    <w:p w14:paraId="27590579">
      <w:pPr>
        <w:pStyle w:val="style0"/>
        <w:jc w:val="left"/>
        <w:rPr>
          <w:lang w:val="en-US"/>
        </w:rPr>
      </w:pPr>
      <w:r>
        <w:rPr>
          <w:lang w:val="en-US"/>
        </w:rPr>
        <w:t>《著作权法》</w:t>
      </w:r>
      <w:r>
        <w:rPr>
          <w:rFonts w:hint="eastAsia"/>
          <w:lang w:val="en-US" w:eastAsia="zh-CN"/>
        </w:rPr>
        <w:t>：</w:t>
      </w:r>
      <w:r>
        <w:rPr>
          <w:lang w:val="en-US"/>
        </w:rPr>
        <w:t>计算机软件作为作品受著作权法保护</w:t>
      </w:r>
    </w:p>
    <w:p w14:paraId="3025DC1F">
      <w:pPr>
        <w:pStyle w:val="style0"/>
        <w:jc w:val="left"/>
        <w:rPr>
          <w:lang w:val="en-US"/>
        </w:rPr>
      </w:pPr>
      <w:r>
        <w:rPr>
          <w:lang w:val="en-US"/>
        </w:rPr>
        <w:t>GPL v3第11条</w:t>
      </w:r>
      <w:r>
        <w:rPr>
          <w:rFonts w:hint="eastAsia"/>
          <w:lang w:val="en-US" w:eastAsia="zh-CN"/>
        </w:rPr>
        <w:t>：</w:t>
      </w:r>
      <w:r>
        <w:rPr>
          <w:lang w:val="en-US"/>
        </w:rPr>
        <w:t>专利授权条款</w:t>
      </w:r>
    </w:p>
    <w:p w14:paraId="BA550AF4">
      <w:pPr>
        <w:pStyle w:val="style0"/>
        <w:jc w:val="left"/>
        <w:rPr>
          <w:lang w:val="en-US"/>
        </w:rPr>
      </w:pPr>
      <w:r>
        <w:rPr>
          <w:lang w:val="en-US"/>
        </w:rPr>
        <w:t>（2021）最高法知民终51号</w:t>
      </w:r>
      <w:r>
        <w:rPr>
          <w:rFonts w:hint="eastAsia"/>
          <w:lang w:val="en-US" w:eastAsia="zh-CN"/>
        </w:rPr>
        <w:t>：</w:t>
      </w:r>
      <w:r>
        <w:rPr>
          <w:lang w:val="en-US"/>
        </w:rPr>
        <w:t>开源义务与著作权独立性（GPLv2语境）</w:t>
      </w:r>
    </w:p>
    <w:p w14:paraId="FCE2F93C">
      <w:pPr>
        <w:pStyle w:val="style0"/>
        <w:jc w:val="left"/>
        <w:rPr>
          <w:lang w:val="en-US"/>
        </w:rPr>
      </w:pPr>
      <w:r>
        <w:rPr>
          <w:lang w:val="en-US"/>
        </w:rPr>
        <w:t>罗盒公司诉玩友公司案</w:t>
      </w:r>
      <w:r>
        <w:rPr>
          <w:rFonts w:hint="eastAsia"/>
          <w:lang w:val="en-US" w:eastAsia="zh-CN"/>
        </w:rPr>
        <w:t>：</w:t>
      </w:r>
      <w:r>
        <w:rPr>
          <w:lang w:val="en-US"/>
        </w:rPr>
        <w:t>GPL v3为附解除条件的著作权合同</w:t>
      </w:r>
    </w:p>
    <w:p w14:paraId="1F643FC1">
      <w:pPr>
        <w:pStyle w:val="style0"/>
        <w:jc w:val="left"/>
        <w:rPr/>
      </w:pPr>
      <w:r>
        <w:rPr>
          <w:lang w:val="en-US"/>
        </w:rPr>
        <w:t>（2021）最高法知民终51号一审（苏州中院）</w:t>
      </w:r>
      <w:r>
        <w:rPr>
          <w:rFonts w:hint="eastAsia"/>
          <w:lang w:val="en-US" w:eastAsia="zh-CN"/>
        </w:rPr>
        <w:t>：</w:t>
      </w:r>
      <w:r>
        <w:rPr>
          <w:lang w:val="en-US"/>
        </w:rPr>
        <w:t>二次开发独立著作权认定（独立且可分离程序标准）</w:t>
      </w:r>
    </w:p>
    <w:p w14:paraId="59805E74">
      <w:pPr>
        <w:pStyle w:val="style0"/>
        <w:jc w:val="left"/>
        <w:rPr/>
      </w:pPr>
    </w:p>
    <w:p w14:paraId="7ED5460D">
      <w:pPr>
        <w:pStyle w:val="style0"/>
        <w:jc w:val="left"/>
        <w:rPr/>
      </w:pPr>
      <w:r>
        <w:t>最后一句</w:t>
      </w:r>
    </w:p>
    <w:p w14:paraId="18C153D3">
      <w:pPr>
        <w:pStyle w:val="style0"/>
        <w:jc w:val="left"/>
        <w:rPr/>
      </w:pPr>
    </w:p>
    <w:p w14:paraId="EE5CC33B">
      <w:pPr>
        <w:pStyle w:val="style0"/>
        <w:jc w:val="left"/>
        <w:rPr/>
      </w:pPr>
      <w:r>
        <w:t>这份文档是对开发者的法律边界指引，不是限制。开源社区的繁荣依赖规则和信任。你了解规则，就能在规则内自由创造。如果你有进一步的问题，欢迎通过QQ频道或GitHub Issues与项目团队沟通。</w:t>
      </w:r>
    </w:p>
    <w:p w14:paraId="6C3E696C">
      <w:pPr>
        <w:pStyle w:val="style0"/>
        <w:jc w:val="left"/>
        <w:rPr>
          <w:lang w:val="en-US"/>
        </w:rPr>
      </w:pPr>
    </w:p>
    <w:p w14:paraId="309F0117">
      <w:pPr>
        <w:pStyle w:val="style0"/>
        <w:jc w:val="left"/>
        <w:rPr>
          <w:lang w:val="en-US"/>
        </w:rPr>
      </w:pPr>
      <w:r>
        <w:rPr>
          <w:lang w:val="en-US"/>
        </w:rPr>
        <w:t>&gt; 说明：起始年为项目首次公开发布年份，结束年为当前年份。每年滚动更新结束年。如果项目中断一年以上未发布新版本，结束年可停在上一个发布年份。</w:t>
      </w:r>
    </w:p>
    <w:p w14:paraId="DC2691A7">
      <w:pPr>
        <w:pStyle w:val="style0"/>
        <w:jc w:val="left"/>
        <w:rPr/>
      </w:pPr>
    </w:p>
    <w:p w14:paraId="1E0AD5C5">
      <w:pPr>
        <w:pStyle w:val="style0"/>
        <w:jc w:val="left"/>
        <w:rPr/>
      </w:pPr>
      <w:r>
        <w:rPr>
          <w:rStyle w:val="style4100"/>
        </w:rPr>
        <w:t>©</w:t>
      </w:r>
      <w:r>
        <w:t xml:space="preserve"> 2026-2027 新型操作系统开发者团队 · GPL-3.0-or-later</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altName w:val="微软雅黑"/>
    <w:panose1 w:val="020b0503020000020204"/>
    <w:charset w:val="86"/>
    <w:family w:val="auto"/>
    <w:pitch w:val="default"/>
    <w:sig w:usb0="80000287" w:usb1="2ACF3C50" w:usb2="00000016" w:usb3="00000000" w:csb0="0004001F" w:csb1="00000000"/>
  </w:font>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Segoe UI Emoji">
    <w:altName w:val="Noto Color Emoji"/>
    <w:panose1 w:val="020b0502040000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0000001"/>
    <w:lvl w:ilvl="0">
      <w:start w:val="1"/>
      <w:numFmt w:val="decimal"/>
      <w:pStyle w:val="style4102"/>
      <w:suff w:val="space"/>
      <w:lvlText w:val="%1 "/>
      <w:lvlJc w:val="right"/>
      <w:pPr/>
      <w:rPr>
        <w:rFonts w:ascii="微软雅黑" w:cs="微软雅黑" w:eastAsia="微软雅黑" w:hAnsi="微软雅黑"/>
        <w:color w:val="c0c6cf"/>
        <w:sz w:val="16"/>
      </w:rPr>
    </w:lvl>
  </w:abstractNum>
  <w:abstractNum w:abstractNumId="1">
    <w:nsid w:val="00000001"/>
    <w:multiLevelType w:val="multilevel"/>
    <w:tmpl w:val="20000002"/>
    <w:lvl w:ilvl="0">
      <w:start w:val="1"/>
      <w:numFmt w:val="bullet"/>
      <w:lvlText w:val=""/>
      <w:lvlJc w:val="left"/>
      <w:pPr>
        <w:ind w:left="420" w:hanging="420"/>
      </w:pPr>
      <w:rPr>
        <w:rFonts w:ascii="Wingdings" w:cs="Wingdings" w:eastAsia="Wingdings" w:hAnsi="Wingdings"/>
      </w:rPr>
    </w:lvl>
    <w:lvl w:ilvl="1">
      <w:start w:val="1"/>
      <w:numFmt w:val="bullet"/>
      <w:lvlText w:val="¢"/>
      <w:lvlJc w:val="left"/>
      <w:pPr>
        <w:ind w:left="840" w:hanging="420"/>
      </w:pPr>
      <w:rPr>
        <w:rFonts w:ascii="Wingdings" w:cs="Wingdings" w:eastAsia="Wingdings" w:hAnsi="Wingdings"/>
      </w:rPr>
    </w:lvl>
    <w:lvl w:ilvl="2">
      <w:start w:val="1"/>
      <w:numFmt w:val="bullet"/>
      <w:lvlText w:val=""/>
      <w:lvlJc w:val="left"/>
      <w:pPr>
        <w:ind w:left="1260" w:hanging="420"/>
      </w:pPr>
      <w:rPr>
        <w:rFonts w:ascii="Wingdings" w:cs="Wingdings" w:eastAsia="Wingdings" w:hAnsi="Wingdings"/>
      </w:rPr>
    </w:lvl>
    <w:lvl w:ilvl="3">
      <w:start w:val="1"/>
      <w:numFmt w:val="bullet"/>
      <w:lvlText w:val=""/>
      <w:lvlJc w:val="left"/>
      <w:pPr>
        <w:ind w:left="1680" w:hanging="420"/>
      </w:pPr>
      <w:rPr>
        <w:rFonts w:ascii="Wingdings" w:cs="Wingdings" w:eastAsia="Wingdings" w:hAnsi="Wingdings"/>
      </w:rPr>
    </w:lvl>
    <w:lvl w:ilvl="4">
      <w:start w:val="1"/>
      <w:numFmt w:val="bullet"/>
      <w:lvlText w:val="¢"/>
      <w:lvlJc w:val="left"/>
      <w:pPr>
        <w:ind w:left="2100" w:hanging="420"/>
      </w:pPr>
      <w:rPr>
        <w:rFonts w:ascii="Wingdings" w:cs="Wingdings" w:eastAsia="Wingdings" w:hAnsi="Wingdings"/>
      </w:rPr>
    </w:lvl>
    <w:lvl w:ilvl="5">
      <w:start w:val="1"/>
      <w:numFmt w:val="bullet"/>
      <w:lvlText w:val=""/>
      <w:lvlJc w:val="left"/>
      <w:pPr>
        <w:ind w:left="2520" w:hanging="420"/>
      </w:pPr>
      <w:rPr>
        <w:rFonts w:ascii="Wingdings" w:cs="Wingdings" w:eastAsia="Wingdings" w:hAnsi="Wingdings"/>
      </w:rPr>
    </w:lvl>
    <w:lvl w:ilvl="6">
      <w:start w:val="1"/>
      <w:numFmt w:val="bullet"/>
      <w:lvlText w:val=""/>
      <w:lvlJc w:val="left"/>
      <w:pPr>
        <w:ind w:left="2940" w:hanging="420"/>
      </w:pPr>
      <w:rPr>
        <w:rFonts w:ascii="Wingdings" w:cs="Wingdings" w:eastAsia="Wingdings" w:hAnsi="Wingdings"/>
      </w:rPr>
    </w:lvl>
    <w:lvl w:ilvl="7">
      <w:start w:val="1"/>
      <w:numFmt w:val="bullet"/>
      <w:lvlText w:val="¢"/>
      <w:lvlJc w:val="left"/>
      <w:pPr>
        <w:ind w:left="3360" w:hanging="420"/>
      </w:pPr>
      <w:rPr>
        <w:rFonts w:ascii="Wingdings" w:cs="Wingdings" w:eastAsia="Wingdings" w:hAnsi="Wingdings"/>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uiPriority w:val="0"/>
    <w:pPr>
      <w:textAlignment w:val="baseline"/>
    </w:pPr>
    <w:rPr>
      <w:rFonts w:ascii="微软雅黑" w:cs="微软雅黑" w:eastAsia="微软雅黑" w:hAnsi="微软雅黑"/>
      <w:color w:val="080f17"/>
      <w:sz w:val="22"/>
    </w:rPr>
  </w:style>
  <w:style w:type="paragraph" w:customStyle="1" w:styleId="style4097">
    <w:name w:val="MainTitle"/>
    <w:basedOn w:val="style0"/>
    <w:next w:val="style4097"/>
    <w:qFormat/>
    <w:uiPriority w:val="0"/>
    <w:pPr>
      <w:pBdr>
        <w:bottom w:val="single" w:sz="6" w:space="5" w:color="e2e6ed"/>
      </w:pBdr>
      <w:spacing w:before="180" w:after="480" w:lineRule="exact" w:line="780"/>
    </w:pPr>
    <w:rPr>
      <w:b/>
      <w:sz w:val="44"/>
    </w:rPr>
  </w:style>
  <w:style w:type="paragraph" w:styleId="style1">
    <w:name w:val="heading 1"/>
    <w:basedOn w:val="style0"/>
    <w:next w:val="style1"/>
    <w:qFormat/>
    <w:uiPriority w:val="0"/>
    <w:pPr>
      <w:spacing w:before="390" w:after="120" w:lineRule="exact" w:line="634"/>
      <w:outlineLvl w:val="0"/>
    </w:pPr>
    <w:rPr>
      <w:b/>
      <w:sz w:val="38"/>
    </w:rPr>
  </w:style>
  <w:style w:type="paragraph" w:styleId="style2">
    <w:name w:val="heading 2"/>
    <w:basedOn w:val="style0"/>
    <w:next w:val="style2"/>
    <w:qFormat/>
    <w:uiPriority w:val="0"/>
    <w:pPr>
      <w:spacing w:before="330" w:after="120" w:lineRule="exact" w:line="536"/>
      <w:outlineLvl w:val="1"/>
    </w:pPr>
    <w:rPr>
      <w:b/>
      <w:sz w:val="32"/>
    </w:rPr>
  </w:style>
  <w:style w:type="paragraph" w:styleId="style3">
    <w:name w:val="heading 3"/>
    <w:basedOn w:val="style0"/>
    <w:next w:val="style3"/>
    <w:qFormat/>
    <w:uiPriority w:val="0"/>
    <w:pPr>
      <w:spacing w:before="300" w:after="120" w:lineRule="exact" w:line="488"/>
      <w:outlineLvl w:val="2"/>
    </w:pPr>
    <w:rPr>
      <w:b/>
      <w:sz w:val="30"/>
    </w:rPr>
  </w:style>
  <w:style w:type="paragraph" w:styleId="style4">
    <w:name w:val="heading 4"/>
    <w:basedOn w:val="style0"/>
    <w:next w:val="style4"/>
    <w:qFormat/>
    <w:uiPriority w:val="0"/>
    <w:pPr>
      <w:spacing w:before="270" w:after="120" w:lineRule="exact" w:line="439"/>
      <w:outlineLvl w:val="3"/>
    </w:pPr>
    <w:rPr>
      <w:b/>
      <w:sz w:val="26"/>
    </w:rPr>
  </w:style>
  <w:style w:type="paragraph" w:styleId="style5">
    <w:name w:val="heading 5"/>
    <w:basedOn w:val="style0"/>
    <w:next w:val="style5"/>
    <w:qFormat/>
    <w:uiPriority w:val="0"/>
    <w:pPr>
      <w:spacing w:before="240" w:after="120" w:lineRule="exact" w:line="390"/>
      <w:outlineLvl w:val="4"/>
    </w:pPr>
    <w:rPr>
      <w:b/>
      <w:sz w:val="22"/>
    </w:rPr>
  </w:style>
  <w:style w:type="paragraph" w:styleId="style6">
    <w:name w:val="heading 6"/>
    <w:basedOn w:val="style0"/>
    <w:next w:val="style6"/>
    <w:qFormat/>
    <w:uiPriority w:val="0"/>
    <w:pPr>
      <w:spacing w:before="240" w:after="120" w:lineRule="exact" w:line="390"/>
      <w:outlineLvl w:val="5"/>
    </w:pPr>
    <w:rPr>
      <w:b/>
      <w:sz w:val="22"/>
    </w:rPr>
  </w:style>
  <w:style w:type="table" w:styleId="style154">
    <w:name w:val="Table Grid"/>
    <w:basedOn w:val="style0"/>
    <w:next w:val="style154"/>
    <w:qFormat/>
    <w:uiPriority w:val="0"/>
    <w:pPr/>
    <w:rPr/>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left w:w="108" w:type="dxa"/>
        <w:right w:w="108" w:type="dxa"/>
      </w:tblCellMar>
    </w:tblPr>
    <w:tcPr>
      <w:tcBorders/>
    </w:tcPr>
  </w:style>
  <w:style w:type="character" w:styleId="style85">
    <w:name w:val="Hyperlink"/>
    <w:next w:val="style85"/>
    <w:qFormat/>
    <w:uiPriority w:val="0"/>
    <w:rPr>
      <w:color w:val="0a6cff"/>
      <w:u w:val="single" w:color="0a6cff"/>
    </w:rPr>
  </w:style>
  <w:style w:type="character" w:customStyle="1" w:styleId="style4098">
    <w:name w:val="DateTime"/>
    <w:next w:val="style4098"/>
    <w:qFormat/>
    <w:uiPriority w:val="0"/>
    <w:rPr>
      <w:color w:val="0a6cff"/>
    </w:rPr>
  </w:style>
  <w:style w:type="paragraph" w:customStyle="1" w:styleId="style4099">
    <w:name w:val="Blockquote"/>
    <w:basedOn w:val="style0"/>
    <w:next w:val="style4099"/>
    <w:qFormat/>
    <w:uiPriority w:val="0"/>
    <w:pPr>
      <w:pBdr>
        <w:left w:val="single" w:sz="36" w:space="12" w:color="e2e6ed"/>
      </w:pBdr>
      <w:ind w:left="330" w:firstLine="0"/>
    </w:pPr>
    <w:rPr>
      <w:color w:val="767c85"/>
      <w:sz w:val="22"/>
    </w:rPr>
  </w:style>
  <w:style w:type="character" w:customStyle="1" w:styleId="style4100">
    <w:name w:val="Code"/>
    <w:next w:val="style4100"/>
    <w:qFormat/>
    <w:uiPriority w:val="0"/>
    <w:rPr>
      <w:bdr w:val="single" w:sz="6" w:space="0" w:color="e2e6ed"/>
    </w:rPr>
  </w:style>
  <w:style w:type="character" w:customStyle="1" w:styleId="style4101">
    <w:name w:val="Emoji"/>
    <w:next w:val="style4101"/>
    <w:qFormat/>
    <w:uiPriority w:val="0"/>
    <w:rPr>
      <w:rFonts w:ascii="Segoe UI Emoji" w:cs="Segoe UI Emoji" w:eastAsia="Segoe UI Emoji" w:hAnsi="Segoe UI Emoji"/>
    </w:rPr>
  </w:style>
  <w:style w:type="paragraph" w:customStyle="1" w:styleId="style4102">
    <w:name w:val="CodeBlock"/>
    <w:basedOn w:val="style0"/>
    <w:next w:val="style4102"/>
    <w:qFormat/>
    <w:uiPriority w:val="0"/>
    <w:pPr>
      <w:numPr>
        <w:ilvl w:val="0"/>
        <w:numId w:val="1"/>
      </w:numPr>
      <w:pBdr>
        <w:left w:val="single" w:sz="6" w:space="26" w:color="e2e6ed"/>
        <w:right w:val="single" w:sz="6" w:space="0" w:color="e2e6ed"/>
        <w:top w:val="single" w:sz="6" w:space="8" w:color="e2e6ed"/>
        <w:bottom w:val="single" w:sz="6" w:space="8" w:color="e2e6ed"/>
      </w:pBdr>
      <w:shd w:val="clear" w:color="ffffff" w:fill="f5f7f9"/>
      <w:spacing w:before="0" w:after="0" w:lineRule="exact" w:line="300"/>
      <w:ind w:left="540" w:firstLine="0"/>
    </w:pPr>
    <w:rPr>
      <w:sz w:val="18"/>
    </w:rPr>
  </w:style>
  <w:style w:type="table" w:customStyle="1" w:styleId="style4103">
    <w:name w:val="HighlightBlock"/>
    <w:basedOn w:val="style0"/>
    <w:next w:val="style4103"/>
    <w:qFormat/>
    <w:uiPriority w:val="0"/>
    <w:pPr/>
    <w:rPr/>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left w:w="108" w:type="dxa"/>
        <w:right w:w="108" w:type="dxa"/>
      </w:tblCellMar>
    </w:tblPr>
    <w:tcPr>
      <w:tcBorders/>
    </w:tcPr>
  </w:style>
  <w:style w:type="paragraph" w:customStyle="1" w:styleId="style4104">
    <w:name w:val="Seperate"/>
    <w:basedOn w:val="style0"/>
    <w:next w:val="style4104"/>
    <w:qFormat/>
    <w:uiPriority w:val="0"/>
    <w:pPr>
      <w:spacing w:before="0" w:after="0" w:lineRule="exact" w:line="12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3795</Words>
  <Characters>4534</Characters>
  <Application>WPS Office</Application>
  <DocSecurity>0</DocSecurity>
  <Paragraphs>197</Paragraphs>
  <LinksUpToDate>false</LinksUpToDate>
  <CharactersWithSpaces>4653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2026-07-05T21:41:00Z</dcterms:created>
  <dc:creator>webotl</dc:creator>
  <lastModifiedBy>2109119BC</lastModifiedBy>
  <dcterms:modified xsi:type="dcterms:W3CDTF">2026-07-06T13:01:08Z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ICV">
    <vt:lpwstr>2d48f5eafff840ea91f026e173782a63_23</vt:lpwstr>
  </property>
</Properties>
</file>