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F46743B">
      <w:pPr>
        <w:pStyle w:val="style0"/>
        <w:jc w:val="center"/>
        <w:rPr>
          <w:sz w:val="36"/>
          <w:szCs w:val="36"/>
        </w:rPr>
      </w:pPr>
      <w:bookmarkStart w:id="0" w:name="_GoBack"/>
      <w:bookmarkEnd w:id="0"/>
      <w:r>
        <w:rPr>
          <w:sz w:val="36"/>
          <w:szCs w:val="36"/>
        </w:rPr>
        <w:t>新型操作系统存储体系与编译原理规范</w:t>
      </w:r>
    </w:p>
    <w:p w14:paraId="44DF6CB4">
      <w:pPr>
        <w:pStyle w:val="style0"/>
        <w:rPr/>
      </w:pPr>
    </w:p>
    <w:p w14:paraId="FE921879">
      <w:pPr>
        <w:pStyle w:val="style0"/>
        <w:rPr/>
      </w:pPr>
      <w:r>
        <w:t>前言</w:t>
      </w:r>
    </w:p>
    <w:p w14:paraId="EF04288C">
      <w:pPr>
        <w:pStyle w:val="style0"/>
        <w:rPr/>
      </w:pPr>
    </w:p>
    <w:p w14:paraId="05830A27">
      <w:pPr>
        <w:pStyle w:val="style0"/>
        <w:rPr/>
      </w:pPr>
      <w:r>
        <w:t>本规范依据《制造新型操作系统技术宪法》与《新型操作系统功能文档》制定。本规范定义本操作系统的存储硬件管理体系与程序编译加载体系。存储与编译是程序从源代码到持久化存储再到加载运行的全生命周期中不可分割的两个环节，存储体系负责管理程序的载体，编译体系负责将源代码转化为合法的可运行实体。</w:t>
      </w:r>
    </w:p>
    <w:p w14:paraId="C73B4D90">
      <w:pPr>
        <w:pStyle w:val="style0"/>
        <w:rPr/>
      </w:pPr>
    </w:p>
    <w:p w14:paraId="39093456">
      <w:pPr>
        <w:pStyle w:val="style0"/>
        <w:rPr/>
      </w:pPr>
      <w:r>
        <w:t>所有存储硬件驱动与编译器工具链均在 Ring 3 用户态运行，通过能力令牌授权访问资源。内核不包含任何存储硬件控制代码，不包含任何编译器逻辑。</w:t>
      </w:r>
    </w:p>
    <w:p w14:paraId="3EA71C92">
      <w:pPr>
        <w:pStyle w:val="style0"/>
        <w:rPr/>
      </w:pPr>
    </w:p>
    <w:p w14:paraId="9B027876">
      <w:pPr>
        <w:pStyle w:val="style0"/>
        <w:rPr/>
      </w:pPr>
      <w:r>
        <w:t>本规范支持的本地持久化存储设备包括 NVMe SSD、SCSI SSD、SATA SSD、HDD、U 盘、移动硬盘。已淘汰的 IDE 设备、软盘、光盘、光驱不在本系统的支持范围内。</w:t>
      </w:r>
    </w:p>
    <w:p w14:paraId="E1105182">
      <w:pPr>
        <w:pStyle w:val="style0"/>
        <w:rPr/>
      </w:pPr>
    </w:p>
    <w:p w14:paraId="2978F507">
      <w:pPr>
        <w:pStyle w:val="style0"/>
        <w:rPr/>
      </w:pPr>
      <w:r>
        <w:t>第1章 存储硬件管理体系</w:t>
      </w:r>
    </w:p>
    <w:p w14:paraId="EE04F59B">
      <w:pPr>
        <w:pStyle w:val="style0"/>
        <w:rPr/>
      </w:pPr>
    </w:p>
    <w:p w14:paraId="F3EF5117">
      <w:pPr>
        <w:pStyle w:val="style0"/>
        <w:rPr/>
      </w:pPr>
      <w:r>
        <w:t>1.1 存储分层模型</w:t>
      </w:r>
    </w:p>
    <w:p w14:paraId="4D70318A">
      <w:pPr>
        <w:pStyle w:val="style0"/>
        <w:rPr/>
      </w:pPr>
    </w:p>
    <w:p w14:paraId="671A34FF">
      <w:pPr>
        <w:pStyle w:val="style0"/>
        <w:rPr/>
      </w:pPr>
      <w:r>
        <w:rPr>
          <w:lang w:val="en-US"/>
        </w:rPr>
        <w:t>本操作系统的所有数据，无论其物理存储介质为何（NVMe SSD、SCSI SSD、SATA SSD、HDD、U盘、移动硬盘、远程存储等），均以二进制形式进行读取、写入和存储。存储容量的度量严格采用二进制标准单位：1KB = 1024B，1MB = 1024KB，1GB = 1024MB，1TB = 1024GB，1PB = 1024TB。此标准与内存寻址的数学规律一致，与CPU架构和数制系统无关。</w:t>
      </w:r>
    </w:p>
    <w:p w14:paraId="76624325">
      <w:pPr>
        <w:pStyle w:val="style0"/>
        <w:rPr/>
      </w:pPr>
    </w:p>
    <w:p w14:paraId="26287C59">
      <w:pPr>
        <w:pStyle w:val="style0"/>
        <w:rPr/>
      </w:pPr>
      <w:r>
        <w:t>本系统将计算机的所有存储设备划分为六个层级，每一层级由独立的用户态服务域管理，通过能力令牌授权访问。</w:t>
      </w:r>
    </w:p>
    <w:p w14:paraId="E5097538">
      <w:pPr>
        <w:pStyle w:val="style0"/>
        <w:rPr/>
      </w:pPr>
    </w:p>
    <w:p w14:paraId="49505885">
      <w:pPr>
        <w:pStyle w:val="style0"/>
        <w:rPr/>
      </w:pPr>
      <w:r>
        <w:t>· 寄存器：CPU 内部存储，由编译器在代码生成阶段分配使用，不在操作系统管理范围内。</w:t>
      </w:r>
    </w:p>
    <w:p w14:paraId="AA38C4DF">
      <w:pPr>
        <w:pStyle w:val="style0"/>
        <w:rPr/>
      </w:pPr>
      <w:r>
        <w:t>· CPU 缓存：由 CPU 硬件自动管理，不在操作系统直接控制范围内。</w:t>
      </w:r>
    </w:p>
    <w:p w14:paraId="F6A75A9D">
      <w:pPr>
        <w:pStyle w:val="style0"/>
        <w:rPr/>
      </w:pPr>
      <w:r>
        <w:t>· 主内存：由内核物理内存分配器在 Ring 0 管理物理页帧。用户态程序通过 MemoryToken 申请和访问内存区域。全局地址空间管理器将所有物理内存映射进统一 64 位虚拟地址空间。</w:t>
      </w:r>
    </w:p>
    <w:p w14:paraId="064FBD18">
      <w:pPr>
        <w:pStyle w:val="style0"/>
        <w:rPr/>
      </w:pPr>
      <w:r>
        <w:t>· 显存：由图形服务持有 FramebufferToken 或 GPU 直通令牌管理。显存与主内存统一编址，通过能力令牌控制读写权限。</w:t>
      </w:r>
    </w:p>
    <w:p w14:paraId="81A8232C">
      <w:pPr>
        <w:pStyle w:val="style0"/>
        <w:rPr/>
      </w:pPr>
      <w:r>
        <w:t>· 本地持久化存储：包括 NVMe SSD、SCSI SSD、SATA SSD、HDD、U 盘、移动硬盘等本地存储设备。由存储服务持有对应设备的 MMIOToken 和 DMAToken 直接管理物理地址空间，对外提供键值对象存储接口。NVMe SSD 通过 PCIe 总线直接通信，SCSI SSD 通过 SAS 接口或 SCSI 协议通信，SATA SSD 和 HDD 通过 SATA 接口通信，U 盘和移动硬盘通过 USB 接口通信。存储服务内部屏蔽底层协议差异。</w:t>
      </w:r>
    </w:p>
    <w:p w14:paraId="0242F94B">
      <w:pPr>
        <w:pStyle w:val="style0"/>
        <w:rPr/>
      </w:pPr>
      <w:r>
        <w:t>· 远程存储：包括 NAS、SAN、云存储等网络存储。由独立的网络存储服务持有网络通道令牌，通过标准网络协议访问远程存储，并将远程存储映射为本地键值对象。</w:t>
      </w:r>
    </w:p>
    <w:p w14:paraId="C57D73C8">
      <w:pPr>
        <w:pStyle w:val="style0"/>
        <w:rPr/>
      </w:pPr>
    </w:p>
    <w:p w14:paraId="109EC857">
      <w:pPr>
        <w:pStyle w:val="style0"/>
        <w:rPr/>
      </w:pPr>
      <w:r>
        <w:t>1.2 物理存储设备管理</w:t>
      </w:r>
    </w:p>
    <w:p w14:paraId="E24E9E30">
      <w:pPr>
        <w:pStyle w:val="style0"/>
        <w:rPr/>
      </w:pPr>
    </w:p>
    <w:p w14:paraId="6761C733">
      <w:pPr>
        <w:pStyle w:val="style0"/>
        <w:rPr/>
      </w:pPr>
      <w:r>
        <w:t>所有物理存储设备均由独立的用户态存储服务域管理。内核不包含任何存储设备驱动代码。</w:t>
      </w:r>
    </w:p>
    <w:p w14:paraId="4B3FCC6C">
      <w:pPr>
        <w:pStyle w:val="style0"/>
        <w:rPr/>
      </w:pPr>
    </w:p>
    <w:p w14:paraId="0ACF2084">
      <w:pPr>
        <w:pStyle w:val="style0"/>
        <w:rPr/>
      </w:pPr>
      <w:r>
        <w:t>存储服务持有对应物理存储设备的 MMIOToken 和 DMAToken。MMIOToken 授权存储服务直接读写设备的 MMIO 寄存器，发送 NVMe 命令、SCSI 命令、ATA 命令或 USB 存储命令。DMAToken 授权存储服务配置 IOMMU，使存储设备直接通过 DMA 读写系统主内存，实现零拷贝数据传输。</w:t>
      </w:r>
    </w:p>
    <w:p w14:paraId="DC07C587">
      <w:pPr>
        <w:pStyle w:val="style0"/>
        <w:rPr/>
      </w:pPr>
    </w:p>
    <w:p w14:paraId="057E620A">
      <w:pPr>
        <w:pStyle w:val="style0"/>
        <w:rPr/>
      </w:pPr>
      <w:r>
        <w:t>系统启动时自动检测所有物理存储设备。每个检测到的设备由存储服务创建一个独立的存储池实例。设备拔出时，对应的存储池实例自动停止，令牌被回收。系统支持热插拔，新插入的设备自动识别并创建对应存储池。</w:t>
      </w:r>
    </w:p>
    <w:p w14:paraId="2EB05AA4">
      <w:pPr>
        <w:pStyle w:val="style0"/>
        <w:rPr/>
      </w:pPr>
    </w:p>
    <w:p w14:paraId="58869DA4">
      <w:pPr>
        <w:pStyle w:val="style0"/>
        <w:rPr/>
      </w:pPr>
      <w:r>
        <w:t>1.3 存储池与键值对象存储</w:t>
      </w:r>
    </w:p>
    <w:p w14:paraId="6EBC9BF1">
      <w:pPr>
        <w:pStyle w:val="style0"/>
        <w:rPr/>
      </w:pPr>
    </w:p>
    <w:p w14:paraId="51393C06">
      <w:pPr>
        <w:pStyle w:val="style0"/>
        <w:rPr/>
      </w:pPr>
      <w:r>
        <w:t>存储服务将每块物理存储设备的物理地址空间抽象为一个存储池。存储池内部以键值对象的形式组织所有数据。</w:t>
      </w:r>
    </w:p>
    <w:p w14:paraId="2C9422CD">
      <w:pPr>
        <w:pStyle w:val="style0"/>
        <w:rPr/>
      </w:pPr>
    </w:p>
    <w:p w14:paraId="9E7271EF">
      <w:pPr>
        <w:pStyle w:val="style0"/>
        <w:rPr/>
      </w:pPr>
      <w:r>
        <w:t>每个键值对象由以下部分组成：键（对象唯一标识符，由内容的哈希值生成）、值（对象的二进制数据）、元数据（对象大小、创建时间、最后访问时间、访问权限、因果起源证明）、索引（存储服务内部维护全局哈希索引，记录每个键对应的物理存储位置）。</w:t>
      </w:r>
    </w:p>
    <w:p w14:paraId="476EA5A9">
      <w:pPr>
        <w:pStyle w:val="style0"/>
        <w:rPr/>
      </w:pPr>
    </w:p>
    <w:p w14:paraId="35B1D97A">
      <w:pPr>
        <w:pStyle w:val="style0"/>
        <w:rPr/>
      </w:pPr>
      <w:r>
        <w:t>对象的数据块在物理存储上以紧凑方式排列。存储服务负责管理物理空间的分配与回收，所有操作通过 ObjectToken 授权。</w:t>
      </w:r>
    </w:p>
    <w:p w14:paraId="63AC9CF2">
      <w:pPr>
        <w:pStyle w:val="style0"/>
        <w:rPr/>
      </w:pPr>
    </w:p>
    <w:p w14:paraId="82B50C0C">
      <w:pPr>
        <w:pStyle w:val="style0"/>
        <w:rPr/>
      </w:pPr>
      <w:r>
        <w:t>1.4 数据组织方式</w:t>
      </w:r>
    </w:p>
    <w:p w14:paraId="C7DBEF01">
      <w:pPr>
        <w:pStyle w:val="style0"/>
        <w:rPr/>
      </w:pPr>
    </w:p>
    <w:p w14:paraId="0E1BA574">
      <w:pPr>
        <w:pStyle w:val="style0"/>
        <w:rPr/>
      </w:pPr>
      <w:r>
        <w:t>本系统废除传统文件系统的目录树和盘符概念。所有数据以扁平化的键值对象形式组织。</w:t>
      </w:r>
    </w:p>
    <w:p w14:paraId="02323E95">
      <w:pPr>
        <w:pStyle w:val="style0"/>
        <w:rPr/>
      </w:pPr>
    </w:p>
    <w:p w14:paraId="A5506DBB">
      <w:pPr>
        <w:pStyle w:val="style0"/>
        <w:rPr/>
      </w:pPr>
      <w:r>
        <w:t>传统系统中的“文件”概念在本系统中对应为键值对象。传统系统中的“目录”概念在本系统中对应为标签机制。用户可为对象添加任意标签，通过标签筛选和组织数据。传统系统中的“路径”概念在本系统中对应为对象键的直接引用。对象之间的关系通过引用机制建立，一个对象可引用另一个对象的键。</w:t>
      </w:r>
    </w:p>
    <w:p w14:paraId="3D23D0DD">
      <w:pPr>
        <w:pStyle w:val="style0"/>
        <w:rPr/>
      </w:pPr>
    </w:p>
    <w:p w14:paraId="40DA977B">
      <w:pPr>
        <w:pStyle w:val="style0"/>
        <w:rPr/>
      </w:pPr>
      <w:r>
        <w:t>1.5 大对象分块存储机制</w:t>
      </w:r>
    </w:p>
    <w:p w14:paraId="A5FF5961">
      <w:pPr>
        <w:pStyle w:val="style0"/>
        <w:rPr/>
      </w:pPr>
    </w:p>
    <w:p w14:paraId="02590FD9">
      <w:pPr>
        <w:pStyle w:val="style0"/>
        <w:rPr/>
      </w:pPr>
      <w:r>
        <w:t>对于超过单个物理块大小的键值对象，存储服务自动将其分割为多个数据块分别存储。对象键的哈希值作为根哈希，所有数据块的哈希值组成 Merkle 树，根哈希存储在对象元数据中。</w:t>
      </w:r>
    </w:p>
    <w:p w14:paraId="6C38CA5C">
      <w:pPr>
        <w:pStyle w:val="style0"/>
        <w:rPr/>
      </w:pPr>
    </w:p>
    <w:p w14:paraId="7344DC11">
      <w:pPr>
        <w:pStyle w:val="style0"/>
        <w:rPr/>
      </w:pPr>
      <w:r>
        <w:t>读取大对象时，存储服务根据索引表定位各个数据块的物理位置，按需加载。写入大对象时，存储服务逐块计算哈希值，全部写入完成后更新根哈希和索引表。大对象的分块存储和加载对应用程序完全透明，应用程序通过 ObjectToken 读写对象时无需关心内部分块细节。</w:t>
      </w:r>
    </w:p>
    <w:p w14:paraId="BB4AA6C5">
      <w:pPr>
        <w:pStyle w:val="style0"/>
        <w:rPr/>
      </w:pPr>
    </w:p>
    <w:p w14:paraId="D21AE98E">
      <w:pPr>
        <w:pStyle w:val="style0"/>
        <w:rPr/>
      </w:pPr>
      <w:r>
        <w:t>此机制特别适用于 GGUF 模型文件、虚拟磁盘镜像等大对象的存储。</w:t>
      </w:r>
    </w:p>
    <w:p w14:paraId="F394F9F6">
      <w:pPr>
        <w:pStyle w:val="style0"/>
        <w:rPr/>
      </w:pPr>
    </w:p>
    <w:p w14:paraId="2737E3A6">
      <w:pPr>
        <w:pStyle w:val="style0"/>
        <w:rPr/>
      </w:pPr>
      <w:r>
        <w:t>1.6 数据去重与完整性校验</w:t>
      </w:r>
    </w:p>
    <w:p w14:paraId="9D99ED7A">
      <w:pPr>
        <w:pStyle w:val="style0"/>
        <w:rPr/>
      </w:pPr>
    </w:p>
    <w:p w14:paraId="FDA9FE79">
      <w:pPr>
        <w:pStyle w:val="style0"/>
        <w:rPr/>
      </w:pPr>
      <w:r>
        <w:t>存储服务内置数据去重能力。每个数据块写入前计算其哈希值，若哈希值相同的块已存在，则不重复存储，仅增加引用计数。引用计数归零时物理空间被回收。去重默认开启，用户可为特定存储池关闭以提升写入性能。</w:t>
      </w:r>
    </w:p>
    <w:p w14:paraId="C78FD634">
      <w:pPr>
        <w:pStyle w:val="style0"/>
        <w:rPr/>
      </w:pPr>
    </w:p>
    <w:p w14:paraId="1D7DA284">
      <w:pPr>
        <w:pStyle w:val="style0"/>
        <w:rPr/>
      </w:pPr>
      <w:r>
        <w:t>存储服务在读取数据时自动校验数据完整性。通过对比读取数据的哈希值与存储的哈希值，检测数据是否因存储介质老化或其他原因损坏。若检测到损坏，存储服务尝试从备份或奇偶校验数据中恢复。</w:t>
      </w:r>
    </w:p>
    <w:p w14:paraId="32A0B4D7">
      <w:pPr>
        <w:pStyle w:val="style0"/>
        <w:rPr/>
      </w:pPr>
    </w:p>
    <w:p w14:paraId="D41AC36E">
      <w:pPr>
        <w:pStyle w:val="style0"/>
        <w:rPr/>
      </w:pPr>
      <w:r>
        <w:t>1.7 旧数据兼容与迁移</w:t>
      </w:r>
    </w:p>
    <w:p w14:paraId="D7F499C8">
      <w:pPr>
        <w:pStyle w:val="style0"/>
        <w:rPr/>
      </w:pPr>
    </w:p>
    <w:p w14:paraId="443CB131">
      <w:pPr>
        <w:pStyle w:val="style0"/>
        <w:rPr/>
      </w:pPr>
      <w:r>
        <w:t>对于用户从其他操作系统迁移的数据，系统提供独立的兼容域服务。兼容域持有只读物理存储令牌，可解析 NTFS、FAT32、ext4 等传统文件系统的磁盘数据结构，将旧数据翻译为键值对象导入本系统的存储池。导入完成后，用户持有对应的 ObjectToken，可正常访问所有数据。导入过程不保留传统文件系统的目录结构，数据以扁平化键值对象形式存储，用户可通过标签和元数据组织数据。</w:t>
      </w:r>
    </w:p>
    <w:p w14:paraId="8DF5F480">
      <w:pPr>
        <w:pStyle w:val="style0"/>
        <w:rPr/>
      </w:pPr>
    </w:p>
    <w:p w14:paraId="399516CE">
      <w:pPr>
        <w:pStyle w:val="style0"/>
        <w:rPr/>
      </w:pPr>
      <w:r>
        <w:t>1.8 存储空间预警与自动管理</w:t>
      </w:r>
    </w:p>
    <w:p w14:paraId="CE0B8D75">
      <w:pPr>
        <w:pStyle w:val="style0"/>
        <w:rPr/>
      </w:pPr>
    </w:p>
    <w:p w14:paraId="AD0830E3">
      <w:pPr>
        <w:pStyle w:val="style0"/>
        <w:rPr/>
      </w:pPr>
      <w:r>
        <w:t>存储服务实时监控存储池的总容量、已用空间、剩余空间。当存储空间使用率达到预设阈值时，向用户推送通知，附带空间优化建议。用户可为特定数据池设置自动清理策略。用户可通过系统状态面板查看存储空间的使用分布，管理存储空间。</w:t>
      </w:r>
    </w:p>
    <w:p w14:paraId="CD8B0B31">
      <w:pPr>
        <w:pStyle w:val="style0"/>
        <w:rPr/>
      </w:pPr>
    </w:p>
    <w:p w14:paraId="0230F0D8">
      <w:pPr>
        <w:pStyle w:val="style0"/>
        <w:rPr>
          <w:lang w:val="en-US"/>
        </w:rPr>
      </w:pPr>
      <w:r>
        <w:rPr>
          <w:lang w:val="en-US"/>
        </w:rPr>
        <w:t>1.9 数据完整性保障机制</w:t>
      </w:r>
    </w:p>
    <w:p w14:paraId="33D2608D">
      <w:pPr>
        <w:pStyle w:val="style0"/>
        <w:rPr/>
      </w:pPr>
    </w:p>
    <w:p w14:paraId="678503D1">
      <w:pPr>
        <w:pStyle w:val="style0"/>
        <w:rPr>
          <w:lang w:val="en-US"/>
        </w:rPr>
      </w:pPr>
      <w:r>
        <w:rPr>
          <w:lang w:val="en-US"/>
        </w:rPr>
        <w:t>存储服务通过写入验证、读取校验和原子更新三个环节共同保证数据的运算正确性。</w:t>
      </w:r>
    </w:p>
    <w:p w14:paraId="A54EC8F3">
      <w:pPr>
        <w:pStyle w:val="style0"/>
        <w:rPr/>
      </w:pPr>
    </w:p>
    <w:p w14:paraId="099C090C">
      <w:pPr>
        <w:pStyle w:val="style0"/>
        <w:rPr>
          <w:lang w:val="en-US"/>
        </w:rPr>
      </w:pPr>
      <w:r>
        <w:rPr>
          <w:lang w:val="en-US"/>
        </w:rPr>
        <w:t>写入验证：当数据写入磁盘时，存储服务同步计算数据的哈希值，将其与元数据中存储的预期哈希值进行比对。若哈希值一致，说明写入成功。若哈希值不一致，说明数据在写入过程中损坏，存储服务自动重试写入到另一个物理位置，确保落盘数据完整正确。</w:t>
      </w:r>
    </w:p>
    <w:p w14:paraId="23BBDDF9">
      <w:pPr>
        <w:pStyle w:val="style0"/>
        <w:rPr/>
      </w:pPr>
    </w:p>
    <w:p w14:paraId="C94DDF7D">
      <w:pPr>
        <w:pStyle w:val="style0"/>
        <w:rPr>
          <w:lang w:val="en-US"/>
        </w:rPr>
      </w:pPr>
      <w:r>
        <w:rPr>
          <w:lang w:val="en-US"/>
        </w:rPr>
        <w:t>读取校验：当数据从磁盘读取时，存储服务同步计算读出数据的哈希值，并与元数据中存储的哈希值进行比对。若哈希值一致，说明数据完好。若哈希值不一致，说明数据在存储期间发生了不可恢复读取错误，存储服务立即启动恢复流程。</w:t>
      </w:r>
    </w:p>
    <w:p w14:paraId="9C97A891">
      <w:pPr>
        <w:pStyle w:val="style0"/>
        <w:rPr/>
      </w:pPr>
    </w:p>
    <w:p w14:paraId="1D758C7A">
      <w:pPr>
        <w:pStyle w:val="style0"/>
        <w:rPr>
          <w:lang w:val="en-US"/>
        </w:rPr>
      </w:pPr>
      <w:r>
        <w:rPr>
          <w:lang w:val="en-US"/>
        </w:rPr>
        <w:t>原子更新：对于需要原子性保证的操作（如覆盖写入），存储服务采用先写新位置、再更新索引的方式。新版本数据先完整写入磁盘并验证通过后，再原子性地更新哈希索引表中的映射指针。若系统在写入过程中崩溃，索引表仍然指向旧版本的有效数据，保证数据不会因为中断而损坏。</w:t>
      </w:r>
    </w:p>
    <w:p w14:paraId="282275DD">
      <w:pPr>
        <w:pStyle w:val="style0"/>
        <w:rPr/>
      </w:pPr>
    </w:p>
    <w:p w14:paraId="604FA1C7">
      <w:pPr>
        <w:pStyle w:val="style0"/>
        <w:rPr>
          <w:lang w:val="en-US"/>
        </w:rPr>
      </w:pPr>
      <w:r>
        <w:rPr>
          <w:lang w:val="en-US"/>
        </w:rPr>
        <w:t>机械硬盘优化：存储服务自动识别设备类型。若检测到机械硬盘，存储服务启用大块连续写入策略，尽可能将属于同一键值对象的数据块连续排列在物理扇区上，减少磁头移动。同时启用写入聚合机制，在内存中聚合多个小对象的写入请求，积累到一定大小后一次性顺序写入磁盘，最大化读写吞吐量。</w:t>
      </w:r>
    </w:p>
    <w:p w14:paraId="010F0388">
      <w:pPr>
        <w:pStyle w:val="style0"/>
        <w:rPr/>
      </w:pPr>
    </w:p>
    <w:p w14:paraId="48D98EE1">
      <w:pPr>
        <w:pStyle w:val="style0"/>
        <w:rPr/>
      </w:pPr>
      <w:r>
        <w:rPr>
          <w:lang w:val="en-US"/>
        </w:rPr>
        <w:t>不可恢复读取错误的应对：当存储服务检测到数据块无法正确读取且设备自身纠错码无法修复时，存储服务执行以下恢复流程。第一步，读取校验失败，确认发生URE错误。第二步，尝试恢复，存储服务使用写入时生成的奇偶校验块尝试重建损坏数据。若用户启用了RAID 1镜像，RAID服务从另一块磁盘的镜像副本中直接读取正确数据，并自动在故障盘上重建损坏扇区。第三步，若所有恢复手段均失败，存储服务向用户推送通知，明确告知哪个键值对象无法恢复。对象的部分可读数据仍可被读取，损坏部分标记为永久不可用。其他键值对象完全不受影响。</w:t>
      </w:r>
    </w:p>
    <w:p w14:paraId="1F99BA8A">
      <w:pPr>
        <w:pStyle w:val="style0"/>
        <w:rPr/>
      </w:pPr>
    </w:p>
    <w:p w14:paraId="C8082169">
      <w:pPr>
        <w:pStyle w:val="style0"/>
        <w:rPr>
          <w:lang w:val="en-US"/>
        </w:rPr>
      </w:pPr>
      <w:r>
        <w:rPr>
          <w:lang w:val="en-US"/>
        </w:rPr>
        <w:t>1.10 坏块管理与写入重试机制</w:t>
      </w:r>
    </w:p>
    <w:p w14:paraId="BF40DE3F">
      <w:pPr>
        <w:pStyle w:val="style0"/>
        <w:rPr/>
      </w:pPr>
    </w:p>
    <w:p w14:paraId="B69DADE6">
      <w:pPr>
        <w:pStyle w:val="style0"/>
        <w:rPr>
          <w:lang w:val="en-US"/>
        </w:rPr>
      </w:pPr>
      <w:r>
        <w:rPr>
          <w:lang w:val="en-US"/>
        </w:rPr>
        <w:t>当写入验证失败时，存储服务需要将数据重试到另一个可靠的物理位置。重试策略取决于存储设备的硬件能力。</w:t>
      </w:r>
    </w:p>
    <w:p w14:paraId="0153F4EE">
      <w:pPr>
        <w:pStyle w:val="style0"/>
        <w:rPr/>
      </w:pPr>
    </w:p>
    <w:p w14:paraId="61E74CC2">
      <w:pPr>
        <w:pStyle w:val="style0"/>
        <w:rPr>
          <w:lang w:val="en-US"/>
        </w:rPr>
      </w:pPr>
      <w:r>
        <w:rPr>
          <w:lang w:val="en-US"/>
        </w:rPr>
        <w:t>对于单磁盘设备（如单个NVMe SSD、SATA SSD或HDD），存储服务在检测到写入验证失败后，将数据重写到磁盘的其他空闲物理区域。同时，将该物理扇区标记为“坏块”，存储服务内部维护坏块列表，后续不再分配该扇区。现代存储设备（特别是NVMe和SATA SSD）内部已具有坏块管理和磨损均衡机制，本系统存储服务的坏块标记作为额外的软件层保护。</w:t>
      </w:r>
    </w:p>
    <w:p w14:paraId="D9447DA2">
      <w:pPr>
        <w:pStyle w:val="style0"/>
        <w:rPr/>
      </w:pPr>
    </w:p>
    <w:p w14:paraId="B8F613E2">
      <w:pPr>
        <w:pStyle w:val="style0"/>
        <w:rPr>
          <w:lang w:val="en-US"/>
        </w:rPr>
      </w:pPr>
      <w:r>
        <w:rPr>
          <w:lang w:val="en-US"/>
        </w:rPr>
        <w:t>对于多磁盘设备（如RAID阵列），存储服务在检测到写入验证失败后，将数据重写到阵列中的另一块磁盘。同时通知RAID服务，由RAID服务将该故障扇区从阵列中标记为不可用，并根据RAID级别执行相应的冗余恢复。</w:t>
      </w:r>
    </w:p>
    <w:p w14:paraId="980CD956">
      <w:pPr>
        <w:pStyle w:val="style0"/>
        <w:rPr/>
      </w:pPr>
    </w:p>
    <w:p w14:paraId="F42CDC8B">
      <w:pPr>
        <w:pStyle w:val="style0"/>
        <w:rPr>
          <w:lang w:val="en-US"/>
        </w:rPr>
      </w:pPr>
      <w:r>
        <w:rPr>
          <w:lang w:val="en-US"/>
        </w:rPr>
        <w:t>对于所有设备，如果重试后仍失败，存储服务向用户推送通知，明确告知哪个键值对象写入失败。用户数据不会因写入失败而丢失，因为失败前的旧版本数据在原子更新机制下仍然完整保留。</w:t>
      </w:r>
    </w:p>
    <w:p w14:paraId="BFC30CFD">
      <w:pPr>
        <w:pStyle w:val="style0"/>
        <w:rPr/>
      </w:pPr>
    </w:p>
    <w:p w14:paraId="C434ECED">
      <w:pPr>
        <w:pStyle w:val="style0"/>
        <w:rPr>
          <w:lang w:val="en-US"/>
        </w:rPr>
      </w:pPr>
      <w:r>
        <w:rPr>
          <w:lang w:val="en-US"/>
        </w:rPr>
        <w:t>1.11 索引原子更新与并发访问一致性</w:t>
      </w:r>
    </w:p>
    <w:p w14:paraId="4D2C0BB8">
      <w:pPr>
        <w:pStyle w:val="style0"/>
        <w:rPr/>
      </w:pPr>
    </w:p>
    <w:p w14:paraId="07234804">
      <w:pPr>
        <w:pStyle w:val="style0"/>
        <w:rPr>
          <w:lang w:val="en-US"/>
        </w:rPr>
      </w:pPr>
      <w:r>
        <w:rPr>
          <w:lang w:val="en-US"/>
        </w:rPr>
        <w:t>存储服务的哈希索引表是全局共享的数据结构，多个执行槽可能并发读取或请求更新索引。在单地址空间架构下，索引切换的原子性通过以下机制保证。</w:t>
      </w:r>
    </w:p>
    <w:p w14:paraId="A3E1C29B">
      <w:pPr>
        <w:pStyle w:val="style0"/>
        <w:rPr/>
      </w:pPr>
    </w:p>
    <w:p w14:paraId="516A67EA">
      <w:pPr>
        <w:pStyle w:val="style0"/>
        <w:rPr>
          <w:lang w:val="en-US"/>
        </w:rPr>
      </w:pPr>
      <w:r>
        <w:rPr>
          <w:lang w:val="en-US"/>
        </w:rPr>
        <w:t>存储服务在内存中维护当前活跃的索引表。当需要更新索引时，存储服务先在内存中构建新版本的索引表副本，在新副本上完成修改。修改完成后，通过一次原子性的指针切换操作将活跃索引表指针指向新版本。由于本系统运行在单地址空间且不切换页表，指针切换操作对CPU而言是一条原子指令（在x86-64上，对齐的8字节写入天然是原子的）。旧版本索引表在切换后保留一段时间，确保正在进行的读取操作可以继续使用旧版本完成，之后再回收。</w:t>
      </w:r>
    </w:p>
    <w:p w14:paraId="1C885A99">
      <w:pPr>
        <w:pStyle w:val="style0"/>
        <w:rPr/>
      </w:pPr>
    </w:p>
    <w:p w14:paraId="5119E51F">
      <w:pPr>
        <w:pStyle w:val="style0"/>
        <w:rPr>
          <w:lang w:val="en-US"/>
        </w:rPr>
      </w:pPr>
      <w:r>
        <w:rPr>
          <w:lang w:val="en-US"/>
        </w:rPr>
        <w:t>此设计确保索引更新对并发读取完全透明，不会出现读取到半更新状态的情况。</w:t>
      </w:r>
    </w:p>
    <w:p w14:paraId="2F06CB52">
      <w:pPr>
        <w:pStyle w:val="style0"/>
        <w:rPr/>
      </w:pPr>
    </w:p>
    <w:p w14:paraId="32F470D8">
      <w:pPr>
        <w:pStyle w:val="style0"/>
        <w:rPr>
          <w:lang w:val="en-US"/>
        </w:rPr>
      </w:pPr>
      <w:r>
        <w:rPr>
          <w:lang w:val="en-US"/>
        </w:rPr>
        <w:t>1.12 URE恢复与去重引用交互逻辑</w:t>
      </w:r>
    </w:p>
    <w:p w14:paraId="DC9A300B">
      <w:pPr>
        <w:pStyle w:val="style0"/>
        <w:rPr/>
      </w:pPr>
    </w:p>
    <w:p w14:paraId="DFD7A09D">
      <w:pPr>
        <w:pStyle w:val="style0"/>
        <w:rPr>
          <w:lang w:val="en-US"/>
        </w:rPr>
      </w:pPr>
      <w:r>
        <w:rPr>
          <w:lang w:val="en-US"/>
        </w:rPr>
        <w:t>当某个物理数据块发生URE错误且存储服务成功从备份恢复了该块时，恢复后的数据被写入新的物理位置。由于本系统的能力令牌采用间接引用设计，令牌存储的是全局对象表中的索引，而非直接指向物理地址，因此所有恢复操作对上层完全透明。</w:t>
      </w:r>
    </w:p>
    <w:p w14:paraId="6D9C1654">
      <w:pPr>
        <w:pStyle w:val="style0"/>
        <w:rPr/>
      </w:pPr>
    </w:p>
    <w:p w14:paraId="5DFCA870">
      <w:pPr>
        <w:pStyle w:val="style0"/>
        <w:rPr>
          <w:lang w:val="en-US"/>
        </w:rPr>
      </w:pPr>
      <w:r>
        <w:rPr>
          <w:lang w:val="en-US"/>
        </w:rPr>
        <w:t>存储服务将恢复后的数据写入新的物理位置，更新全局对象表中该条目的物理位置映射。所有持有该ObjectToken的执行上下文自动指向新位置，无需修改令牌本身。如果该损坏的物理块被多个对象引用（由于数据去重），所有引用该块的对象在下次读取时，都会通过更新后的物理位置映射读取到恢复后的数据。引用计数保持不变，因为恢复后该逻辑块仍然存在，只是物理位置发生了变化。</w:t>
      </w:r>
    </w:p>
    <w:p w14:paraId="9818DB1B">
      <w:pPr>
        <w:pStyle w:val="style0"/>
        <w:rPr/>
      </w:pPr>
    </w:p>
    <w:p w14:paraId="C94C917E">
      <w:pPr>
        <w:pStyle w:val="style0"/>
        <w:rPr>
          <w:lang w:val="en-US"/>
        </w:rPr>
      </w:pPr>
      <w:r>
        <w:rPr>
          <w:lang w:val="en-US"/>
        </w:rPr>
        <w:t>如果URE错误无法恢复，存储服务将该物理块标记为“永久损坏”。所有引用该块的对象在元数据中被标记为“部分数据不可用”。用户通过系统通知获知具体哪些对象受影响，其他对象完全不受影响。</w:t>
      </w:r>
    </w:p>
    <w:p w14:paraId="3F0E2DF0">
      <w:pPr>
        <w:pStyle w:val="style0"/>
        <w:rPr/>
      </w:pPr>
    </w:p>
    <w:p w14:paraId="83CFCF70">
      <w:pPr>
        <w:pStyle w:val="style0"/>
        <w:rPr/>
      </w:pPr>
    </w:p>
    <w:p w14:paraId="CDCE580A">
      <w:pPr>
        <w:pStyle w:val="style0"/>
        <w:rPr/>
      </w:pPr>
      <w:r>
        <w:t>第2章 程序编译与加载体系</w:t>
      </w:r>
    </w:p>
    <w:p w14:paraId="D41F88DF">
      <w:pPr>
        <w:pStyle w:val="style0"/>
        <w:rPr/>
      </w:pPr>
    </w:p>
    <w:p w14:paraId="A5EB76D7">
      <w:pPr>
        <w:pStyle w:val="style0"/>
        <w:rPr/>
      </w:pPr>
      <w:r>
        <w:t>2.1 可运行程序的定义</w:t>
      </w:r>
    </w:p>
    <w:p w14:paraId="013C6E30">
      <w:pPr>
        <w:pStyle w:val="style0"/>
        <w:rPr/>
      </w:pPr>
    </w:p>
    <w:p w14:paraId="12DD5259">
      <w:pPr>
        <w:pStyle w:val="style0"/>
        <w:rPr/>
      </w:pPr>
      <w:r>
        <w:t>在本系统中，合法的可运行程序必须满足以下条件：程序代码被组织为系统定义的可执行格式；程序文件持有由 BDFL 或授权开发者签发的有效数字签名；程序文件以键值对象形式存储于键值对象存储服务中，持有对应的 ObjectToken。</w:t>
      </w:r>
    </w:p>
    <w:p w14:paraId="FA182DD1">
      <w:pPr>
        <w:pStyle w:val="style0"/>
        <w:rPr/>
      </w:pPr>
    </w:p>
    <w:p w14:paraId="3D230A76">
      <w:pPr>
        <w:pStyle w:val="style0"/>
        <w:rPr/>
      </w:pPr>
      <w:r>
        <w:t>本系统的原生可执行程序为 ELF 格式的变体。该格式包含代码段、数据段、签名段、能力需求声明段。签名段存储 BDFL 或授权开发者对程序哈希值的数字签名。能力需求声明段声明程序运行所需的最小能力令牌集。</w:t>
      </w:r>
    </w:p>
    <w:p w14:paraId="6A16FDA0">
      <w:pPr>
        <w:pStyle w:val="style0"/>
        <w:rPr/>
      </w:pPr>
    </w:p>
    <w:p w14:paraId="08846133">
      <w:pPr>
        <w:pStyle w:val="style0"/>
        <w:rPr/>
      </w:pPr>
      <w:r>
        <w:t>2.2 程序编译流程</w:t>
      </w:r>
    </w:p>
    <w:p w14:paraId="89A5DC48">
      <w:pPr>
        <w:pStyle w:val="style0"/>
        <w:rPr/>
      </w:pPr>
    </w:p>
    <w:p w14:paraId="B610F081">
      <w:pPr>
        <w:pStyle w:val="style0"/>
        <w:rPr/>
      </w:pPr>
      <w:r>
        <w:t>所有高级语言的源代码必须通过本系统支持的编译器工具链编译为合法的可运行程序格式。编译器工具链均在 Ring 3 用户态运行，持有编译服务令牌。</w:t>
      </w:r>
    </w:p>
    <w:p w14:paraId="BEDB25D8">
      <w:pPr>
        <w:pStyle w:val="style0"/>
        <w:rPr/>
      </w:pPr>
    </w:p>
    <w:p w14:paraId="EC4FF1EC">
      <w:pPr>
        <w:pStyle w:val="style0"/>
        <w:rPr/>
      </w:pPr>
      <w:r>
        <w:t>Rust 程序编译：Rust 程序通过 LibOS crate 静态链接，编译为本系统的原生 ELF 变体格式。编译器工具链持有编译服务令牌。Rust 程序的编译由 Rust 编译器的本系统目标后端完成，生成的可执行程序不依赖任何外部运行时。</w:t>
      </w:r>
    </w:p>
    <w:p w14:paraId="590CBCA2">
      <w:pPr>
        <w:pStyle w:val="style0"/>
        <w:rPr/>
      </w:pPr>
    </w:p>
    <w:p w14:paraId="627FD558">
      <w:pPr>
        <w:pStyle w:val="style0"/>
        <w:rPr/>
      </w:pPr>
      <w:r>
        <w:t>C 程序编译：C 程序通过本系统提供的轻量级 C 运行时库编译。C 编译器将源代码编译为目标文件，链接器将目标文件与 C 运行时库静态链接为本系统的原生可执行格式。C 运行时库将所有 C 标准库调用转换为能力令牌调用。C 程序编译完成后，默认受 MPK 硬件约束。</w:t>
      </w:r>
    </w:p>
    <w:p w14:paraId="A9C1D73A">
      <w:pPr>
        <w:pStyle w:val="style0"/>
        <w:rPr/>
      </w:pPr>
    </w:p>
    <w:p w14:paraId="B91DC984">
      <w:pPr>
        <w:pStyle w:val="style0"/>
        <w:rPr/>
      </w:pPr>
      <w:r>
        <w:t>C++ 程序编译：C++ 程序通过本系统提供的轻量级 C++ 运行时库编译。编译流程与 C 程序类似。C++ 程序可直接使用 Vulkan API，通过编译时链接的图形库间接访问 GPU 硬件。</w:t>
      </w:r>
    </w:p>
    <w:p w14:paraId="FC11FB1B">
      <w:pPr>
        <w:pStyle w:val="style0"/>
        <w:rPr/>
      </w:pPr>
    </w:p>
    <w:p w14:paraId="DBFA911F">
      <w:pPr>
        <w:pStyle w:val="style0"/>
        <w:rPr/>
      </w:pPr>
      <w:r>
        <w:t>C# 程序编译：C# 程序通过本系统提供的轻量级 .NET 运行时编译。C# 源代码编译为托管程序集。托管程序集与本系统 .NET 运行时静态链接。C# 程序的内存安全由 CLR 保证，不消耗 MPK 密钥，不受 MPK 并发上限限制。</w:t>
      </w:r>
    </w:p>
    <w:p w14:paraId="3D885948">
      <w:pPr>
        <w:pStyle w:val="style0"/>
        <w:rPr/>
      </w:pPr>
    </w:p>
    <w:p w14:paraId="5B56FB72">
      <w:pPr>
        <w:pStyle w:val="style0"/>
        <w:rPr/>
      </w:pPr>
      <w:r>
        <w:t>其他语言程序：Python 等脚本语言通过 WASM/WASI 兼容层运行，由 WASM 编译器编译为 WASM 字节码。</w:t>
      </w:r>
    </w:p>
    <w:p w14:paraId="1852A8AF">
      <w:pPr>
        <w:pStyle w:val="style0"/>
        <w:rPr/>
      </w:pPr>
    </w:p>
    <w:p w14:paraId="D4743462">
      <w:pPr>
        <w:pStyle w:val="style0"/>
        <w:rPr/>
      </w:pPr>
      <w:r>
        <w:t>所有编译产物均以键值对象形式存储于键值对象存储服务中。</w:t>
      </w:r>
    </w:p>
    <w:p w14:paraId="BE9DC0BD">
      <w:pPr>
        <w:pStyle w:val="style0"/>
        <w:rPr/>
      </w:pPr>
    </w:p>
    <w:p w14:paraId="9EBAAE62">
      <w:pPr>
        <w:pStyle w:val="style0"/>
        <w:rPr/>
      </w:pPr>
      <w:r>
        <w:t>2.3 程序签名体系</w:t>
      </w:r>
    </w:p>
    <w:p w14:paraId="2735D743">
      <w:pPr>
        <w:pStyle w:val="style0"/>
        <w:rPr/>
      </w:pPr>
    </w:p>
    <w:p w14:paraId="6C82F269">
      <w:pPr>
        <w:pStyle w:val="style0"/>
        <w:rPr/>
      </w:pPr>
      <w:r>
        <w:t>所有程序在编译完成后、可运行之前，必须经过数字签名。</w:t>
      </w:r>
    </w:p>
    <w:p w14:paraId="4647179F">
      <w:pPr>
        <w:pStyle w:val="style0"/>
        <w:rPr/>
      </w:pPr>
    </w:p>
    <w:p w14:paraId="7E763F36">
      <w:pPr>
        <w:pStyle w:val="style0"/>
        <w:rPr/>
      </w:pPr>
      <w:r>
        <w:t>由 BDFL 或核心开发者审计并签名的程序，持有发布密钥签发的数字签名。此类程序享有完全信任等级，不强制要求 MPK 硬件隔离。</w:t>
      </w:r>
    </w:p>
    <w:p w14:paraId="0461BDA4">
      <w:pPr>
        <w:pStyle w:val="style0"/>
        <w:rPr/>
      </w:pPr>
    </w:p>
    <w:p w14:paraId="F2BA0FF8">
      <w:pPr>
        <w:pStyle w:val="style0"/>
        <w:rPr/>
      </w:pPr>
      <w:r>
        <w:t>用户自行开发或获取的、未经 BDFL 审计的程序，必须在个人模式下由用户使用个人密钥签名。此类程序强制分配独立 MPK 密钥进行硬件隔离，并发上限为 4 个。</w:t>
      </w:r>
    </w:p>
    <w:p w14:paraId="6316D8A1">
      <w:pPr>
        <w:pStyle w:val="style0"/>
        <w:rPr/>
      </w:pPr>
    </w:p>
    <w:p w14:paraId="A5E7F95F">
      <w:pPr>
        <w:pStyle w:val="style0"/>
        <w:rPr/>
      </w:pPr>
      <w:r>
        <w:t>任何未签名的程序无法通过内核的签名验证，无法创建执行上下文，无法获得任何能力令牌，无法运行。</w:t>
      </w:r>
    </w:p>
    <w:p w14:paraId="4FD396BF">
      <w:pPr>
        <w:pStyle w:val="style0"/>
        <w:rPr/>
      </w:pPr>
    </w:p>
    <w:p w14:paraId="A0B97B2B">
      <w:pPr>
        <w:pStyle w:val="style0"/>
        <w:rPr/>
      </w:pPr>
      <w:r>
        <w:t>2.4 程序加载流程</w:t>
      </w:r>
    </w:p>
    <w:p w14:paraId="45B69334">
      <w:pPr>
        <w:pStyle w:val="style0"/>
        <w:rPr/>
      </w:pPr>
    </w:p>
    <w:p w14:paraId="324FAD81">
      <w:pPr>
        <w:pStyle w:val="style0"/>
        <w:rPr/>
      </w:pPr>
      <w:r>
        <w:t>程序的加载由加载服务负责。加载服务作为独立的用户态服务域运行，持有加载服务令牌。</w:t>
      </w:r>
    </w:p>
    <w:p w14:paraId="9D8145AC">
      <w:pPr>
        <w:pStyle w:val="style0"/>
        <w:rPr/>
      </w:pPr>
    </w:p>
    <w:p w14:paraId="5D840646">
      <w:pPr>
        <w:pStyle w:val="style0"/>
        <w:rPr/>
      </w:pPr>
      <w:r>
        <w:t>用户启动程序时，加载服务通过 ObjectToken 从存储服务读取程序键值对象。加载服务解析程序的可执行格式，提取签名段。加载服务将签名段提交内核能力授权引擎。内核验证签名的合法性，若验证通过，内核为程序创建执行上下文。加载服务解析能力需求声明段，向内核申请对应的初始能力令牌集。内核创建执行上下文并授予初始令牌后，程序开始执行。</w:t>
      </w:r>
    </w:p>
    <w:p w14:paraId="2DAA4E4F">
      <w:pPr>
        <w:pStyle w:val="style0"/>
        <w:rPr/>
      </w:pPr>
    </w:p>
    <w:p w14:paraId="CC49ED59">
      <w:pPr>
        <w:pStyle w:val="style0"/>
        <w:rPr/>
      </w:pPr>
      <w:r>
        <w:t>第3章 存储与编译的协作体系</w:t>
      </w:r>
    </w:p>
    <w:p w14:paraId="AC58F3B8">
      <w:pPr>
        <w:pStyle w:val="style0"/>
        <w:rPr/>
      </w:pPr>
    </w:p>
    <w:p w14:paraId="27C13192">
      <w:pPr>
        <w:pStyle w:val="style0"/>
        <w:rPr/>
      </w:pPr>
      <w:r>
        <w:t>存储体系与编译体系通过能力令牌紧密协作，共同完成程序从源代码到持久化存储再到加载运行的全生命周期。</w:t>
      </w:r>
    </w:p>
    <w:p w14:paraId="315486EE">
      <w:pPr>
        <w:pStyle w:val="style0"/>
        <w:rPr/>
      </w:pPr>
    </w:p>
    <w:p w14:paraId="5350FED9">
      <w:pPr>
        <w:pStyle w:val="style0"/>
        <w:rPr/>
      </w:pPr>
      <w:r>
        <w:t>程序编译完成后，编译产物以键值对象形式存储于存储服务中。编译服务持有存储服务的 ObjectToken，将编译产物写入存储池。程序加载时，加载服务通过 ObjectToken 从存储服务读取程序键值对象。程序的加载不依赖任何文件路径，仅依赖对象键的引用。</w:t>
      </w:r>
    </w:p>
    <w:p w14:paraId="07B7D685">
      <w:pPr>
        <w:pStyle w:val="style0"/>
        <w:rPr/>
      </w:pPr>
    </w:p>
    <w:p w14:paraId="A61B94AB">
      <w:pPr>
        <w:pStyle w:val="style0"/>
        <w:rPr/>
      </w:pPr>
      <w:r>
        <w:t>程序运行过程中，程序的数据文件同样以键值对象形式存储。程序通过持有的 ObjectToken 读写自身数据。程序不可访问未授权的其他键值对象。</w:t>
      </w:r>
    </w:p>
    <w:p w14:paraId="5087EDEB">
      <w:pPr>
        <w:pStyle w:val="style0"/>
        <w:rPr/>
      </w:pPr>
    </w:p>
    <w:p w14:paraId="F65F6D9C">
      <w:pPr>
        <w:pStyle w:val="style0"/>
        <w:rPr/>
      </w:pPr>
      <w:r>
        <w:t>存储服务的去重机制对程序编译产物同样有效。多个程序共用的运行时库在存储池中仅存储一份，节省存储空间。</w:t>
      </w:r>
    </w:p>
    <w:p w14:paraId="95FA4CAE">
      <w:pPr>
        <w:pStyle w:val="style0"/>
        <w:rPr/>
      </w:pPr>
    </w:p>
    <w:p w14:paraId="162A9FD3">
      <w:pPr>
        <w:pStyle w:val="style0"/>
        <w:rPr/>
      </w:pPr>
      <w:r>
        <w:t>第4章 信任链从编译到加载的完整闭环</w:t>
      </w:r>
    </w:p>
    <w:p w14:paraId="47C84F5C">
      <w:pPr>
        <w:pStyle w:val="style0"/>
        <w:rPr/>
      </w:pPr>
    </w:p>
    <w:p w14:paraId="39DB0CDA">
      <w:pPr>
        <w:pStyle w:val="style0"/>
        <w:rPr/>
      </w:pPr>
      <w:r>
        <w:t>源代码经过编译产生程序文件，程序文件经过 BDFL 或授权开发者的数字签名，签名后的程序以键值对象形式存储于存储服务中。程序加载时，加载服务从存储服务读取程序对象，内核验证签名链：签名是否由合法发布密钥签发、发布密钥证书是否由根私钥签发、根公钥哈希值是否与内核固化值一致。信任链全部通过后，内核为程序创建执行上下文并授予初始能力令牌。程序开始执行，其后续的所有资源访问均需通过能力令牌验证。</w:t>
      </w:r>
    </w:p>
    <w:p w14:paraId="0DAF4DE5">
      <w:pPr>
        <w:pStyle w:val="style0"/>
        <w:rPr/>
      </w:pPr>
    </w:p>
    <w:p w14:paraId="A7017D32">
      <w:pPr>
        <w:pStyle w:val="style0"/>
        <w:rPr/>
      </w:pPr>
      <w:r>
        <w:t>第5章 与宪法和功能文档的关系</w:t>
      </w:r>
    </w:p>
    <w:p w14:paraId="625C9AA3">
      <w:pPr>
        <w:pStyle w:val="style0"/>
        <w:rPr/>
      </w:pPr>
    </w:p>
    <w:p w14:paraId="ACE076AC">
      <w:pPr>
        <w:pStyle w:val="style0"/>
        <w:rPr/>
      </w:pPr>
      <w:r>
        <w:t>本规范在《制造新型操作系统技术宪法》框架内制定。存储硬件管理与编译器工具链均在 Ring 3 用户态运行，通过能力令牌授权访问资源。内核不包含任何存储设备驱动代码，不包含任何编译器逻辑。内核仅负责物理内存分配器的页帧管理、全局地址空间管理器的地址映射、能力授权引擎的令牌验证。</w:t>
      </w:r>
    </w:p>
    <w:p w14:paraId="E139FCA0">
      <w:pPr>
        <w:pStyle w:val="style0"/>
        <w:rPr/>
      </w:pPr>
    </w:p>
    <w:p w14:paraId="A592583B">
      <w:pPr>
        <w:pStyle w:val="style0"/>
        <w:rPr/>
      </w:pPr>
      <w:r>
        <w:t>本规范是对《新型操作系统功能文档》中相关条目的具体展开。存储硬件管理对应功能文档第 2 章资源访问能力。程序编译与加载对应功能文档第 1 章应用运行能力。签名体系对应功能文档第 8 章安全与信任模型。多语言编译支持对应软件兼容性与多语言生态支持规范。</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5955</Words>
  <Characters>6481</Characters>
  <Application>WPS Office</Application>
  <Paragraphs>169</Paragraphs>
  <CharactersWithSpaces>6699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2026-06-02T13:13:23Z</dcterms:created>
  <dc:creator>2109119BC</dc:creator>
  <lastModifiedBy>2109119BC</lastModifiedBy>
  <dcterms:modified xsi:type="dcterms:W3CDTF">2026-06-03T04:24:35Z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4752c6b109c340c682a5827b2ee2a3f1_23</vt:lpwstr>
  </property>
</Properties>
</file>