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4510B94">
      <w:pPr>
        <w:pStyle w:val="style0"/>
        <w:jc w:val="center"/>
        <w:rPr>
          <w:sz w:val="40"/>
          <w:szCs w:val="40"/>
        </w:rPr>
      </w:pPr>
      <w:bookmarkStart w:id="0" w:name="_GoBack"/>
      <w:bookmarkEnd w:id="0"/>
      <w:r>
        <w:rPr>
          <w:sz w:val="40"/>
          <w:szCs w:val="40"/>
        </w:rPr>
        <w:t>新型操作系统 Ring 3 硬件代码设计文档</w:t>
      </w:r>
    </w:p>
    <w:p w14:paraId="EC550D30">
      <w:pPr>
        <w:pStyle w:val="style0"/>
        <w:rPr/>
      </w:pPr>
    </w:p>
    <w:p w14:paraId="D5000A6F">
      <w:pPr>
        <w:pStyle w:val="style0"/>
        <w:rPr/>
      </w:pPr>
      <w:r>
        <w:t>前言</w:t>
      </w:r>
    </w:p>
    <w:p w14:paraId="7E1D4ECE">
      <w:pPr>
        <w:pStyle w:val="style0"/>
        <w:rPr/>
      </w:pPr>
    </w:p>
    <w:p w14:paraId="CE4380F4">
      <w:pPr>
        <w:pStyle w:val="style0"/>
        <w:rPr/>
      </w:pPr>
      <w:r>
        <w:t>本设计文档依据《制造新型操作系统技术宪法》与《新型操作系统功能文档》制定。本系统的所有硬件控制代码均运行在 Ring 3 用户态，不修改内核的任何核心逻辑。内核仅通过能力授权引擎为硬件驱动颁发硬件访问令牌，任何直接操作硬件的代码均封装在独立的用户态服务域中。</w:t>
      </w:r>
    </w:p>
    <w:p w14:paraId="81244E68">
      <w:pPr>
        <w:pStyle w:val="style0"/>
        <w:rPr/>
      </w:pPr>
    </w:p>
    <w:p w14:paraId="7B7DFAE9">
      <w:pPr>
        <w:pStyle w:val="style0"/>
        <w:rPr/>
      </w:pPr>
      <w:r>
        <w:t>第1章 硬件访问核心原则</w:t>
      </w:r>
    </w:p>
    <w:p w14:paraId="56740BE9">
      <w:pPr>
        <w:pStyle w:val="style0"/>
        <w:rPr/>
      </w:pPr>
    </w:p>
    <w:p w14:paraId="E3F4F6A2">
      <w:pPr>
        <w:pStyle w:val="style0"/>
        <w:rPr/>
      </w:pPr>
      <w:r>
        <w:t>· 内核不控制硬件：内核不包含任何硬件驱动代码。内核的功能仅限于创建、验证和撤销能力令牌。</w:t>
      </w:r>
    </w:p>
    <w:p w14:paraId="3B7FBB86">
      <w:pPr>
        <w:pStyle w:val="style0"/>
        <w:rPr/>
      </w:pPr>
      <w:r>
        <w:t>· 令牌是唯一凭证：任何用户态程序想要操作硬件，必须持有内核签发的对应硬件访问令牌。令牌不可伪造，不可绕过。</w:t>
      </w:r>
    </w:p>
    <w:p w14:paraId="0C67C721">
      <w:pPr>
        <w:pStyle w:val="style0"/>
        <w:rPr/>
      </w:pPr>
      <w:r>
        <w:t>· 用户态隔离执行：所有硬件驱动均在用户态独立服务域中运行。驱动的崩溃或异常不传播至内核及其他服务。</w:t>
      </w:r>
    </w:p>
    <w:p w14:paraId="F1E51345">
      <w:pPr>
        <w:pStyle w:val="style0"/>
        <w:rPr/>
      </w:pPr>
      <w:r>
        <w:t>· IOMMU 硬件兜底：DMA 设备的内存访问受 IOMMU 约束，由能力令牌配置。设备无法访问未经授权的物理内存区域。</w:t>
      </w:r>
    </w:p>
    <w:p w14:paraId="AF36F0E4">
      <w:pPr>
        <w:pStyle w:val="style0"/>
        <w:rPr/>
      </w:pPr>
      <w:r>
        <w:t>· 无系统调用：用户程序与硬件驱动的交互通过发布-订阅通道或请求-响应通道进行，不使用syscall指令。跨域通信是基于能力令牌的直接函数调用。</w:t>
      </w:r>
    </w:p>
    <w:p w14:paraId="80F85F04">
      <w:pPr>
        <w:pStyle w:val="style0"/>
        <w:rPr/>
      </w:pPr>
    </w:p>
    <w:p w14:paraId="726CBCB4">
      <w:pPr>
        <w:pStyle w:val="style0"/>
        <w:rPr/>
      </w:pPr>
      <w:r>
        <w:t>第2章 硬件访问令牌类型</w:t>
      </w:r>
    </w:p>
    <w:p w14:paraId="020D4AF6">
      <w:pPr>
        <w:pStyle w:val="style0"/>
        <w:rPr/>
      </w:pPr>
    </w:p>
    <w:p w14:paraId="8C41EFFE">
      <w:pPr>
        <w:pStyle w:val="style0"/>
        <w:rPr/>
      </w:pPr>
      <w:r>
        <w:t>系统内核根据不同的硬件资源，签发不同类型的访问令牌。</w:t>
      </w:r>
    </w:p>
    <w:p w14:paraId="9270435F">
      <w:pPr>
        <w:pStyle w:val="style0"/>
        <w:rPr/>
      </w:pPr>
    </w:p>
    <w:p w14:paraId="4119FD19">
      <w:pPr>
        <w:pStyle w:val="style0"/>
        <w:rPr/>
      </w:pPr>
      <w:r>
        <w:t>· 物理内存令牌：授权持有者读写特定范围的物理内存区域。通常授予存储服务、GPU驱动等服务。</w:t>
      </w:r>
    </w:p>
    <w:p w14:paraId="3FEA17EB">
      <w:pPr>
        <w:pStyle w:val="style0"/>
        <w:rPr/>
      </w:pPr>
      <w:r>
        <w:t>· IO 端口令牌：授权持有者访问特定的 x86 IO 端口，仅用于极少数遗留设备或调试场景。</w:t>
      </w:r>
    </w:p>
    <w:p w14:paraId="CB1E4412">
      <w:pPr>
        <w:pStyle w:val="style0"/>
        <w:rPr/>
      </w:pPr>
      <w:r>
        <w:t>· MMIO 令牌：将硬件设备的内存映射 I/O 区域映射到驱动域的统一地址空间中，并授权读写。</w:t>
      </w:r>
    </w:p>
    <w:p w14:paraId="EBF539C3">
      <w:pPr>
        <w:pStyle w:val="style0"/>
        <w:rPr/>
      </w:pPr>
      <w:r>
        <w:t>· 中断令牌：授权持有者注册特定硬件中断的回调通道。当中断发生时，内核安全入口桩将中断打包为该令牌关联的通知，发送给持有者。</w:t>
      </w:r>
    </w:p>
    <w:p w14:paraId="486FFD67">
      <w:pPr>
        <w:pStyle w:val="style0"/>
        <w:rPr/>
      </w:pPr>
      <w:r>
        <w:t>· DMA 令牌：授权持有者设置 IOMMU 页表，允许特定 PCIe 设备直接访问某块物理内存。此令牌权限极高，仅授予经过 BDFL 安全审计的系统级驱动。</w:t>
      </w:r>
    </w:p>
    <w:p w14:paraId="B5777B6A">
      <w:pPr>
        <w:pStyle w:val="style0"/>
        <w:rPr/>
      </w:pPr>
      <w:r>
        <w:t>· 硬件虚拟化令牌：授权持有者使用 CPU 虚拟化扩展指令集（VT-x/AMD-V）和配置 IOMMU。此为最高权限令牌之一，仅授予虚拟机管理器。</w:t>
      </w:r>
    </w:p>
    <w:p w14:paraId="6BF7A757">
      <w:pPr>
        <w:pStyle w:val="style0"/>
        <w:rPr/>
      </w:pPr>
      <w:r>
        <w:t>· GPU 直通令牌：允许高信用度应用域直接访问 GPU 硬件，绕过图形服务。由用户显式授权。</w:t>
      </w:r>
    </w:p>
    <w:p w14:paraId="EBB2BC81">
      <w:pPr>
        <w:pStyle w:val="style0"/>
        <w:rPr/>
      </w:pPr>
      <w:r>
        <w:t>· NPU 计算令牌：授权持有者使用 NPU 硬件进行 AI 推理加速。</w:t>
      </w:r>
    </w:p>
    <w:p w14:paraId="E06281B8">
      <w:pPr>
        <w:pStyle w:val="style0"/>
        <w:rPr/>
      </w:pPr>
      <w:r>
        <w:t>· 音频通道令牌：授权持有者向音频服务发送或接收音频数据。</w:t>
      </w:r>
    </w:p>
    <w:p w14:paraId="66377BA0">
      <w:pPr>
        <w:pStyle w:val="style0"/>
        <w:rPr/>
      </w:pPr>
      <w:r>
        <w:t>· 蓝牙通道令牌：授权持有者通过蓝牙服务进行蓝牙通信。</w:t>
      </w:r>
    </w:p>
    <w:p w14:paraId="8344DFD9">
      <w:pPr>
        <w:pStyle w:val="style0"/>
        <w:rPr/>
      </w:pPr>
      <w:r>
        <w:t>· 网络通道令牌：授权持有者通过网络服务进行网络通信。</w:t>
      </w:r>
    </w:p>
    <w:p w14:paraId="6835DC67">
      <w:pPr>
        <w:pStyle w:val="style0"/>
        <w:rPr/>
      </w:pPr>
      <w:r>
        <w:t>· 硬件传感器读取令牌：授权持有者读取硬件健康监控服务的传感器数据。</w:t>
      </w:r>
    </w:p>
    <w:p w14:paraId="FC854F7E">
      <w:pPr>
        <w:pStyle w:val="style0"/>
        <w:rPr/>
      </w:pPr>
    </w:p>
    <w:p w14:paraId="3E766031">
      <w:pPr>
        <w:pStyle w:val="style0"/>
        <w:rPr/>
      </w:pPr>
      <w:r>
        <w:t>第3章 设备驱动信任分级</w:t>
      </w:r>
    </w:p>
    <w:p w14:paraId="8B320B06">
      <w:pPr>
        <w:pStyle w:val="style0"/>
        <w:rPr/>
      </w:pPr>
    </w:p>
    <w:p w14:paraId="A817F350">
      <w:pPr>
        <w:pStyle w:val="style0"/>
        <w:rPr/>
      </w:pPr>
      <w:r>
        <w:t>根据驱动来源和安全审计结果，系统对其授予不同的权限等级。</w:t>
      </w:r>
    </w:p>
    <w:p w14:paraId="EFF15217">
      <w:pPr>
        <w:pStyle w:val="style0"/>
        <w:rPr/>
      </w:pPr>
    </w:p>
    <w:p w14:paraId="2CCCF709">
      <w:pPr>
        <w:pStyle w:val="style0"/>
        <w:rPr/>
      </w:pPr>
      <w:r>
        <w:t>· 系统信任驱动（BDFL 审计并签名）：由 BDFL 或核心开发者审计并签名的关键驱动。经过安全审计，享有完全信任等级，不强制要求独立 MPK 硬件隔离，可持有完全的硬件访问令牌。推荐使用 Rust 编写以保证内存安全；高性能或需要复用现有 C/C++ 生态的驱动可使用 C/C++ 编写，经审计签名后视为系统信任驱动，同样不受 MPK 限制。</w:t>
      </w:r>
    </w:p>
    <w:p w14:paraId="D9EFBD6F">
      <w:pPr>
        <w:pStyle w:val="style0"/>
        <w:rPr/>
      </w:pPr>
      <w:r>
        <w:t>· 用户自签名驱动（个人模式）：用户自行签名安装的第三方或测试版驱动。未经 BDFL 安全审计，强制分配独立 MPK 密钥进行硬件隔离，受并发上限约束（最多 4 个）。持有的 DMA 令牌等权限可能受限，无法申请硬件虚拟化令牌。</w:t>
      </w:r>
    </w:p>
    <w:p w14:paraId="405AB440">
      <w:pPr>
        <w:pStyle w:val="style0"/>
        <w:rPr/>
      </w:pPr>
      <w:r>
        <w:t>· 兼容域驱动：为兼容旧操作系统而运行的旧版驱动，通常在虚拟机或兼容域内运行。无任何硬件令牌，仅能看到模拟的虚拟硬件，其行为被 IOMMU 和模拟器完全隔离。</w:t>
      </w:r>
    </w:p>
    <w:p w14:paraId="596860B0">
      <w:pPr>
        <w:pStyle w:val="style0"/>
        <w:rPr/>
      </w:pPr>
    </w:p>
    <w:p w14:paraId="D6FD294D">
      <w:pPr>
        <w:pStyle w:val="style0"/>
        <w:rPr/>
      </w:pPr>
      <w:r>
        <w:t>第4章 消费级硬件驱动实现方案</w:t>
      </w:r>
    </w:p>
    <w:p w14:paraId="9C7D670E">
      <w:pPr>
        <w:pStyle w:val="style0"/>
        <w:rPr/>
      </w:pPr>
    </w:p>
    <w:p w14:paraId="F5E3803A">
      <w:pPr>
        <w:pStyle w:val="style0"/>
        <w:rPr/>
      </w:pPr>
      <w:r>
        <w:t>4.1 显卡驱动</w:t>
      </w:r>
    </w:p>
    <w:p w14:paraId="A53B9E26">
      <w:pPr>
        <w:pStyle w:val="style0"/>
        <w:rPr/>
      </w:pPr>
    </w:p>
    <w:p w14:paraId="C9624846">
      <w:pPr>
        <w:pStyle w:val="style0"/>
        <w:rPr/>
      </w:pPr>
      <w:r>
        <w:t>图形服务持有 FramebufferToken，直接向物理显存写入像素。基础帧缓冲模式不依赖任何 GPU 厂商，可在所有支持 VESA 标准的显卡上运行。开源驱动模式下，集成 Mesa 3D 图形库的用户态驱动作为独立的图形服务域运行，持有 MMIOToken，需要时申请 DMAToken。GPU 直通模式下，高信用游戏域可申请 GPU 直通令牌，通过 IOMMU 将整个 GPU 分配给该域，提供不低于裸机 95% 的理论性能。任一图形服务崩溃，看护服务回收其令牌，重启服务或降级为更基础的显示模式。</w:t>
      </w:r>
    </w:p>
    <w:p w14:paraId="47E627D3">
      <w:pPr>
        <w:pStyle w:val="style0"/>
        <w:rPr/>
      </w:pPr>
    </w:p>
    <w:p w14:paraId="F225E804">
      <w:pPr>
        <w:pStyle w:val="style0"/>
        <w:rPr/>
      </w:pPr>
      <w:r>
        <w:t>4.2 网卡驱动</w:t>
      </w:r>
    </w:p>
    <w:p w14:paraId="DA676CC8">
      <w:pPr>
        <w:pStyle w:val="style0"/>
        <w:rPr/>
      </w:pPr>
    </w:p>
    <w:p w14:paraId="E8DFBFCD">
      <w:pPr>
        <w:pStyle w:val="style0"/>
        <w:rPr/>
      </w:pPr>
      <w:r>
        <w:t>网络服务作为独立用户态域运行，持有网卡的 MMIOToken 和 InterruptToken，负责处理 TCP/IP 协议栈。网络服务通过 DMAToken 配置 IOMMU，使网卡直接将数据包写入应用程序持有的 MemoryToken 内存区，实现零拷贝。应用程序不直接持有网卡令牌，而是通过网络通道令牌向网络服务请求联网。用户可以随时吊销任何应用持有的网络通道令牌，立即切断其网络连接。有线网络、WiFi、移动网络等不同网络接口由独立的网络服务实例管理。</w:t>
      </w:r>
    </w:p>
    <w:p w14:paraId="59E96F04">
      <w:pPr>
        <w:pStyle w:val="style0"/>
        <w:rPr/>
      </w:pPr>
    </w:p>
    <w:p w14:paraId="8E813DD8">
      <w:pPr>
        <w:pStyle w:val="style0"/>
        <w:rPr/>
      </w:pPr>
      <w:r>
        <w:t>4.3 存储驱动</w:t>
      </w:r>
    </w:p>
    <w:p w14:paraId="E3ED6CCC">
      <w:pPr>
        <w:pStyle w:val="style0"/>
        <w:rPr/>
      </w:pPr>
    </w:p>
    <w:p w14:paraId="9764418F">
      <w:pPr>
        <w:pStyle w:val="style0"/>
        <w:rPr/>
      </w:pPr>
      <w:r>
        <w:t>存储服务持有 NVMe 磁盘的 MMIOToken 和 DMAToken。它绕过传统文件系统，直接管理物理地址空间，对外提供扁平化的键值对象存储接口。若需兼容旧数据，兼容域服务持有只读 ObjectToken，读取导入的旧磁盘数据结构，并将其翻译为键值对象。</w:t>
      </w:r>
    </w:p>
    <w:p w14:paraId="9E1F8B93">
      <w:pPr>
        <w:pStyle w:val="style0"/>
        <w:rPr/>
      </w:pPr>
    </w:p>
    <w:p w14:paraId="48A9DD0F">
      <w:pPr>
        <w:pStyle w:val="style0"/>
        <w:rPr/>
      </w:pPr>
      <w:r>
        <w:t>4.4 设备驱动</w:t>
      </w:r>
    </w:p>
    <w:p w14:paraId="64B70895">
      <w:pPr>
        <w:pStyle w:val="style0"/>
        <w:rPr/>
      </w:pPr>
    </w:p>
    <w:p w14:paraId="7EC89659">
      <w:pPr>
        <w:pStyle w:val="style0"/>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4.4.1 </w:t>
      </w:r>
      <w:r>
        <w:rPr>
          <w:rFonts w:ascii="Calibri" w:cs="Arial" w:eastAsia="宋体" w:hAnsi="Calibri" w:hint="eastAsia"/>
          <w:b w:val="false"/>
          <w:bCs w:val="false"/>
          <w:i w:val="false"/>
          <w:iCs w:val="false"/>
          <w:color w:val="auto"/>
          <w:kern w:val="2"/>
          <w:sz w:val="21"/>
          <w:szCs w:val="22"/>
          <w:highlight w:val="none"/>
          <w:vertAlign w:val="baseline"/>
          <w:em w:val="none"/>
          <w:lang w:val="en-US" w:eastAsia="zh-CN"/>
        </w:rPr>
        <w:t>输入</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设备驱动</w:t>
      </w:r>
    </w:p>
    <w:p w14:paraId="AC34E3F9">
      <w:pPr>
        <w:pStyle w:val="style0"/>
        <w:rPr/>
      </w:pPr>
    </w:p>
    <w:p w14:paraId="D27899EF">
      <w:pPr>
        <w:pStyle w:val="style0"/>
        <w:rPr/>
      </w:pPr>
      <w:r>
        <w:t>键盘、鼠标等输入设备由桌面核心服务管理。该服务持有 InterruptToken，将硬件输入事件转化为系统消息，通过发布-订阅通道分发给前台应用，保证了只有用户当前激活的窗口能接收输入。</w:t>
      </w:r>
    </w:p>
    <w:p w14:paraId="BF8353B9">
      <w:pPr>
        <w:pStyle w:val="style0"/>
        <w:rPr/>
      </w:pPr>
    </w:p>
    <w:p w14:paraId="DBC8DD65">
      <w:pPr>
        <w:pStyle w:val="style0"/>
        <w:rPr>
          <w:lang w:val="en-US"/>
        </w:rPr>
      </w:pPr>
      <w:r>
        <w:rPr>
          <w:lang w:val="en-US"/>
        </w:rPr>
        <w:t>4.4.2 触屏设备驱动</w:t>
      </w:r>
    </w:p>
    <w:p w14:paraId="A06F9DE8">
      <w:pPr>
        <w:pStyle w:val="style0"/>
        <w:rPr/>
      </w:pPr>
    </w:p>
    <w:p w14:paraId="730D90A0">
      <w:pPr>
        <w:pStyle w:val="style0"/>
        <w:rPr>
          <w:lang w:val="en-US"/>
        </w:rPr>
      </w:pPr>
      <w:r>
        <w:rPr>
          <w:lang w:val="en-US"/>
        </w:rPr>
        <w:t>触屏设备驱动作为独立的用户态服务域运行，持有触屏控制器的 MMIOToken 和 InterruptToken。</w:t>
      </w:r>
    </w:p>
    <w:p w14:paraId="07898427">
      <w:pPr>
        <w:pStyle w:val="style0"/>
        <w:rPr/>
      </w:pPr>
    </w:p>
    <w:p w14:paraId="2A0C4414">
      <w:pPr>
        <w:pStyle w:val="style0"/>
        <w:rPr>
          <w:lang w:val="en-US"/>
        </w:rPr>
      </w:pPr>
      <w:r>
        <w:rPr>
          <w:lang w:val="en-US"/>
        </w:rPr>
        <w:t>当用户触摸屏幕时，触屏硬件产生中断。内核安全入口桩将中断打包为通知，发送给持有中断令牌的触屏驱动服务。触屏驱动服务读取触摸数据，解析为标准化触控事件。触控事件通过发布-订阅通道分发给当前前台应用的窗口。</w:t>
      </w:r>
    </w:p>
    <w:p w14:paraId="84227476">
      <w:pPr>
        <w:pStyle w:val="style0"/>
        <w:rPr/>
      </w:pPr>
    </w:p>
    <w:p w14:paraId="31AB2CAD">
      <w:pPr>
        <w:pStyle w:val="style0"/>
        <w:rPr/>
      </w:pPr>
      <w:r>
        <w:rPr>
          <w:lang w:val="en-US"/>
        </w:rPr>
        <w:t>触屏驱动服务支持多点触控，同时追踪多个触控点，解析缩放、旋转等手势。手写输入通过触屏坐标序列传递给手写识别服务完成。触屏驱动服务的崩溃不影响其他输入设备，看护服务自动重启该服务。</w:t>
      </w:r>
    </w:p>
    <w:p w14:paraId="0E1B675D">
      <w:pPr>
        <w:pStyle w:val="style0"/>
        <w:rPr/>
      </w:pPr>
    </w:p>
    <w:p w14:paraId="7C61FB84">
      <w:pPr>
        <w:pStyle w:val="style0"/>
        <w:rPr/>
      </w:pPr>
      <w:r>
        <w:t>4.5 音频设备驱动</w:t>
      </w:r>
    </w:p>
    <w:p w14:paraId="1F57293D">
      <w:pPr>
        <w:pStyle w:val="style0"/>
        <w:rPr/>
      </w:pPr>
    </w:p>
    <w:p w14:paraId="13ACC729">
      <w:pPr>
        <w:pStyle w:val="style0"/>
        <w:rPr/>
      </w:pPr>
      <w:r>
        <w:t>音频设备包括主板集成声卡、独立声卡、USB 音频设备等。音频服务作为独立的用户态服务域运行，持有声卡的 MMIOToken 和 DMAToken。音频服务负责音频数据的混音、采样率转换、音效处理。应用程序不直接访问音频硬件，而是通过音频通道令牌向音频服务发送音频数据。用户可通过系统托盘或系统设置单独调整每个应用程序的音量。</w:t>
      </w:r>
    </w:p>
    <w:p w14:paraId="518E95F0">
      <w:pPr>
        <w:pStyle w:val="style0"/>
        <w:rPr/>
      </w:pPr>
    </w:p>
    <w:p w14:paraId="CBC21587">
      <w:pPr>
        <w:pStyle w:val="style0"/>
        <w:rPr/>
      </w:pPr>
      <w:r>
        <w:t>4.6 蓝牙设备驱动</w:t>
      </w:r>
    </w:p>
    <w:p w14:paraId="0C666FF2">
      <w:pPr>
        <w:pStyle w:val="style0"/>
        <w:rPr/>
      </w:pPr>
    </w:p>
    <w:p w14:paraId="BEACE56A">
      <w:pPr>
        <w:pStyle w:val="style0"/>
        <w:rPr/>
      </w:pPr>
      <w:r>
        <w:t>蓝牙服务作为独立的用户态服务域运行，持有蓝牙适配器的 MMIOToken。蓝牙服务负责设备发现、配对管理、连接维护、数据传输。支持经典蓝牙和低功耗蓝牙协议。应用程序通过蓝牙通道令牌请求蓝牙通信。用户通过系统托盘或系统设置管理蓝牙设备。</w:t>
      </w:r>
    </w:p>
    <w:p w14:paraId="54035523">
      <w:pPr>
        <w:pStyle w:val="style0"/>
        <w:rPr/>
      </w:pPr>
    </w:p>
    <w:p w14:paraId="456360C8">
      <w:pPr>
        <w:pStyle w:val="style0"/>
        <w:rPr/>
      </w:pPr>
      <w:r>
        <w:t>4.7 网络设备驱动</w:t>
      </w:r>
    </w:p>
    <w:p w14:paraId="2FC6DD63">
      <w:pPr>
        <w:pStyle w:val="style0"/>
        <w:rPr/>
      </w:pPr>
    </w:p>
    <w:p w14:paraId="2B30B764">
      <w:pPr>
        <w:pStyle w:val="style0"/>
        <w:rPr/>
      </w:pPr>
      <w:r>
        <w:t>网络服务作为独立的用户态服务域运行，持有网卡的 MMIOToken 和 DMAToken。支持 IPv4 和 IPv6 双栈。通过 DMAToken 配置 IOMMU 实现零拷贝数据包处理。应用程序通过网络通道令牌访问网络服务。</w:t>
      </w:r>
    </w:p>
    <w:p w14:paraId="C46D5BF6">
      <w:pPr>
        <w:pStyle w:val="style0"/>
        <w:rPr/>
      </w:pPr>
    </w:p>
    <w:p w14:paraId="7FCDAF79">
      <w:pPr>
        <w:pStyle w:val="style0"/>
        <w:rPr/>
      </w:pPr>
      <w:r>
        <w:t>4.8 主板与传感器驱动</w:t>
      </w:r>
    </w:p>
    <w:p w14:paraId="D50555BE">
      <w:pPr>
        <w:pStyle w:val="style0"/>
        <w:rPr/>
      </w:pPr>
    </w:p>
    <w:p w14:paraId="353B5086">
      <w:pPr>
        <w:pStyle w:val="style0"/>
        <w:rPr/>
      </w:pPr>
      <w:r>
        <w:t>硬件健康监控服务作为独立的用户态服务域运行，持有主板传感器芯片的 MMIOToken。该服务负责监控 CPU 温度、主板温度、风扇转速、电压状态等硬件指标。传感器数据通过发布-订阅通道向用户可见的系统状态面板发布。当温度或电压超过安全阈值时，该服务向用户推送警告通知。该服务仅持有读取传感器数据的令牌，无权修改系统其他部分。</w:t>
      </w:r>
    </w:p>
    <w:p w14:paraId="5A59686B">
      <w:pPr>
        <w:pStyle w:val="style0"/>
        <w:rPr/>
      </w:pPr>
    </w:p>
    <w:p w14:paraId="2487A0C9">
      <w:pPr>
        <w:pStyle w:val="style0"/>
        <w:rPr/>
      </w:pPr>
      <w:r>
        <w:t>4.9 风扇控制驱动</w:t>
      </w:r>
    </w:p>
    <w:p w14:paraId="379C31C8">
      <w:pPr>
        <w:pStyle w:val="style0"/>
        <w:rPr/>
      </w:pPr>
    </w:p>
    <w:p w14:paraId="A73C623D">
      <w:pPr>
        <w:pStyle w:val="style0"/>
        <w:rPr/>
      </w:pPr>
      <w:r>
        <w:t>风扇控制服务作为独立的用户态服务域运行，持有风扇控制器的 MMIOToken。该服务根据硬件健康监控服务提供的温度数据，自动调整风扇转速。用户可在系统设置中选择风扇策略：静音模式适用于低负载场景，标准模式根据温度自动调整，性能模式适用于高负载场景，全速模式提供最大散热。风扇控制服务的崩溃不会导致风扇停转，硬件会回退到默认转速。</w:t>
      </w:r>
    </w:p>
    <w:p w14:paraId="F839C08A">
      <w:pPr>
        <w:pStyle w:val="style0"/>
        <w:rPr/>
      </w:pPr>
    </w:p>
    <w:p w14:paraId="E26286B0">
      <w:pPr>
        <w:pStyle w:val="style0"/>
        <w:rPr/>
      </w:pPr>
      <w:r>
        <w:t>4.10 NPU 驱动</w:t>
      </w:r>
    </w:p>
    <w:p w14:paraId="50F7745C">
      <w:pPr>
        <w:pStyle w:val="style0"/>
        <w:rPr/>
      </w:pPr>
    </w:p>
    <w:p w14:paraId="098FC288">
      <w:pPr>
        <w:pStyle w:val="style0"/>
        <w:rPr/>
      </w:pPr>
      <w:r>
        <w:t>NPU 服务作为独立的用户态服务域运行。系统启动时自动检测是否存在 NPU 硬件。若检测到 NPU 硬件存在，NPU 服务持有 NPU 的 MMIOToken 和 DMAToken，负责管理 AI 推理任务的调度和 NPU 内存分配。AI 智能助手、应用程序可通过 NPU 计算令牌请求 NPU 加速。用户可通过系统状态面板查看 NPU 的工作状态和利用率。若未检测到 NPU 硬件，NPU 服务不启动，所有 AI 推理任务自动回退到 CPU 或 GPU 上完成，系统功能不受任何影响。</w:t>
      </w:r>
    </w:p>
    <w:p w14:paraId="4C306391">
      <w:pPr>
        <w:pStyle w:val="style0"/>
        <w:rPr/>
      </w:pPr>
    </w:p>
    <w:p w14:paraId="6703BE97">
      <w:pPr>
        <w:pStyle w:val="style0"/>
        <w:rPr/>
      </w:pPr>
      <w:r>
        <w:t>4.11 内存与 CPU 管理</w:t>
      </w:r>
    </w:p>
    <w:p w14:paraId="427D91D1">
      <w:pPr>
        <w:pStyle w:val="style0"/>
        <w:rPr/>
      </w:pPr>
    </w:p>
    <w:p w14:paraId="F41D6D2A">
      <w:pPr>
        <w:pStyle w:val="style0"/>
        <w:rPr/>
      </w:pPr>
      <w:r>
        <w:t>物理内存由内核的物理内存分配器在 Ring 0 管理，用户态程序的内存申请通过 MemoryToken 完成。CPU 的电源管理和频率调度由独立的用户态服务负责，该服务持有 CPU 频率调整接口的访问令牌，根据系统负载和用户策略动态调整 CPU 频率。用户可在系统设置中选择 CPU 策略。CPU 调度服务的崩溃不会导致 CPU 停止工作，硬件会回退到默认频率。内存与 CPU 的状态信息通过系统状态面板向用户实时展示。</w:t>
      </w:r>
    </w:p>
    <w:p w14:paraId="5383EFCB">
      <w:pPr>
        <w:pStyle w:val="style0"/>
        <w:rPr/>
      </w:pPr>
    </w:p>
    <w:p w14:paraId="A61318FC">
      <w:pPr>
        <w:pStyle w:val="style0"/>
        <w:rPr/>
      </w:pPr>
      <w:r>
        <w:t>4.12 个人用户 RAID 支持</w:t>
      </w:r>
    </w:p>
    <w:p w14:paraId="E7E17E73">
      <w:pPr>
        <w:pStyle w:val="style0"/>
        <w:rPr/>
      </w:pPr>
    </w:p>
    <w:p w14:paraId="D7E4F11A">
      <w:pPr>
        <w:pStyle w:val="style0"/>
        <w:rPr/>
      </w:pPr>
      <w:r>
        <w:t>个人用户可使用主板集成RAID、独立RAID卡或软件RAID实现磁盘阵列。RAID服务作为独立的用户态服务域运行，持有对应存储控制器的MMIOToken和DMAToken。RAID服务负责磁盘阵列的创建、删除、重建、热备管理，支持RAID 0、RAID 1、RAID 5、RAID 10等主流RAID级别。个人用户通常使用RAID 0进行游戏加速、视频剪辑，或使用RAID 1进行重要数据备份。RAID服务管理的阵列作为键值对象存储池的物理存储后端。存储服务通过ObjectToken与RAID服务通信。RAID服务崩溃时，已配置的RAID阵列继续运行，用户数据不受影响。</w:t>
      </w:r>
    </w:p>
    <w:p w14:paraId="871CCD07">
      <w:pPr>
        <w:pStyle w:val="style0"/>
        <w:rPr/>
      </w:pPr>
    </w:p>
    <w:p w14:paraId="E3949C27">
      <w:pPr>
        <w:pStyle w:val="style0"/>
        <w:rPr/>
      </w:pPr>
      <w:r>
        <w:t>4.13 个人用户 TPM 支持</w:t>
      </w:r>
    </w:p>
    <w:p w14:paraId="40FA54DB">
      <w:pPr>
        <w:pStyle w:val="style0"/>
        <w:rPr/>
      </w:pPr>
    </w:p>
    <w:p w14:paraId="DFF81FD8">
      <w:pPr>
        <w:pStyle w:val="style0"/>
        <w:rPr/>
      </w:pPr>
      <w:r>
        <w:t>硬件可信计算模块（TPM）是主板上集成的安全芯片，提供密钥生成、加密运算、系统完整性度量等硬件级安全功能。TPM服务作为独立的用户态服务域运行，持有TPM芯片的MMIOToken。TPM服务提供密钥生成与管理（私钥永不离片）、数字签名与验证、数据加密与解密、系统完整性度量等功能。个人用户的根公钥生成与存储可结合TPM完成。用户私钥可在TPM内部生成，使用时由TPM内部签名，私钥明文永不出TPM芯片。系统启动时，TPM服务自动运行，配合固化根因验证系统启动链的完整性。若用户的主板不包含TPM芯片，TPM服务不启动，系统回退到纯软件加密方案。</w:t>
      </w:r>
    </w:p>
    <w:p w14:paraId="DEFB4222">
      <w:pPr>
        <w:pStyle w:val="style0"/>
        <w:rPr/>
      </w:pPr>
    </w:p>
    <w:p w14:paraId="CF246975">
      <w:pPr>
        <w:pStyle w:val="style0"/>
        <w:rPr>
          <w:lang w:val="en-US"/>
        </w:rPr>
      </w:pPr>
      <w:r>
        <w:rPr>
          <w:lang w:val="en-US"/>
        </w:rPr>
        <w:t>4.14 硬件服务之间的依赖关系</w:t>
      </w:r>
    </w:p>
    <w:p w14:paraId="983D43A0">
      <w:pPr>
        <w:pStyle w:val="style0"/>
        <w:rPr>
          <w:lang w:val="en-US"/>
        </w:rPr>
      </w:pPr>
    </w:p>
    <w:p w14:paraId="3E17CF04">
      <w:pPr>
        <w:pStyle w:val="style0"/>
        <w:rPr>
          <w:lang w:val="en-US"/>
        </w:rPr>
      </w:pPr>
      <w:r>
        <w:rPr>
          <w:lang w:val="en-US"/>
        </w:rPr>
        <w:t>健康监控服务持有温度传感器的MMIOToken，负责采集温度数据。健康监控服务同时持有发布通道令牌，将温度数据以发布-订阅的方式对外发布。风扇控制服务持有订阅通道令牌，订阅健康监控服务发布的温度数据通道。当温度数据更新时，健康监控服务通过发布通道推送新的温度值，风扇控制服务接收后根据用户预设的策略自动调整风扇转速。</w:t>
      </w:r>
    </w:p>
    <w:p w14:paraId="E0226042">
      <w:pPr>
        <w:pStyle w:val="style0"/>
        <w:rPr/>
      </w:pPr>
    </w:p>
    <w:p w14:paraId="20309A9A">
      <w:pPr>
        <w:pStyle w:val="style0"/>
        <w:rPr>
          <w:lang w:val="en-US"/>
        </w:rPr>
      </w:pPr>
      <w:r>
        <w:rPr>
          <w:lang w:val="en-US"/>
        </w:rPr>
        <w:t>两个服务之间的通信完全通过令牌授权的通道完成，不直接互相调用。健康监控服务崩溃时，风扇控制服务检测到通道断开，自动回退到默认安全转速，不会导致系统过热。风扇控制服务崩溃时，硬件回退到默认转速，不影响健康监控服务的正常运行。</w:t>
      </w:r>
    </w:p>
    <w:p w14:paraId="B1300676">
      <w:pPr>
        <w:pStyle w:val="style0"/>
        <w:rPr/>
      </w:pPr>
    </w:p>
    <w:p w14:paraId="35A5F5C8">
      <w:pPr>
        <w:pStyle w:val="style0"/>
        <w:rPr>
          <w:lang w:val="en-US"/>
        </w:rPr>
      </w:pPr>
      <w:r>
        <w:rPr>
          <w:lang w:val="en-US"/>
        </w:rPr>
        <w:t>NPU服务在启动时完成NPU硬件的初始化和内存分配。AI智能助手或其他需要NPU加速的应用程序，通过NPU计算令牌向NPU服务提交请求。NPU计算令牌的接口包括模型加载（将GGUF格式的模型数据加载到NPU内存）、推理提交（将输入数据提交给NPU进行推理计算）、结果返回（NPU完成推理后将结果返回给调用者）。</w:t>
      </w:r>
    </w:p>
    <w:p w14:paraId="15594A35">
      <w:pPr>
        <w:pStyle w:val="style0"/>
        <w:rPr/>
      </w:pPr>
    </w:p>
    <w:p w14:paraId="1FFD07B8">
      <w:pPr>
        <w:pStyle w:val="style0"/>
        <w:rPr>
          <w:lang w:val="en-US"/>
        </w:rPr>
      </w:pPr>
      <w:r>
        <w:rPr>
          <w:lang w:val="en-US"/>
        </w:rPr>
        <w:t>AI智能助手在用户授权下，通过其持有的AI服务令牌向NPU服务申请NPU计算令牌。NPU服务验证AI服务令牌的合法性后，授予NPU计算令牌。AI智能助手加载本地存储的GGUF模型文件（模型数据以键值对象形式存储于用户个人数据区），通过NPU计算令牌将模型加载到NPU内存，之后即可提交用户的推理请求。</w:t>
      </w:r>
    </w:p>
    <w:p w14:paraId="2F71ADB2">
      <w:pPr>
        <w:pStyle w:val="style0"/>
        <w:rPr/>
      </w:pPr>
    </w:p>
    <w:p w14:paraId="563BD090">
      <w:pPr>
        <w:pStyle w:val="style0"/>
        <w:rPr/>
      </w:pPr>
      <w:r>
        <w:rPr>
          <w:lang w:val="en-US"/>
        </w:rPr>
        <w:t>若NPU硬件不存在，NPU服务不启动。AI智能助手自动回退到CPU或GPU推理模式，通过对应的计算令牌完成推理任务，用户体验不受影响。</w:t>
      </w:r>
    </w:p>
    <w:p w14:paraId="B5398ECD">
      <w:pPr>
        <w:pStyle w:val="style0"/>
        <w:rPr/>
      </w:pPr>
    </w:p>
    <w:p w14:paraId="F64885DF">
      <w:pPr>
        <w:pStyle w:val="style0"/>
        <w:rPr/>
      </w:pPr>
      <w:r>
        <w:t>第5章 服务器硬件支持</w:t>
      </w:r>
    </w:p>
    <w:p w14:paraId="526572B7">
      <w:pPr>
        <w:pStyle w:val="style0"/>
        <w:rPr/>
      </w:pPr>
    </w:p>
    <w:p w14:paraId="52FA3918">
      <w:pPr>
        <w:pStyle w:val="style0"/>
        <w:rPr/>
      </w:pPr>
      <w:r>
        <w:t>本章定义本操作系统在服务器环境中对关键硬件设备的管理方案。所有服务器硬件驱动均作为独立的用户态服务域运行，通过能力令牌授权访问硬件。内核不包含任何服务器硬件控制代码。</w:t>
      </w:r>
    </w:p>
    <w:p w14:paraId="C5907D09">
      <w:pPr>
        <w:pStyle w:val="style0"/>
        <w:rPr/>
      </w:pPr>
    </w:p>
    <w:p w14:paraId="3703D95B">
      <w:pPr>
        <w:pStyle w:val="style0"/>
        <w:rPr/>
      </w:pPr>
      <w:r>
        <w:t>5.1 主板管理控制器驱动</w:t>
      </w:r>
    </w:p>
    <w:p w14:paraId="A7870FD0">
      <w:pPr>
        <w:pStyle w:val="style0"/>
        <w:rPr/>
      </w:pPr>
    </w:p>
    <w:p w14:paraId="1815927F">
      <w:pPr>
        <w:pStyle w:val="style0"/>
        <w:rPr/>
      </w:pPr>
      <w:r>
        <w:t>主板管理控制器（BMC）是服务器主板的核心管理芯片，负责远程管理、硬件监控、电源控制、固件更新等功能。BMC 服务作为独立的用户态服务域运行，持有 BMC 芯片的 MMIOToken 和网络通道令牌。BMC 服务负责服务器远程监控、远程开关机、硬件健康状态采集、固件版本管理。BMC 服务持有的网络通道令牌可与外部管理网络通信，但受令牌体系约束，无法访问未经授权的系统资源。</w:t>
      </w:r>
    </w:p>
    <w:p w14:paraId="1E4D303A">
      <w:pPr>
        <w:pStyle w:val="style0"/>
        <w:rPr/>
      </w:pPr>
    </w:p>
    <w:p w14:paraId="671080CE">
      <w:pPr>
        <w:pStyle w:val="style0"/>
        <w:rPr/>
      </w:pPr>
      <w:r>
        <w:t>5.2 磁盘阵列卡与存储控制器驱动</w:t>
      </w:r>
    </w:p>
    <w:p w14:paraId="12F1BB39">
      <w:pPr>
        <w:pStyle w:val="style0"/>
        <w:rPr/>
      </w:pPr>
    </w:p>
    <w:p w14:paraId="C66E11E6">
      <w:pPr>
        <w:pStyle w:val="style0"/>
        <w:rPr/>
      </w:pPr>
      <w:r>
        <w:t>磁盘阵列（RAID）卡和存储控制器驱动作为独立的用户态服务域运行，持有对应 PCIe 设备的 MMIOToken 和 DMAToken。RAID 服务负责磁盘阵列的创建、删除、重建、热备管理，支持主流 RAID 级别配置。存储服务通过 ObjectToken 与 RAID 服务通信，将 RAID 阵列作为键值对象存储池的物理存储后端。RAID 服务的状态和磁盘健康信息通过系统状态面板向用户展示。RAID 服务崩溃时，已配置的 RAID 阵列继续运行，用户数据不受影响。</w:t>
      </w:r>
    </w:p>
    <w:p w14:paraId="F10F8488">
      <w:pPr>
        <w:pStyle w:val="style0"/>
        <w:rPr/>
      </w:pPr>
    </w:p>
    <w:p w14:paraId="9AFC2673">
      <w:pPr>
        <w:pStyle w:val="style0"/>
        <w:rPr/>
      </w:pPr>
      <w:r>
        <w:t>5.3 服务器风扇与散热管理驱动</w:t>
      </w:r>
    </w:p>
    <w:p w14:paraId="CC10C095">
      <w:pPr>
        <w:pStyle w:val="style0"/>
        <w:rPr/>
      </w:pPr>
    </w:p>
    <w:p w14:paraId="0E31DAFB">
      <w:pPr>
        <w:pStyle w:val="style0"/>
        <w:rPr/>
      </w:pPr>
      <w:r>
        <w:t>服务器通常配备多组高转速风扇和复杂散热系统。风扇控制服务作为独立的用户态服务域运行，持有风扇控制器和温度传感器的 MMIOToken。根据服务器负载和温度数据，该服务动态调整多组风扇转速。风扇控制服务的崩溃不会导致风扇停转，硬件会回退到默认高转速模式以确保安全。</w:t>
      </w:r>
    </w:p>
    <w:p w14:paraId="A93489D9">
      <w:pPr>
        <w:pStyle w:val="style0"/>
        <w:rPr/>
      </w:pPr>
    </w:p>
    <w:p w14:paraId="40B7CA8B">
      <w:pPr>
        <w:pStyle w:val="style0"/>
        <w:rPr/>
      </w:pPr>
      <w:r>
        <w:t>5.4 远程管理与虚拟串口驱动</w:t>
      </w:r>
    </w:p>
    <w:p w14:paraId="2898F8F1">
      <w:pPr>
        <w:pStyle w:val="style0"/>
        <w:rPr/>
      </w:pPr>
    </w:p>
    <w:p w14:paraId="0BEA8E64">
      <w:pPr>
        <w:pStyle w:val="style0"/>
        <w:rPr/>
      </w:pPr>
      <w:r>
        <w:t>服务器通常通过虚拟串口提供远程管理能力。虚拟串口服务作为独立的用户态服务域运行，持有 BMC 虚拟串口设备的 MMIOToken。该服务将虚拟串口数据通过安全通道传输至远程管理终端，实现远程管理功能。本操作系统不提供命令行交互界面，串口输出仅用于系统调试日志和紧急故障信息，不提供命令行操作能力。</w:t>
      </w:r>
    </w:p>
    <w:p w14:paraId="2D119AC6">
      <w:pPr>
        <w:pStyle w:val="style0"/>
        <w:rPr/>
      </w:pPr>
    </w:p>
    <w:p w14:paraId="703FD9D1">
      <w:pPr>
        <w:pStyle w:val="style0"/>
        <w:rPr/>
      </w:pPr>
      <w:r>
        <w:t>5.5 服务器电源管理驱动</w:t>
      </w:r>
    </w:p>
    <w:p w14:paraId="A28329A9">
      <w:pPr>
        <w:pStyle w:val="style0"/>
        <w:rPr/>
      </w:pPr>
    </w:p>
    <w:p w14:paraId="911F8146">
      <w:pPr>
        <w:pStyle w:val="style0"/>
        <w:rPr/>
      </w:pPr>
      <w:r>
        <w:t>服务器电源管理服务作为独立的用户态服务域运行，持有 BMC 电源管理模块的 MMIOToken。该服务负责服务器开关机控制、电源状态监控、功耗统计、电源策略管理。电源管理服务的崩溃不会导致服务器断电，硬件保持当前电源状态。</w:t>
      </w:r>
    </w:p>
    <w:p w14:paraId="39B9213A">
      <w:pPr>
        <w:pStyle w:val="style0"/>
        <w:rPr/>
      </w:pPr>
    </w:p>
    <w:p w14:paraId="2ED4D59F">
      <w:pPr>
        <w:pStyle w:val="style0"/>
        <w:rPr/>
      </w:pPr>
      <w:r>
        <w:t>5.6 硬件加密与可信计算模块驱动</w:t>
      </w:r>
    </w:p>
    <w:p w14:paraId="5843A838">
      <w:pPr>
        <w:pStyle w:val="style0"/>
        <w:rPr/>
      </w:pPr>
    </w:p>
    <w:p w14:paraId="58FA6DF5">
      <w:pPr>
        <w:pStyle w:val="style0"/>
        <w:rPr/>
      </w:pPr>
      <w:r>
        <w:t>硬件加密与可信计算模块（TPM/HSM）服务作为独立的用户态服务域运行，持有加密模块的 MMIOToken。该服务负责密钥生成与管理、数字签名与验证、数据加密与解密、系统完整性度量与远程证明。此服务为系统信任链提供硬件级保护。根公钥的生成与存储可结合 TPM/HSM 完成。</w:t>
      </w:r>
    </w:p>
    <w:p w14:paraId="09CDCE62">
      <w:pPr>
        <w:pStyle w:val="style0"/>
        <w:rPr/>
      </w:pPr>
    </w:p>
    <w:p w14:paraId="C739D176">
      <w:pPr>
        <w:pStyle w:val="style0"/>
        <w:rPr/>
      </w:pPr>
      <w:r>
        <w:t>5.7 硬件加速器驱动</w:t>
      </w:r>
    </w:p>
    <w:p w14:paraId="A188AF2A">
      <w:pPr>
        <w:pStyle w:val="style0"/>
        <w:rPr/>
      </w:pPr>
    </w:p>
    <w:p w14:paraId="4594F96A">
      <w:pPr>
        <w:pStyle w:val="style0"/>
        <w:rPr/>
      </w:pPr>
      <w:r>
        <w:t>硬件加速器（FPGA、SmartNIC 等）服务作为独立的用户态服务域运行，持有对应 PCIe 设备的 MMIOToken 和 DMAToken。该服务负责管理硬件加速器的配置、任务调度、数据交换。应用程序可通过加速器通道令牌向硬件加速器提交计算任务。</w:t>
      </w:r>
    </w:p>
    <w:p w14:paraId="6F257FC2">
      <w:pPr>
        <w:pStyle w:val="style0"/>
        <w:rPr/>
      </w:pPr>
    </w:p>
    <w:p w14:paraId="CD0EDF1C">
      <w:pPr>
        <w:pStyle w:val="style0"/>
        <w:rPr/>
      </w:pPr>
      <w:r>
        <w:t>5.8 系统识别与自动适配</w:t>
      </w:r>
    </w:p>
    <w:p w14:paraId="6D00E60F">
      <w:pPr>
        <w:pStyle w:val="style0"/>
        <w:rPr/>
      </w:pPr>
    </w:p>
    <w:p w14:paraId="02B4B4CD">
      <w:pPr>
        <w:pStyle w:val="style0"/>
        <w:rPr/>
      </w:pPr>
      <w:r>
        <w:t>系统启动时自动检测服务器硬件配置。检测到的硬件自动启动对应的用户态驱动服务。未检测到的硬件对应服务不启动，不占用系统资源。用户可通过系统状态面板查看已识别的所有服务器硬件及其运行状态。</w:t>
      </w:r>
    </w:p>
    <w:p w14:paraId="F205DA6E">
      <w:pPr>
        <w:pStyle w:val="style0"/>
        <w:rPr/>
      </w:pPr>
    </w:p>
    <w:p w14:paraId="7BCE240A">
      <w:pPr>
        <w:pStyle w:val="style0"/>
        <w:rPr/>
      </w:pPr>
      <w:r>
        <w:t>第6章 硬件故障处理与降级策略</w:t>
      </w:r>
    </w:p>
    <w:p w14:paraId="30FEF4BA">
      <w:pPr>
        <w:pStyle w:val="style0"/>
        <w:rPr/>
      </w:pPr>
    </w:p>
    <w:p w14:paraId="1A878668">
      <w:pPr>
        <w:pStyle w:val="style0"/>
        <w:rPr/>
      </w:pPr>
      <w:r>
        <w:t>· 驱动崩溃：看护服务监控到驱动域崩溃后，立即回收其所有硬件令牌，并尝试重启该服务。如果重启失败，执行用户预设的降级策略（如从独显切换至核显，或从 GPU 加速模式降级为基础帧缓冲模式）。</w:t>
      </w:r>
    </w:p>
    <w:p w14:paraId="35615D8E">
      <w:pPr>
        <w:pStyle w:val="style0"/>
        <w:rPr/>
      </w:pPr>
      <w:r>
        <w:t>· 硬件完全故障：如果硬件完全无响应（如核显也故障），系统激活低保显示服务，通过串口输出关键故障信息，通知用户硬件状态。</w:t>
      </w:r>
    </w:p>
    <w:p w14:paraId="9E8A187F">
      <w:pPr>
        <w:pStyle w:val="style0"/>
        <w:rPr/>
      </w:pPr>
      <w:r>
        <w:t>· 降级通知：任何降级操作发生时，系统都会向用户推送一条清晰的通知，告知用户当前状态及可能的影响。</w:t>
      </w:r>
    </w:p>
    <w:p w14:paraId="103EA4DF">
      <w:pPr>
        <w:pStyle w:val="style0"/>
        <w:rPr/>
      </w:pPr>
      <w:r>
        <w:t>· 服务间隔离：单个硬件服务的崩溃不影响其他硬件服务的正常运行。看护服务持续监控所有硬件服务的健康状态。</w:t>
      </w:r>
    </w:p>
    <w:p w14:paraId="94D5450B">
      <w:pPr>
        <w:pStyle w:val="style0"/>
        <w:rPr/>
      </w:pPr>
    </w:p>
    <w:p w14:paraId="8303EE1A">
      <w:pPr>
        <w:pStyle w:val="style0"/>
        <w:rPr/>
      </w:pPr>
      <w:r>
        <w:t>第7章 Ring 3 硬件驱动的开发与签名流程</w:t>
      </w:r>
    </w:p>
    <w:p w14:paraId="E65DD06F">
      <w:pPr>
        <w:pStyle w:val="style0"/>
        <w:rPr/>
      </w:pPr>
    </w:p>
    <w:p w14:paraId="0A504DA4">
      <w:pPr>
        <w:pStyle w:val="style0"/>
        <w:rPr/>
      </w:pPr>
      <w:r>
        <w:t>· 驱动开发：开发者使用 Rust 或 C++ 编写驱动，引入本系统 SDK。驱动核心逻辑是申请对应的硬件令牌，并处理中断回调。</w:t>
      </w:r>
    </w:p>
    <w:p w14:paraId="DE14D095">
      <w:pPr>
        <w:pStyle w:val="style0"/>
        <w:rPr/>
      </w:pPr>
      <w:r>
        <w:t>· 提交审计：开发者将代码提交至审计群组。BDFL 或核心开发者审查代码，重点检查 IOMMU 配置、DMA 缓冲区隔离、中断处理安全。审计过程公开透明，审计日志对所有核心开发者可见。</w:t>
      </w:r>
    </w:p>
    <w:p w14:paraId="DD3548A7">
      <w:pPr>
        <w:pStyle w:val="style0"/>
        <w:rPr/>
      </w:pPr>
      <w:r>
        <w:t>· 签名发布：审计通过后，由 BDFL 或授权核心开发者使用发布密钥签名。关键组件的发布采用多重签名机制，需 BDFL 与至少一名核心开发者共同签名。发布采用可重现构建流程，BDFL 可独立验证发布二进制与审计源代码的一致性。用户安装经签名的驱动包，安装过程需用户显式授权。</w:t>
      </w:r>
    </w:p>
    <w:p w14:paraId="0AE1756F">
      <w:pPr>
        <w:pStyle w:val="style0"/>
        <w:rPr/>
      </w:pPr>
    </w:p>
    <w:p w14:paraId="0D5500EB">
      <w:pPr>
        <w:pStyle w:val="style0"/>
        <w:rPr>
          <w:lang w:val="en-US"/>
        </w:rPr>
      </w:pPr>
      <w:r>
        <w:rPr>
          <w:lang w:val="en-US"/>
        </w:rPr>
        <w:t>外部厂商驱动的签名流程</w:t>
      </w:r>
    </w:p>
    <w:p w14:paraId="0C6BCC4D">
      <w:pPr>
        <w:pStyle w:val="style0"/>
        <w:rPr/>
      </w:pPr>
    </w:p>
    <w:p w14:paraId="14F797B6">
      <w:pPr>
        <w:pStyle w:val="style0"/>
        <w:rPr>
          <w:lang w:val="en-US"/>
        </w:rPr>
      </w:pPr>
      <w:r>
        <w:rPr>
          <w:lang w:val="en-US"/>
        </w:rPr>
        <w:t>硬件厂商自行开发并审计驱动代码。厂商将驱动代码与审计报告提交至BDFL。BDFL确认厂商已自行审计后，使用发布密钥签名。签名后的驱动可在本系统上合法运行。</w:t>
      </w:r>
    </w:p>
    <w:p w14:paraId="E51FF3D6">
      <w:pPr>
        <w:pStyle w:val="style0"/>
        <w:rPr/>
      </w:pPr>
    </w:p>
    <w:p w14:paraId="40AA7BB6">
      <w:pPr>
        <w:pStyle w:val="style0"/>
        <w:rPr/>
      </w:pPr>
      <w:r>
        <w:rPr>
          <w:lang w:val="en-US"/>
        </w:rPr>
        <w:t>若驱动存在安全漏洞或导致系统异常，BDFL有权随时撤销签名。驱动被撤销签名后，用户系统自动拒绝加载该驱动。厂商需修复漏洞后重新提交审计和签名请求。</w:t>
      </w:r>
    </w:p>
    <w:p w14:paraId="E2D331BA">
      <w:pPr>
        <w:pStyle w:val="style0"/>
        <w:rPr/>
      </w:pPr>
    </w:p>
    <w:p w14:paraId="01DC016F">
      <w:pPr>
        <w:pStyle w:val="style0"/>
        <w:rPr/>
      </w:pPr>
      <w:r>
        <w:t>第8章 与宪法和功能文档的关系</w:t>
      </w:r>
    </w:p>
    <w:p w14:paraId="33B23D9A">
      <w:pPr>
        <w:pStyle w:val="style0"/>
        <w:rPr/>
      </w:pPr>
    </w:p>
    <w:p w14:paraId="1EFF59D1">
      <w:pPr>
        <w:pStyle w:val="style0"/>
        <w:rPr/>
      </w:pPr>
      <w:r>
        <w:t>本文档是对《制造新型操作系统技术宪法》和《新型操作系统功能文档》在硬件代码层面的具体展开。所有硬件驱动均在 Ring 3 用户态运行，通过能力令牌授权访问硬件。内核仅负责令牌的创建与验证，不包含任何硬件控制代码。本系统的设计从根本上消灭了传统操作系统中内核态驱动导致的系统崩溃风险，实现了消费级硬件与服务器级硬件的统一管理。</w:t>
      </w:r>
    </w:p>
    <w:p w14:paraId="1340B0EB">
      <w:pPr>
        <w:pStyle w:val="style0"/>
        <w:rPr/>
      </w:pPr>
    </w:p>
    <w:p w14:paraId="42814706">
      <w:pPr>
        <w:pStyle w:val="style0"/>
        <w:rPr/>
      </w:pPr>
      <w:r>
        <w:t>经过 BDFL 安全审计并签名的 C/C++ 驱动，视为系统信任驱动，不强制要求 MPK 硬件隔离，可持有完全的硬件访问令牌。未经 BDFL 签名的第三方 C/C++ 驱动，必须在个人模式下由用户签名，并强制分配独立 MPK 密钥进行硬件隔离。</w:t>
      </w:r>
    </w:p>
    <w:sectPr>
      <w:headerReference w:type="default" r:id="rId2"/>
      <w:footerReference w:type="default" r:id="rId3"/>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864201E">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E8FF892">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6233</Words>
  <Characters>7077</Characters>
  <Application>WPS Office</Application>
  <Paragraphs>179</Paragraphs>
  <CharactersWithSpaces>7388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2026-06-02T12:06:02Z</dcterms:created>
  <dc:creator>2109119BC</dc:creator>
  <lastModifiedBy>2109119BC</lastModifiedBy>
  <dcterms:modified xsi:type="dcterms:W3CDTF">2026-06-03T05:17:39Z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1665a8f4b9c0482eb4ca168e5d58f3fe_23</vt:lpwstr>
  </property>
</Properties>
</file>