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705C104">
      <w:pPr>
        <w:pStyle w:val="style4097"/>
        <w:jc w:val="left"/>
        <w:rPr/>
      </w:pPr>
      <w:r>
        <w:t>Vulkan图形显示支持功能文档</w:t>
      </w:r>
    </w:p>
    <w:p w14:paraId="D8C0BEAF">
      <w:pPr>
        <w:pStyle w:val="style0"/>
        <w:jc w:val="left"/>
        <w:rPr/>
      </w:pPr>
      <w:r>
        <w:t>前言</w:t>
      </w:r>
    </w:p>
    <w:p w14:paraId="9C85A788">
      <w:pPr>
        <w:pStyle w:val="style0"/>
        <w:jc w:val="left"/>
        <w:rPr/>
      </w:pPr>
    </w:p>
    <w:p w14:paraId="58307614">
      <w:pPr>
        <w:pStyle w:val="style0"/>
        <w:jc w:val="left"/>
        <w:rPr/>
      </w:pPr>
      <w:r>
        <w:t>本规范依据《制造新型操作系统技术宪法》与《新型操作系统功能文档》制定。</w:t>
      </w:r>
    </w:p>
    <w:p w14:paraId="A93ACE5F">
      <w:pPr>
        <w:pStyle w:val="style0"/>
        <w:jc w:val="left"/>
        <w:rPr/>
      </w:pPr>
    </w:p>
    <w:p w14:paraId="60A52713">
      <w:pPr>
        <w:pStyle w:val="style0"/>
        <w:jc w:val="left"/>
        <w:rPr/>
      </w:pPr>
      <w:r>
        <w:t>Vulkan支持在本系统中完全作为用户态服务实现，不修改内核的任何核心逻辑。所有图形功能均通过能力令牌授权，应用程序的图形访问受令牌体系约束。</w:t>
      </w:r>
    </w:p>
    <w:p w14:paraId="8A19F53F">
      <w:pPr>
        <w:pStyle w:val="style0"/>
        <w:jc w:val="left"/>
        <w:rPr/>
      </w:pPr>
    </w:p>
    <w:p w14:paraId="475E918C">
      <w:pPr>
        <w:pStyle w:val="style0"/>
        <w:jc w:val="left"/>
        <w:rPr/>
      </w:pPr>
      <w:r>
        <w:t>1. Vulkan 在本系统中的定位</w:t>
      </w:r>
    </w:p>
    <w:p w14:paraId="747D0FF3">
      <w:pPr>
        <w:pStyle w:val="style0"/>
        <w:jc w:val="left"/>
        <w:rPr/>
      </w:pPr>
    </w:p>
    <w:p w14:paraId="341FCD29">
      <w:pPr>
        <w:pStyle w:val="style0"/>
        <w:jc w:val="left"/>
        <w:rPr/>
      </w:pPr>
      <w:r>
        <w:t>Vulkan是本系统的原生图形与计算API。所有需要高性能图形渲染或通用计算（GPGPU）的应用程序，均通过Vulkan接口与图形硬件交互。</w:t>
      </w:r>
    </w:p>
    <w:p w14:paraId="0202D33A">
      <w:pPr>
        <w:pStyle w:val="style0"/>
        <w:jc w:val="left"/>
        <w:rPr/>
      </w:pPr>
    </w:p>
    <w:p w14:paraId="F41F48AC">
      <w:pPr>
        <w:pStyle w:val="style0"/>
        <w:jc w:val="left"/>
        <w:rPr/>
      </w:pPr>
      <w:r>
        <w:t>Vulkan支持不作为内核模块存在。它由用户态的图形服务域提供，该域持有GPU硬件访问令牌。应用程序不直接与GPU硬件通信，而是通过通道令牌向图形服务域提交Vulkan命令。</w:t>
      </w:r>
    </w:p>
    <w:p w14:paraId="FA9388E1">
      <w:pPr>
        <w:pStyle w:val="style0"/>
        <w:jc w:val="left"/>
        <w:rPr/>
      </w:pPr>
    </w:p>
    <w:p w14:paraId="F812F434">
      <w:pPr>
        <w:pStyle w:val="style0"/>
        <w:jc w:val="left"/>
        <w:rPr/>
      </w:pPr>
      <w:r>
        <w:t>2. 图形服务架构</w:t>
      </w:r>
    </w:p>
    <w:p w14:paraId="B4F19CAE">
      <w:pPr>
        <w:pStyle w:val="style0"/>
        <w:jc w:val="left"/>
        <w:rPr/>
      </w:pPr>
    </w:p>
    <w:p w14:paraId="C16297A2">
      <w:pPr>
        <w:pStyle w:val="style0"/>
        <w:jc w:val="left"/>
        <w:rPr/>
      </w:pPr>
      <w:r>
        <w:t>本系统采用分层图形服务架构，以适应不同性能需求和硬件兼容性。</w:t>
      </w:r>
    </w:p>
    <w:p w14:paraId="539D8C20">
      <w:pPr>
        <w:pStyle w:val="style0"/>
        <w:jc w:val="left"/>
        <w:rPr/>
      </w:pPr>
    </w:p>
    <w:p w14:paraId="876F3179">
      <w:pPr>
        <w:pStyle w:val="style0"/>
        <w:jc w:val="left"/>
        <w:rPr/>
      </w:pPr>
      <w:r>
        <w:t>2.1 基础帧缓冲模式</w:t>
      </w:r>
    </w:p>
    <w:p w14:paraId="4E87764F">
      <w:pPr>
        <w:pStyle w:val="style0"/>
        <w:jc w:val="left"/>
        <w:rPr/>
      </w:pPr>
    </w:p>
    <w:p w14:paraId="2F87DFBD">
      <w:pPr>
        <w:pStyle w:val="style0"/>
        <w:jc w:val="left"/>
        <w:rPr/>
      </w:pPr>
      <w:r>
        <w:t>提供最基础的显示功能。图形服务通过帧缓冲令牌向显存写入像素数据，适用于轻量级桌面环境。此模式不依赖任何GPU厂商驱动，可在所有支持VESA标准的显卡上运行。</w:t>
      </w:r>
    </w:p>
    <w:p w14:paraId="87355D94">
      <w:pPr>
        <w:pStyle w:val="style0"/>
        <w:jc w:val="left"/>
        <w:rPr/>
      </w:pPr>
    </w:p>
    <w:p w14:paraId="034EF35E">
      <w:pPr>
        <w:pStyle w:val="style0"/>
        <w:jc w:val="left"/>
        <w:rPr/>
      </w:pPr>
      <w:r>
        <w:t>2.2 开源驱动模式</w:t>
      </w:r>
    </w:p>
    <w:p w14:paraId="9B65A3EF">
      <w:pPr>
        <w:pStyle w:val="style0"/>
        <w:jc w:val="left"/>
        <w:rPr/>
      </w:pPr>
    </w:p>
    <w:p w14:paraId="7BC8FC10">
      <w:pPr>
        <w:pStyle w:val="style0"/>
        <w:jc w:val="left"/>
        <w:rPr/>
      </w:pPr>
      <w:r>
        <w:t>图形服务域集成开源GPU驱动（如Mesa 3D图形库，包含Intel anv、AMD radv等Vulkan驱动，以及NVIDIA Nouveau驱动）。此模式提供完整的Vulkan支持，性能取决于开源驱动的成熟度。</w:t>
      </w:r>
    </w:p>
    <w:p w14:paraId="A054A534">
      <w:pPr>
        <w:pStyle w:val="style0"/>
        <w:jc w:val="left"/>
        <w:rPr/>
      </w:pPr>
    </w:p>
    <w:p w14:paraId="58C2124E">
      <w:pPr>
        <w:pStyle w:val="style0"/>
        <w:jc w:val="left"/>
        <w:rPr/>
      </w:pPr>
      <w:r>
        <w:t>2.3 GPU直通模式</w:t>
      </w:r>
    </w:p>
    <w:p w14:paraId="476124A2">
      <w:pPr>
        <w:pStyle w:val="style0"/>
        <w:jc w:val="left"/>
        <w:rPr/>
      </w:pPr>
    </w:p>
    <w:p w14:paraId="63BD8E34">
      <w:pPr>
        <w:pStyle w:val="style0"/>
        <w:jc w:val="left"/>
        <w:rPr/>
      </w:pPr>
      <w:r>
        <w:t>高信用度应用域可申请GPU直通令牌。获得直通令牌后，应用程序直接访问GPU硬件，绕过图形服务域，实现裸机级别的图形性能。GPU直通令牌由用户显式授权，生命周期与该应用域绑定，域结束时令牌自动回收。</w:t>
      </w:r>
    </w:p>
    <w:p w14:paraId="20E8EC3B">
      <w:pPr>
        <w:pStyle w:val="style0"/>
        <w:jc w:val="left"/>
        <w:rPr/>
      </w:pPr>
    </w:p>
    <w:p w14:paraId="1F93EB4B">
      <w:pPr>
        <w:pStyle w:val="style0"/>
        <w:jc w:val="left"/>
        <w:rPr/>
      </w:pPr>
      <w:r>
        <w:t>3. 多厂商硬件兼容</w:t>
      </w:r>
    </w:p>
    <w:p w14:paraId="E25DD08F">
      <w:pPr>
        <w:pStyle w:val="style0"/>
        <w:jc w:val="left"/>
        <w:rPr/>
      </w:pPr>
    </w:p>
    <w:p w14:paraId="46C149CF">
      <w:pPr>
        <w:pStyle w:val="style0"/>
        <w:jc w:val="left"/>
        <w:rPr/>
      </w:pPr>
      <w:r>
        <w:t>本系统通过统一的Vulkan接口屏蔽底层硬件差异。不同厂商的GPU驱动均以独立的用户态服务域形式运行，共享同一套Vulkan前端接口。</w:t>
      </w:r>
    </w:p>
    <w:p w14:paraId="2E11F5E4">
      <w:pPr>
        <w:pStyle w:val="style0"/>
        <w:jc w:val="left"/>
        <w:rPr/>
      </w:pPr>
    </w:p>
    <w:p w14:paraId="4C50E969">
      <w:pPr>
        <w:pStyle w:val="style0"/>
        <w:jc w:val="left"/>
        <w:rPr/>
      </w:pPr>
      <w:r>
        <w:t>Intel核显通过Mesa的anv驱动支持。AMD显卡通过Mesa的radv驱动支持。NVIDIA显卡通过开源Nouveau驱动提供基础支持；若用户获取NVIDIA专有驱动，可配置为独立的GPU直通域，系统内核不做限制。华为、摩尔线程等新兴GPU厂商的驱动，可在发布后以用户态服务域形式接入系统，无需修改内核。</w:t>
      </w:r>
    </w:p>
    <w:p w14:paraId="86840618">
      <w:pPr>
        <w:pStyle w:val="style0"/>
        <w:jc w:val="left"/>
        <w:rPr/>
      </w:pPr>
    </w:p>
    <w:p w14:paraId="32122B40">
      <w:pPr>
        <w:pStyle w:val="style0"/>
        <w:jc w:val="left"/>
        <w:rPr/>
      </w:pPr>
      <w:r>
        <w:t>4. 应用如何访问图形功能</w:t>
      </w:r>
    </w:p>
    <w:p w14:paraId="586DE1EB">
      <w:pPr>
        <w:pStyle w:val="style0"/>
        <w:jc w:val="left"/>
        <w:rPr/>
      </w:pPr>
    </w:p>
    <w:p w14:paraId="E039AC52">
      <w:pPr>
        <w:pStyle w:val="style0"/>
        <w:jc w:val="left"/>
        <w:rPr/>
      </w:pPr>
      <w:r>
        <w:t>应用程序通过以下流程获取图形能力。应用程序持有通道令牌，向图形服务域发送请求。图形服务域验证请求的合法性后，为应用程序分配图形资源，并返回Vulkan设备队列的访问令牌。应用程序通过该令牌，向GPU提交渲染或计算命令。命令执行完成后，结果直接返回应用程序。</w:t>
      </w:r>
    </w:p>
    <w:p w14:paraId="7EC9A47E">
      <w:pPr>
        <w:pStyle w:val="style0"/>
        <w:jc w:val="left"/>
        <w:rPr/>
      </w:pPr>
    </w:p>
    <w:p w14:paraId="A9B8A62F">
      <w:pPr>
        <w:pStyle w:val="style0"/>
        <w:jc w:val="left"/>
        <w:rPr/>
      </w:pPr>
      <w:r>
        <w:t>5. 图形故障与降级策略</w:t>
      </w:r>
    </w:p>
    <w:p w14:paraId="E4A39E44">
      <w:pPr>
        <w:pStyle w:val="style0"/>
        <w:jc w:val="left"/>
        <w:rPr/>
      </w:pPr>
    </w:p>
    <w:p w14:paraId="32505B07">
      <w:pPr>
        <w:pStyle w:val="style0"/>
        <w:jc w:val="left"/>
        <w:rPr/>
      </w:pPr>
      <w:r>
        <w:t>当GPU硬件故障或驱动崩溃时，系统自动执行降级策略，不导致系统崩溃。看护服务监控图形服务域的健康状态。若开源驱动模式下的图形服务域崩溃，看护服务自动重启该域。若连续重启失败，看护服务通知用户，并自动切换至基础帧缓冲模式，保证显示功能可用。若GPU直通域崩溃，其持有的GPU直通令牌自动回收，应用程序收到服务不可用错误。看护服务通知用户，用户可选择重新启动应用或切换到其他图形模式。</w:t>
      </w:r>
    </w:p>
    <w:p w14:paraId="C4CD4CD7">
      <w:pPr>
        <w:pStyle w:val="style0"/>
        <w:jc w:val="left"/>
        <w:rPr/>
      </w:pPr>
    </w:p>
    <w:p w14:paraId="5AA6C6B6">
      <w:pPr>
        <w:pStyle w:val="style0"/>
        <w:jc w:val="left"/>
        <w:rPr/>
      </w:pPr>
      <w:r>
        <w:t>6. 与宪法和功能文档的关系</w:t>
      </w:r>
    </w:p>
    <w:p w14:paraId="24B66445">
      <w:pPr>
        <w:pStyle w:val="style0"/>
        <w:jc w:val="left"/>
        <w:rPr/>
      </w:pPr>
    </w:p>
    <w:p w14:paraId="68B6D897">
      <w:pPr>
        <w:pStyle w:val="style0"/>
        <w:jc w:val="left"/>
        <w:rPr/>
      </w:pPr>
      <w:r>
        <w:t>本规范在《制造新型操作系统技术宪法》框架内制定。Vulkan支持作为用户态服务实现，不修改内核的能力授权引擎，不引入POSIX语义，不绕过能力令牌模型，所有硬件访问均通过令牌授权。</w:t>
      </w:r>
    </w:p>
    <w:p w14:paraId="7982E92C">
      <w:pPr>
        <w:pStyle w:val="style0"/>
        <w:jc w:val="left"/>
        <w:rPr/>
      </w:pPr>
    </w:p>
    <w:p w14:paraId="799E0BB1">
      <w:pPr>
        <w:pStyle w:val="style0"/>
        <w:jc w:val="left"/>
        <w:rPr/>
      </w:pPr>
      <w:r>
        <w:t>本规范是对《新型操作系统功能文档》中图形服务条目的具体展开。图形服务架构（2.1基础帧缓冲、2.2开源驱动、2.3 GPU直通）对应功能文档3.2节。多厂商硬件兼容（Intel、AMD、NVIDIA、华为等）对应功能文档7节。图形故障与降级策略对应功能文档5.3节。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altName w:val="微软雅黑"/>
    <w:panose1 w:val="020b0503020002020204"/>
    <w:charset w:val="86"/>
    <w:family w:val="auto"/>
    <w:pitch w:val="default"/>
    <w:sig w:usb0="80000287" w:usb1="2ACF3C50" w:usb2="00000016" w:usb3="00000000" w:csb0="0004001F" w:csb1="00000000"/>
  </w:font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002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20000001"/>
    <w:lvl w:ilvl="0">
      <w:start w:val="1"/>
      <w:numFmt w:val="decimal"/>
      <w:pStyle w:val="style4102"/>
      <w:suff w:val="space"/>
      <w:lvlText w:val="%1 "/>
      <w:lvlJc w:val="right"/>
      <w:pPr/>
      <w:rPr>
        <w:rFonts w:ascii="微软雅黑" w:cs="微软雅黑" w:eastAsia="微软雅黑" w:hAnsi="微软雅黑"/>
        <w:color w:val="c0c6cf"/>
        <w:sz w:val="16"/>
      </w:rPr>
    </w:lvl>
  </w:abstractNum>
  <w:abstractNum w:abstractNumId="1">
    <w:nsid w:val="00000001"/>
    <w:multiLevelType w:val="multilevel"/>
    <w:tmpl w:val="20000002"/>
    <w:lvl w:ilvl="0">
      <w:start w:val="1"/>
      <w:numFmt w:val="bullet"/>
      <w:lvlText w:val=""/>
      <w:lvlJc w:val="left"/>
      <w:pPr>
        <w:ind w:left="420" w:hanging="420"/>
      </w:pPr>
      <w:rPr>
        <w:rFonts w:ascii="Wingdings" w:cs="Wingdings" w:eastAsia="Wingdings" w:hAnsi="Wingdings"/>
      </w:rPr>
    </w:lvl>
    <w:lvl w:ilvl="1">
      <w:start w:val="1"/>
      <w:numFmt w:val="bullet"/>
      <w:lvlText w:val="¢"/>
      <w:lvlJc w:val="left"/>
      <w:pPr>
        <w:ind w:left="840" w:hanging="420"/>
      </w:pPr>
      <w:rPr>
        <w:rFonts w:ascii="Wingdings" w:cs="Wingdings" w:eastAsia="Wingdings" w:hAnsi="Wingdings"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cs="Wingdings" w:eastAsia="Wingdings" w:hAnsi="Wingdings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cs="Wingdings" w:eastAsia="Wingdings" w:hAnsi="Wingdings"/>
      </w:rPr>
    </w:lvl>
    <w:lvl w:ilvl="4">
      <w:start w:val="1"/>
      <w:numFmt w:val="bullet"/>
      <w:lvlText w:val="¢"/>
      <w:lvlJc w:val="left"/>
      <w:pPr>
        <w:ind w:left="2100" w:hanging="420"/>
      </w:pPr>
      <w:rPr>
        <w:rFonts w:ascii="Wingdings" w:cs="Wingdings" w:eastAsia="Wingdings" w:hAnsi="Wingdings"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cs="Wingdings" w:eastAsia="Wingdings" w:hAnsi="Wingdings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cs="Wingdings" w:eastAsia="Wingdings" w:hAnsi="Wingdings"/>
      </w:rPr>
    </w:lvl>
    <w:lvl w:ilvl="7">
      <w:start w:val="1"/>
      <w:numFmt w:val="bullet"/>
      <w:lvlText w:val="¢"/>
      <w:lvlJc w:val="left"/>
      <w:pPr>
        <w:ind w:left="3360" w:hanging="420"/>
      </w:pPr>
      <w:rPr>
        <w:rFonts w:ascii="Wingdings" w:cs="Wingdings" w:eastAsia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next w:val="style0"/>
    <w:qFormat/>
    <w:uiPriority w:val="0"/>
    <w:pPr>
      <w:textAlignment w:val="baseline"/>
    </w:pPr>
    <w:rPr>
      <w:rFonts w:ascii="微软雅黑" w:cs="微软雅黑" w:eastAsia="微软雅黑" w:hAnsi="微软雅黑"/>
      <w:color w:val="080f17"/>
      <w:sz w:val="22"/>
    </w:rPr>
  </w:style>
  <w:style w:type="paragraph" w:customStyle="1" w:styleId="style4097">
    <w:name w:val="MainTitle"/>
    <w:basedOn w:val="style0"/>
    <w:next w:val="style4097"/>
    <w:qFormat/>
    <w:uiPriority w:val="0"/>
    <w:pPr>
      <w:pBdr>
        <w:bottom w:val="single" w:sz="6" w:space="5" w:color="e2e6ed"/>
      </w:pBdr>
      <w:spacing w:before="180" w:after="480" w:lineRule="exact" w:line="780"/>
    </w:pPr>
    <w:rPr>
      <w:b/>
      <w:sz w:val="44"/>
    </w:rPr>
  </w:style>
  <w:style w:type="paragraph" w:styleId="style1">
    <w:name w:val="heading 1"/>
    <w:basedOn w:val="style0"/>
    <w:next w:val="style1"/>
    <w:qFormat/>
    <w:uiPriority w:val="0"/>
    <w:pPr>
      <w:spacing w:before="390" w:after="120" w:lineRule="exact" w:line="634"/>
      <w:outlineLvl w:val="0"/>
    </w:pPr>
    <w:rPr>
      <w:b/>
      <w:sz w:val="38"/>
    </w:rPr>
  </w:style>
  <w:style w:type="paragraph" w:styleId="style2">
    <w:name w:val="heading 2"/>
    <w:basedOn w:val="style0"/>
    <w:next w:val="style2"/>
    <w:qFormat/>
    <w:uiPriority w:val="0"/>
    <w:pPr>
      <w:spacing w:before="330" w:after="120" w:lineRule="exact" w:line="536"/>
      <w:outlineLvl w:val="1"/>
    </w:pPr>
    <w:rPr>
      <w:b/>
      <w:sz w:val="32"/>
    </w:rPr>
  </w:style>
  <w:style w:type="paragraph" w:styleId="style3">
    <w:name w:val="heading 3"/>
    <w:basedOn w:val="style0"/>
    <w:next w:val="style3"/>
    <w:qFormat/>
    <w:uiPriority w:val="0"/>
    <w:pPr>
      <w:spacing w:before="300" w:after="120" w:lineRule="exact" w:line="488"/>
      <w:outlineLvl w:val="2"/>
    </w:pPr>
    <w:rPr>
      <w:b/>
      <w:sz w:val="30"/>
    </w:rPr>
  </w:style>
  <w:style w:type="paragraph" w:styleId="style4">
    <w:name w:val="heading 4"/>
    <w:basedOn w:val="style0"/>
    <w:next w:val="style4"/>
    <w:qFormat/>
    <w:uiPriority w:val="0"/>
    <w:pPr>
      <w:spacing w:before="270" w:after="120" w:lineRule="exact" w:line="439"/>
      <w:outlineLvl w:val="3"/>
    </w:pPr>
    <w:rPr>
      <w:b/>
      <w:sz w:val="26"/>
    </w:rPr>
  </w:style>
  <w:style w:type="paragraph" w:styleId="style5">
    <w:name w:val="heading 5"/>
    <w:basedOn w:val="style0"/>
    <w:next w:val="style5"/>
    <w:qFormat/>
    <w:uiPriority w:val="0"/>
    <w:pPr>
      <w:spacing w:before="240" w:after="120" w:lineRule="exact" w:line="390"/>
      <w:outlineLvl w:val="4"/>
    </w:pPr>
    <w:rPr>
      <w:b/>
      <w:sz w:val="22"/>
    </w:rPr>
  </w:style>
  <w:style w:type="paragraph" w:styleId="style6">
    <w:name w:val="heading 6"/>
    <w:basedOn w:val="style0"/>
    <w:next w:val="style6"/>
    <w:qFormat/>
    <w:uiPriority w:val="0"/>
    <w:pPr>
      <w:spacing w:before="240" w:after="120" w:lineRule="exact" w:line="390"/>
      <w:outlineLvl w:val="5"/>
    </w:pPr>
    <w:rPr>
      <w:b/>
      <w:sz w:val="22"/>
    </w:rPr>
  </w:style>
  <w:style w:type="table" w:styleId="style154">
    <w:name w:val="Table Grid"/>
    <w:basedOn w:val="style0"/>
    <w:next w:val="style154"/>
    <w:qFormat/>
    <w:uiPriority w:val="0"/>
    <w:pPr/>
    <w:rPr/>
    <w:tblPr>
      <w:tblInd w:w="120" w:type="dxa"/>
      <w:tblBorders>
        <w:top w:val="single" w:sz="6" w:space="0" w:color="080f17"/>
        <w:left w:val="single" w:sz="6" w:space="0" w:color="080f17"/>
        <w:bottom w:val="single" w:sz="6" w:space="0" w:color="080f17"/>
        <w:right w:val="single" w:sz="6" w:space="0" w:color="080f17"/>
        <w:insideH w:val="single" w:sz="6" w:space="0" w:color="080f17"/>
        <w:insideV w:val="single" w:sz="6" w:space="0" w:color="080f17"/>
      </w:tblBorders>
      <w:tblCellMar>
        <w:left w:w="108" w:type="dxa"/>
        <w:right w:w="108" w:type="dxa"/>
      </w:tblCellMar>
    </w:tblPr>
    <w:tcPr>
      <w:tcBorders/>
    </w:tcPr>
  </w:style>
  <w:style w:type="character" w:styleId="style85">
    <w:name w:val="Hyperlink"/>
    <w:next w:val="style85"/>
    <w:qFormat/>
    <w:uiPriority w:val="0"/>
    <w:rPr>
      <w:color w:val="0a6cff"/>
      <w:u w:val="single" w:color="0a6cff"/>
    </w:rPr>
  </w:style>
  <w:style w:type="character" w:customStyle="1" w:styleId="style4098">
    <w:name w:val="DateTime"/>
    <w:next w:val="style4098"/>
    <w:qFormat/>
    <w:uiPriority w:val="0"/>
    <w:rPr>
      <w:color w:val="0a6cff"/>
    </w:rPr>
  </w:style>
  <w:style w:type="paragraph" w:customStyle="1" w:styleId="style4099">
    <w:name w:val="Blockquote"/>
    <w:basedOn w:val="style0"/>
    <w:next w:val="style4099"/>
    <w:qFormat/>
    <w:uiPriority w:val="0"/>
    <w:pPr>
      <w:pBdr>
        <w:left w:val="single" w:sz="36" w:space="12" w:color="e2e6ed"/>
      </w:pBdr>
      <w:ind w:left="330" w:firstLine="0"/>
    </w:pPr>
    <w:rPr>
      <w:color w:val="767c85"/>
      <w:sz w:val="22"/>
    </w:rPr>
  </w:style>
  <w:style w:type="character" w:customStyle="1" w:styleId="style4100">
    <w:name w:val="Code"/>
    <w:next w:val="style4100"/>
    <w:qFormat/>
    <w:uiPriority w:val="0"/>
    <w:rPr>
      <w:bdr w:val="single" w:sz="6" w:space="0" w:color="e2e6ed"/>
    </w:rPr>
  </w:style>
  <w:style w:type="character" w:customStyle="1" w:styleId="style4101">
    <w:name w:val="Emoji"/>
    <w:next w:val="style4101"/>
    <w:qFormat/>
    <w:uiPriority w:val="0"/>
    <w:rPr>
      <w:rFonts w:ascii="Segoe UI Emoji" w:cs="Segoe UI Emoji" w:eastAsia="Segoe UI Emoji" w:hAnsi="Segoe UI Emoji"/>
    </w:rPr>
  </w:style>
  <w:style w:type="paragraph" w:customStyle="1" w:styleId="style4102">
    <w:name w:val="CodeBlock"/>
    <w:basedOn w:val="style0"/>
    <w:next w:val="style4102"/>
    <w:qFormat/>
    <w:uiPriority w:val="0"/>
    <w:pPr>
      <w:numPr>
        <w:ilvl w:val="0"/>
        <w:numId w:val="1"/>
      </w:numPr>
      <w:pBdr>
        <w:left w:val="single" w:sz="6" w:space="26" w:color="e2e6ed"/>
        <w:right w:val="single" w:sz="6" w:space="0" w:color="e2e6ed"/>
        <w:top w:val="single" w:sz="6" w:space="8" w:color="e2e6ed"/>
        <w:bottom w:val="single" w:sz="6" w:space="8" w:color="e2e6ed"/>
      </w:pBdr>
      <w:shd w:val="clear" w:color="ffffff" w:fill="f5f7f9"/>
      <w:spacing w:before="0" w:after="0" w:lineRule="exact" w:line="300"/>
      <w:ind w:left="540" w:firstLine="0"/>
    </w:pPr>
    <w:rPr>
      <w:sz w:val="18"/>
    </w:rPr>
  </w:style>
  <w:style w:type="table" w:customStyle="1" w:styleId="style4103">
    <w:name w:val="HighlightBlock"/>
    <w:basedOn w:val="style0"/>
    <w:next w:val="style4103"/>
    <w:qFormat/>
    <w:uiPriority w:val="0"/>
    <w:pPr/>
    <w:rPr/>
    <w:tblPr>
      <w:tblInd w:w="120" w:type="dxa"/>
      <w:tblBorders>
        <w:top w:val="single" w:sz="6" w:space="0" w:color="fec794"/>
        <w:left w:val="single" w:sz="6" w:space="0" w:color="fec794"/>
        <w:bottom w:val="single" w:sz="6" w:space="0" w:color="fec794"/>
        <w:right w:val="single" w:sz="6" w:space="0" w:color="fec794"/>
        <w:insideH w:val="single" w:sz="6" w:space="0" w:color="fec794"/>
        <w:insideV w:val="single" w:sz="6" w:space="0" w:color="fec794"/>
      </w:tblBorders>
      <w:shd w:val="clear" w:color="ffffff" w:fill="faf1e6"/>
      <w:tblCellMar>
        <w:left w:w="108" w:type="dxa"/>
        <w:right w:w="108" w:type="dxa"/>
      </w:tblCellMar>
    </w:tblPr>
    <w:tcPr>
      <w:tcBorders/>
    </w:tcPr>
  </w:style>
  <w:style w:type="paragraph" w:customStyle="1" w:styleId="style4104">
    <w:name w:val="Seperate"/>
    <w:basedOn w:val="style0"/>
    <w:next w:val="style4104"/>
    <w:qFormat/>
    <w:uiPriority w:val="0"/>
    <w:pPr>
      <w:spacing w:before="0" w:after="0" w:lineRule="exact" w:line="12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1249</Words>
  <Characters>1451</Characters>
  <Application>WPS Office</Application>
  <DocSecurity>0</DocSecurity>
  <Paragraphs>48</Paragraphs>
  <LinksUpToDate>false</LinksUpToDate>
  <CharactersWithSpaces>1466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2026-06-01T21:21:10Z</dcterms:created>
  <dc:creator>webotl</dc:creator>
  <lastModifiedBy>2109119BC</lastModifiedBy>
  <dcterms:modified xsi:type="dcterms:W3CDTF">2026-06-01T13:34:09Z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ICV">
    <vt:lpwstr>f91b86ea53d94c5abfc82fddd1663ee8_23</vt:lpwstr>
  </property>
</Properties>
</file>