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950D891">
      <w:pPr>
        <w:pStyle w:val="style4097"/>
        <w:jc w:val="left"/>
        <w:rPr/>
      </w:pPr>
      <w:r>
        <w:t>新型操作系统功能文档</w:t>
      </w:r>
    </w:p>
    <w:p w14:paraId="BEF0B32E">
      <w:pPr>
        <w:pStyle w:val="style0"/>
        <w:jc w:val="left"/>
        <w:rPr/>
      </w:pPr>
      <w:r>
        <w:t>前言</w:t>
      </w:r>
    </w:p>
    <w:p w14:paraId="F35D1DB9">
      <w:pPr>
        <w:pStyle w:val="style0"/>
        <w:jc w:val="left"/>
        <w:rPr/>
      </w:pPr>
    </w:p>
    <w:p w14:paraId="36291807">
      <w:pPr>
        <w:pStyle w:val="style0"/>
        <w:jc w:val="left"/>
        <w:rPr/>
      </w:pPr>
      <w:r>
        <w:t>根据新型操作系统技术宪法，制定此功能文档。</w:t>
      </w:r>
    </w:p>
    <w:p w14:paraId="9C4F01DD">
      <w:pPr>
        <w:pStyle w:val="style0"/>
        <w:jc w:val="left"/>
        <w:rPr/>
      </w:pPr>
      <w:r>
        <w:t>本操作系统内核已固定为“新型冯·诺依曼内核”，以下所有功能均在内核之上实现，不改变内核的任何核心逻辑。</w:t>
      </w:r>
    </w:p>
    <w:p w14:paraId="F0D4DD3A">
      <w:pPr>
        <w:pStyle w:val="style0"/>
        <w:jc w:val="left"/>
        <w:rPr/>
      </w:pPr>
    </w:p>
    <w:p w14:paraId="837ADDA1">
      <w:pPr>
        <w:pStyle w:val="style0"/>
        <w:jc w:val="left"/>
        <w:rPr>
          <w:lang w:val="en-US"/>
        </w:rPr>
      </w:pPr>
      <w:r>
        <w:rPr>
          <w:lang w:val="en-US"/>
        </w:rPr>
        <w:t>0. 系统启动与组装</w:t>
      </w:r>
    </w:p>
    <w:p w14:paraId="11B1D49A">
      <w:pPr>
        <w:pStyle w:val="style0"/>
        <w:jc w:val="left"/>
        <w:rPr/>
      </w:pPr>
    </w:p>
    <w:p w14:paraId="3486E5DE">
      <w:pPr>
        <w:pStyle w:val="style0"/>
        <w:jc w:val="left"/>
        <w:rPr>
          <w:lang w:val="en-US"/>
        </w:rPr>
      </w:pPr>
      <w:r>
        <w:rPr>
          <w:lang w:val="en-US"/>
        </w:rPr>
        <w:t>本操作系统采用按需启动策略。开机后，内核仅验证并加载用户主动授权的基础组件，无任何隐藏的自启动服务。</w:t>
      </w:r>
      <w:r>
        <w:rPr>
          <w:rFonts w:hint="eastAsia"/>
          <w:lang w:val="en-US" w:eastAsia="zh-CN"/>
        </w:rPr>
        <w:t>本操作系统从上电到用户态绝不超过</w:t>
      </w:r>
      <w:r>
        <w:rPr>
          <w:rFonts w:hint="default"/>
          <w:lang w:val="en-US" w:eastAsia="zh-CN"/>
        </w:rPr>
        <w:t>3</w:t>
      </w:r>
      <w:r>
        <w:rPr>
          <w:rFonts w:hint="eastAsia"/>
          <w:lang w:val="en-US" w:eastAsia="zh-CN"/>
        </w:rPr>
        <w:t>秒。</w:t>
      </w:r>
    </w:p>
    <w:p w14:paraId="17A50A1E">
      <w:pPr>
        <w:pStyle w:val="style0"/>
        <w:jc w:val="left"/>
        <w:rPr/>
      </w:pPr>
    </w:p>
    <w:p w14:paraId="A559F262">
      <w:pPr>
        <w:pStyle w:val="style0"/>
        <w:jc w:val="left"/>
        <w:rPr>
          <w:lang w:val="en-US"/>
        </w:rPr>
      </w:pPr>
      <w:r>
        <w:rPr>
          <w:lang w:val="en-US"/>
        </w:rPr>
        <w:t>0.1 内核启动阶段</w:t>
      </w:r>
    </w:p>
    <w:p w14:paraId="FE06AF98">
      <w:pPr>
        <w:pStyle w:val="style0"/>
        <w:jc w:val="left"/>
        <w:rPr>
          <w:lang w:val="en-US"/>
        </w:rPr>
      </w:pPr>
    </w:p>
    <w:p w14:paraId="6115CF96">
      <w:pPr>
        <w:pStyle w:val="style0"/>
        <w:jc w:val="left"/>
        <w:rPr>
          <w:lang w:val="en-US"/>
        </w:rPr>
      </w:pPr>
      <w:r>
        <w:rPr>
          <w:lang w:val="en-US"/>
        </w:rPr>
        <w:t>系统上电后，ROM中固化的根公钥自动验证引导器与内核镜像的</w:t>
      </w:r>
      <w:r>
        <w:rPr>
          <w:rFonts w:hint="eastAsia"/>
          <w:lang w:val="en-US" w:eastAsia="zh-CN"/>
        </w:rPr>
        <w:t>数字</w:t>
      </w:r>
      <w:r>
        <w:rPr>
          <w:lang w:val="en-US"/>
        </w:rPr>
        <w:t>签名。验证通过后，内核依次初始化物理内存分配器、全局地址空间管理器、能力授权引擎。初始化完成后，内核创建首个执行上下文，并授予其初始能力令牌集。此上下文即为系统的第一个用户态服务启动器。</w:t>
      </w:r>
    </w:p>
    <w:p w14:paraId="27631C07">
      <w:pPr>
        <w:pStyle w:val="style0"/>
        <w:jc w:val="left"/>
        <w:rPr>
          <w:rFonts w:hint="eastAsia"/>
          <w:lang w:val="en-US" w:eastAsia="zh-CN"/>
        </w:rPr>
      </w:pPr>
    </w:p>
    <w:p w14:paraId="14151071">
      <w:pPr>
        <w:pStyle w:val="style0"/>
        <w:jc w:val="left"/>
        <w:rPr>
          <w:rFonts w:hint="eastAsia"/>
          <w:lang w:val="en-US" w:eastAsia="zh-CN"/>
        </w:rPr>
      </w:pPr>
      <w:r>
        <w:rPr>
          <w:rFonts w:hint="eastAsia"/>
          <w:lang w:val="en-US" w:eastAsia="zh-CN"/>
        </w:rPr>
        <w:t>在完全模式下，初始启动器在读取用户策略时，如果策略文件损坏或签名验证失败，自动回退到内置的默认策略，而不是拒绝启动。</w:t>
      </w:r>
    </w:p>
    <w:p w14:paraId="608B82CE">
      <w:pPr>
        <w:pStyle w:val="style0"/>
        <w:jc w:val="left"/>
        <w:rPr>
          <w:lang w:val="en-US"/>
        </w:rPr>
      </w:pPr>
    </w:p>
    <w:p w14:paraId="105241C7">
      <w:pPr>
        <w:pStyle w:val="style0"/>
        <w:jc w:val="left"/>
        <w:rPr/>
      </w:pPr>
      <w:r>
        <w:rPr>
          <w:lang w:val="en-US"/>
        </w:rPr>
        <w:t>以上流程由内核根据制造新型操作系统技术宪法自主完成，用户无需干预。本功能文档仅描述启动过程中可观察到的行为，不修改内核的任何核心逻辑。</w:t>
      </w:r>
      <w:r>
        <w:rPr>
          <w:rFonts w:hint="eastAsia"/>
          <w:lang w:val="en-US" w:eastAsia="zh-CN"/>
        </w:rPr>
        <w:t>设计目标为从上电到用户界面就绪不超过3秒。最终性能数据将在特定参考平台上实测公布。</w:t>
      </w:r>
    </w:p>
    <w:p w14:paraId="F323A2AD">
      <w:pPr>
        <w:pStyle w:val="style0"/>
        <w:jc w:val="left"/>
        <w:rPr>
          <w:lang w:val="en-US"/>
        </w:rPr>
      </w:pPr>
    </w:p>
    <w:p w14:paraId="958E00EA">
      <w:pPr>
        <w:pStyle w:val="style0"/>
        <w:jc w:val="left"/>
        <w:rPr>
          <w:lang w:val="en-US"/>
        </w:rPr>
      </w:pPr>
      <w:r>
        <w:rPr>
          <w:lang w:val="en-US"/>
        </w:rPr>
        <w:t>0.2 用户态组装阶段</w:t>
      </w:r>
    </w:p>
    <w:p w14:paraId="4D1BD704">
      <w:pPr>
        <w:pStyle w:val="style0"/>
        <w:jc w:val="left"/>
        <w:rPr/>
      </w:pPr>
    </w:p>
    <w:p w14:paraId="4AC04C58">
      <w:pPr>
        <w:pStyle w:val="style0"/>
        <w:jc w:val="left"/>
        <w:rPr>
          <w:lang w:val="en-US"/>
        </w:rPr>
      </w:pPr>
      <w:r>
        <w:rPr>
          <w:lang w:val="en-US"/>
        </w:rPr>
        <w:t>- 初始启动器读取用户预设的系统组装策略。策略由用户首次安装系统时配置，指定开机后需要启动哪些基础服务（如存储服务、图形服务、网络服务）。</w:t>
      </w:r>
    </w:p>
    <w:p w14:paraId="F46637A9">
      <w:pPr>
        <w:pStyle w:val="style0"/>
        <w:jc w:val="left"/>
        <w:rPr>
          <w:lang w:val="en-US"/>
        </w:rPr>
      </w:pPr>
      <w:r>
        <w:rPr>
          <w:lang w:val="en-US"/>
        </w:rPr>
        <w:t>- 初始启动器按照策略，依次为每个基础服务创建执行上下文，并授予其必要的初始令牌。</w:t>
      </w:r>
    </w:p>
    <w:p w14:paraId="2ED2F705">
      <w:pPr>
        <w:pStyle w:val="style0"/>
        <w:jc w:val="left"/>
        <w:rPr>
          <w:lang w:val="en-US"/>
        </w:rPr>
      </w:pPr>
      <w:r>
        <w:rPr>
          <w:lang w:val="en-US"/>
        </w:rPr>
        <w:t>- 组装完成后，初始启动器将显示令牌移交给图形服务或终端服务，用户进入交互界面。</w:t>
      </w:r>
    </w:p>
    <w:p w14:paraId="AD72E17A">
      <w:pPr>
        <w:pStyle w:val="style0"/>
        <w:jc w:val="left"/>
        <w:rPr>
          <w:lang w:val="en-US"/>
        </w:rPr>
      </w:pPr>
      <w:r>
        <w:rPr>
          <w:lang w:val="en-US"/>
        </w:rPr>
        <w:t>- 初始启动器完成使命后自行退出，释放所有令牌。</w:t>
      </w:r>
    </w:p>
    <w:p w14:paraId="8CF5AE69">
      <w:pPr>
        <w:pStyle w:val="style0"/>
        <w:jc w:val="left"/>
        <w:rPr>
          <w:lang w:val="en-US"/>
        </w:rPr>
      </w:pPr>
    </w:p>
    <w:p w14:paraId="F322F29B">
      <w:pPr>
        <w:pStyle w:val="style0"/>
        <w:jc w:val="left"/>
        <w:rPr>
          <w:lang w:val="en-US"/>
        </w:rPr>
      </w:pPr>
      <w:r>
        <w:rPr>
          <w:lang w:val="en-US"/>
        </w:rPr>
        <w:t>初始启动器在读取用户预设的组装策略时，根据用户选择的安装模式决定允许加载哪些服务：</w:t>
      </w:r>
    </w:p>
    <w:p w14:paraId="75F54B29">
      <w:pPr>
        <w:pStyle w:val="style0"/>
        <w:jc w:val="left"/>
        <w:rPr/>
      </w:pPr>
    </w:p>
    <w:p w14:paraId="27627870">
      <w:pPr>
        <w:pStyle w:val="style0"/>
        <w:jc w:val="left"/>
        <w:rPr>
          <w:lang w:val="en-US"/>
        </w:rPr>
      </w:pPr>
      <w:r>
        <w:rPr>
          <w:lang w:val="en-US"/>
        </w:rPr>
        <w:t>- 若为完全模式，初始启动器仅加载由 BDFL 或 BDFL 授权的发布密钥签名的服务。任何未经授权签名的服务均不被加载。</w:t>
      </w:r>
    </w:p>
    <w:p w14:paraId="E5FC018B">
      <w:pPr>
        <w:pStyle w:val="style0"/>
        <w:jc w:val="left"/>
        <w:rPr>
          <w:lang w:val="en-US"/>
        </w:rPr>
      </w:pPr>
    </w:p>
    <w:p w14:paraId="5C347F54">
      <w:pPr>
        <w:pStyle w:val="style0"/>
        <w:jc w:val="left"/>
        <w:rPr>
          <w:lang w:val="en-US"/>
        </w:rPr>
      </w:pPr>
      <w:r>
        <w:rPr>
          <w:lang w:val="en-US"/>
        </w:rPr>
        <w:t>- 若为个人模式，初始启动器允许加载用户自签名的服务，但此类服务将被放入受限令牌域，无法访问系统核心资源。</w:t>
      </w:r>
    </w:p>
    <w:p w14:paraId="5AB853EF">
      <w:pPr>
        <w:pStyle w:val="style0"/>
        <w:jc w:val="left"/>
        <w:rPr/>
      </w:pPr>
    </w:p>
    <w:p w14:paraId="243C7708">
      <w:pPr>
        <w:pStyle w:val="style0"/>
        <w:jc w:val="left"/>
        <w:rPr/>
      </w:pPr>
      <w:r>
        <w:rPr>
          <w:lang w:val="en-US"/>
        </w:rPr>
        <w:t>安装模式的具体规则和权限边界由本文档 4.1 节详细规定。</w:t>
      </w:r>
    </w:p>
    <w:p w14:paraId="FEB684E7">
      <w:pPr>
        <w:pStyle w:val="style0"/>
        <w:jc w:val="left"/>
        <w:rPr>
          <w:lang w:val="en-US"/>
        </w:rPr>
      </w:pPr>
    </w:p>
    <w:p w14:paraId="56DC4D68">
      <w:pPr>
        <w:pStyle w:val="style0"/>
        <w:jc w:val="left"/>
        <w:rPr>
          <w:lang w:val="en-US"/>
        </w:rPr>
      </w:pPr>
      <w:r>
        <w:rPr>
          <w:lang w:val="en-US"/>
        </w:rPr>
        <w:t>0.3 用户登录与身份验证</w:t>
      </w:r>
    </w:p>
    <w:p w14:paraId="9578F81D">
      <w:pPr>
        <w:pStyle w:val="style0"/>
        <w:jc w:val="left"/>
        <w:rPr/>
      </w:pPr>
    </w:p>
    <w:p w14:paraId="8AC6B64C">
      <w:pPr>
        <w:pStyle w:val="style0"/>
        <w:jc w:val="left"/>
        <w:rPr>
          <w:lang w:val="en-US"/>
        </w:rPr>
      </w:pPr>
      <w:r>
        <w:rPr>
          <w:lang w:val="en-US"/>
        </w:rPr>
        <w:t>- 用户通过私钥签名验证身份。系统生成随机挑战码，用户用其私钥签名，系统用公钥验证。</w:t>
      </w:r>
    </w:p>
    <w:p w14:paraId="7F6BFAF5">
      <w:pPr>
        <w:pStyle w:val="style0"/>
        <w:jc w:val="left"/>
        <w:rPr>
          <w:lang w:val="en-US"/>
        </w:rPr>
      </w:pPr>
      <w:r>
        <w:rPr>
          <w:lang w:val="en-US"/>
        </w:rPr>
        <w:t>- 用户可预先配置在开机时自动完成身份验证，或每次开机手动签名登录。</w:t>
      </w:r>
    </w:p>
    <w:p w14:paraId="8325E17A">
      <w:pPr>
        <w:pStyle w:val="style0"/>
        <w:jc w:val="left"/>
        <w:rPr>
          <w:lang w:val="en-US"/>
        </w:rPr>
      </w:pPr>
      <w:r>
        <w:rPr>
          <w:lang w:val="en-US"/>
        </w:rPr>
        <w:t>- 用户私钥用强密码加密存储，开机时需输入密码解密一次，整个会话期间由系统安全保管。</w:t>
      </w:r>
    </w:p>
    <w:p w14:paraId="BDBFC1EB">
      <w:pPr>
        <w:pStyle w:val="style0"/>
        <w:jc w:val="left"/>
        <w:rPr>
          <w:lang w:val="en-US"/>
        </w:rPr>
      </w:pPr>
    </w:p>
    <w:p w14:paraId="A09C41A1">
      <w:pPr>
        <w:pStyle w:val="style0"/>
        <w:jc w:val="left"/>
        <w:rPr/>
      </w:pPr>
      <w:r>
        <w:rPr>
          <w:lang w:val="en-US"/>
        </w:rPr>
        <w:t>用户身份密钥与程序签名密钥相互独立。在完全模式下，用户仅持有身份密钥，无权进行程序签名。在个人模式下，用户可额外持有程序签名密钥，为自己编写的程序签名。具体规则由本文档 4.1 节和 8.1 节详细规定。</w:t>
      </w:r>
    </w:p>
    <w:p w14:paraId="3708D0B2">
      <w:pPr>
        <w:pStyle w:val="style0"/>
        <w:jc w:val="left"/>
        <w:rPr>
          <w:lang w:val="en-US"/>
        </w:rPr>
      </w:pPr>
    </w:p>
    <w:p w14:paraId="6761AE2B">
      <w:pPr>
        <w:pStyle w:val="style0"/>
        <w:jc w:val="left"/>
        <w:rPr>
          <w:lang w:val="en-US"/>
        </w:rPr>
      </w:pPr>
      <w:r>
        <w:rPr>
          <w:lang w:val="en-US"/>
        </w:rPr>
        <w:t>0.4 基础服务启动策略</w:t>
      </w:r>
    </w:p>
    <w:p w14:paraId="22B29F21">
      <w:pPr>
        <w:pStyle w:val="style0"/>
        <w:jc w:val="left"/>
        <w:rPr/>
      </w:pPr>
    </w:p>
    <w:p w14:paraId="835807A7">
      <w:pPr>
        <w:pStyle w:val="style0"/>
        <w:jc w:val="left"/>
        <w:rPr>
          <w:lang w:val="en-US"/>
        </w:rPr>
      </w:pPr>
      <w:r>
        <w:rPr>
          <w:lang w:val="en-US"/>
        </w:rPr>
        <w:t>- 用户可自定义开机时自动启动哪些基础服务。若选择“最小模式”，开机后仅启动存储服务和图形服务，网络服务由用户手动启动。</w:t>
      </w:r>
    </w:p>
    <w:p w14:paraId="DE811C36">
      <w:pPr>
        <w:pStyle w:val="style0"/>
        <w:jc w:val="left"/>
        <w:rPr>
          <w:lang w:val="en-US"/>
        </w:rPr>
      </w:pPr>
      <w:r>
        <w:rPr>
          <w:lang w:val="en-US"/>
        </w:rPr>
        <w:t>- 用户可随时更改启动策略，下次开机生效。</w:t>
      </w:r>
    </w:p>
    <w:p w14:paraId="36ACC9DF">
      <w:pPr>
        <w:pStyle w:val="style0"/>
        <w:jc w:val="left"/>
        <w:rPr/>
      </w:pPr>
      <w:r>
        <w:rPr>
          <w:lang w:val="en-US"/>
        </w:rPr>
        <w:t>- 任何服务均无自启动权限，必须由用户显式授权或通过用户预设的组装策略启动。</w:t>
      </w:r>
    </w:p>
    <w:p w14:paraId="25C70269">
      <w:pPr>
        <w:pStyle w:val="style0"/>
        <w:jc w:val="left"/>
        <w:rPr/>
      </w:pPr>
      <w:r>
        <w:rPr>
          <w:lang w:val="en-US"/>
        </w:rPr>
        <w:t>- 网络、图形等可选服务均可被看护服务监控，用户可针对每个服务单独决定。</w:t>
      </w:r>
    </w:p>
    <w:p w14:paraId="225D9CA9">
      <w:pPr>
        <w:pStyle w:val="style0"/>
        <w:jc w:val="left"/>
        <w:rPr/>
      </w:pPr>
    </w:p>
    <w:p w14:paraId="C9D4753E">
      <w:pPr>
        <w:pStyle w:val="style0"/>
        <w:jc w:val="left"/>
        <w:rPr/>
      </w:pPr>
      <w:r>
        <w:t>1. 应用运行能力</w:t>
      </w:r>
    </w:p>
    <w:p w14:paraId="46FCE68A">
      <w:pPr>
        <w:pStyle w:val="style0"/>
        <w:jc w:val="left"/>
        <w:rPr/>
      </w:pPr>
    </w:p>
    <w:p w14:paraId="20E21950">
      <w:pPr>
        <w:pStyle w:val="style0"/>
        <w:jc w:val="left"/>
        <w:rPr/>
      </w:pPr>
      <w:r>
        <w:t>1.1 支持的应用类型</w:t>
      </w:r>
    </w:p>
    <w:p w14:paraId="402353CA">
      <w:pPr>
        <w:pStyle w:val="style0"/>
        <w:jc w:val="left"/>
        <w:rPr/>
      </w:pPr>
    </w:p>
    <w:p w14:paraId="59549837">
      <w:pPr>
        <w:pStyle w:val="style0"/>
        <w:jc w:val="left"/>
        <w:rPr/>
      </w:pPr>
      <w:r>
        <w:t>· Rust 原生应用：通过 LibOS crate 静态链接，直接调用内核能力令牌接口。</w:t>
      </w:r>
    </w:p>
    <w:p w14:paraId="664A266D">
      <w:pPr>
        <w:pStyle w:val="style0"/>
        <w:jc w:val="left"/>
        <w:rPr/>
      </w:pPr>
      <w:r>
        <w:t>· C 语言应用：通过轻量级 C 运行时（基于 musl 子集）运行，所有系统操作转换为能力令牌调用。</w:t>
      </w:r>
    </w:p>
    <w:p w14:paraId="DCDBC404">
      <w:pPr>
        <w:pStyle w:val="style0"/>
        <w:jc w:val="left"/>
        <w:rPr/>
      </w:pPr>
      <w:r>
        <w:t>· 其他语言（C++、Python 等）：可通过 C 接口间接支持，但需开发者自行适配。</w:t>
      </w:r>
    </w:p>
    <w:p w14:paraId="529817BB">
      <w:pPr>
        <w:pStyle w:val="style0"/>
        <w:jc w:val="left"/>
        <w:rPr/>
      </w:pPr>
    </w:p>
    <w:p w14:paraId="41C1E3B5">
      <w:pPr>
        <w:pStyle w:val="style0"/>
        <w:jc w:val="left"/>
        <w:rPr/>
      </w:pPr>
      <w:r>
        <w:t>1.2 程序加载与执行</w:t>
      </w:r>
    </w:p>
    <w:p w14:paraId="02C54F2F">
      <w:pPr>
        <w:pStyle w:val="style0"/>
        <w:jc w:val="left"/>
        <w:rPr/>
      </w:pPr>
    </w:p>
    <w:p w14:paraId="7B4EE1AE">
      <w:pPr>
        <w:pStyle w:val="style0"/>
        <w:jc w:val="left"/>
        <w:rPr/>
      </w:pPr>
      <w:r>
        <w:t xml:space="preserve">· </w:t>
      </w:r>
      <w:r>
        <w:rPr>
          <w:lang w:val="en-US"/>
        </w:rPr>
        <w:t>用户程序由 BDFL（Benevolent Dictator for Life，终身仁慈独裁者，即项目创始人与最高决策者）或授权开发者签名，内核验证签名后加载。个人模式下用户自签名程序同样可加载，但受限于本文档4.1节的受限域规则。</w:t>
      </w:r>
    </w:p>
    <w:p w14:paraId="FC0B08C7">
      <w:pPr>
        <w:pStyle w:val="style0"/>
        <w:jc w:val="left"/>
        <w:rPr/>
      </w:pPr>
      <w:r>
        <w:t>· 所有程序运行在同一地址空间，通过能力令牌隔离资源。</w:t>
      </w:r>
    </w:p>
    <w:p w14:paraId="C0E7158D">
      <w:pPr>
        <w:pStyle w:val="style0"/>
        <w:jc w:val="left"/>
        <w:rPr>
          <w:lang w:val="en-US"/>
        </w:rPr>
      </w:pPr>
      <w:r>
        <w:rPr>
          <w:rFonts w:ascii="微软雅黑" w:cs="微软雅黑" w:eastAsia="微软雅黑" w:hAnsi="微软雅黑" w:hint="default"/>
          <w:b w:val="false"/>
          <w:bCs w:val="false"/>
          <w:i w:val="false"/>
          <w:iCs w:val="false"/>
          <w:color w:val="080f17"/>
          <w:sz w:val="22"/>
          <w:szCs w:val="20"/>
          <w:highlight w:val="none"/>
          <w:vertAlign w:val="baseline"/>
          <w:em w:val="none"/>
          <w:lang w:val="en-US"/>
        </w:rPr>
        <w:t>一个程序由一个或多个执行上下文组成，共享同一个能力空间。当用户关闭程序窗口时，主执行上下文被销毁。在网络保持模式下，程序保留一个专用的网络执行上下文以维持连接。</w:t>
      </w:r>
    </w:p>
    <w:p w14:paraId="091736A2">
      <w:pPr>
        <w:pStyle w:val="style0"/>
        <w:jc w:val="left"/>
        <w:rPr/>
      </w:pPr>
    </w:p>
    <w:p w14:paraId="72CA3EE2">
      <w:pPr>
        <w:pStyle w:val="style0"/>
        <w:jc w:val="left"/>
        <w:rPr/>
      </w:pPr>
      <w:r>
        <w:t>1.3 程序运行状态与用户界面本操作系统不存在传统意义上的“后台进程”概念。所有程序的运行状态对用户完全透明。</w:t>
      </w:r>
    </w:p>
    <w:p w14:paraId="523D3A2B">
      <w:pPr>
        <w:pStyle w:val="style0"/>
        <w:jc w:val="left"/>
        <w:rPr/>
      </w:pPr>
    </w:p>
    <w:p w14:paraId="A775D4FF">
      <w:pPr>
        <w:pStyle w:val="style0"/>
        <w:jc w:val="left"/>
        <w:rPr/>
      </w:pPr>
      <w:r>
        <w:t>-前台运行：程序拥有用户可见的窗口或交互界面，持有完整的运行令牌，正常消耗系统资源。</w:t>
      </w:r>
    </w:p>
    <w:p w14:paraId="AEB3F332">
      <w:pPr>
        <w:pStyle w:val="style0"/>
        <w:jc w:val="left"/>
        <w:rPr/>
      </w:pPr>
      <w:r>
        <w:t>-服务模式：程序可以请求持有通信令牌（如网络通道令牌），在关闭主窗口后继续提供服务（例如接收消息推送）。此状态将在系统任务栏或状态指示器中明确显示，告知用户该程序仍在持有部分资源。</w:t>
      </w:r>
    </w:p>
    <w:p w14:paraId="5F2DBECC">
      <w:pPr>
        <w:pStyle w:val="style0"/>
        <w:jc w:val="left"/>
        <w:rPr/>
      </w:pPr>
      <w:r>
        <w:t>-退出：用户主动关闭程序或选择退出，所有令牌被回收，资源释放，程序完全终止，不留任何残留。所有程序的运行状态和资源占用，用户均可通过系统提供的任务管理器或等效工具查看，确保系统无任何隐蔽活动。</w:t>
      </w:r>
    </w:p>
    <w:p w14:paraId="D1BD23E9">
      <w:pPr>
        <w:pStyle w:val="style0"/>
        <w:jc w:val="left"/>
        <w:rPr/>
      </w:pPr>
      <w:r>
        <w:t>-网络保持模式：对于需要维持实时网络连接的应用（如网络游戏），用户可将程序标记为“保持连接”。此状态下，程序主窗口可最小化，但其通信通道令牌和必要的CPU时间片继续有效，确保网络连接不中断。该状态将在系统状态指示器中明确显示，告知用户该程序仍在维持网络活动。用户可随时强制中断此状态，回收所有令牌。</w:t>
      </w:r>
    </w:p>
    <w:p w14:paraId="DF2F3B02">
      <w:pPr>
        <w:pStyle w:val="style0"/>
        <w:jc w:val="left"/>
        <w:rPr>
          <w:lang w:val="en-US"/>
        </w:rPr>
      </w:pPr>
    </w:p>
    <w:p w14:paraId="214405FA">
      <w:pPr>
        <w:pStyle w:val="style0"/>
        <w:jc w:val="left"/>
        <w:rPr>
          <w:lang w:val="en-US"/>
        </w:rPr>
      </w:pPr>
      <w:r>
        <w:rPr>
          <w:lang w:val="en-US"/>
        </w:rPr>
        <w:t>1.4 C程序并发上限</w:t>
      </w:r>
    </w:p>
    <w:p w14:paraId="C085FEF4">
      <w:pPr>
        <w:pStyle w:val="style0"/>
        <w:jc w:val="left"/>
        <w:rPr/>
      </w:pPr>
    </w:p>
    <w:p w14:paraId="5941792F">
      <w:pPr>
        <w:pStyle w:val="style0"/>
        <w:jc w:val="left"/>
        <w:rPr>
          <w:lang w:val="en-US"/>
        </w:rPr>
      </w:pPr>
      <w:r>
        <w:rPr>
          <w:lang w:val="en-US"/>
        </w:rPr>
        <w:t>需要独立MPK硬件隔离的C程序最多同时运行4个。超过上限时返回“资源暂时不可用”。</w:t>
      </w:r>
    </w:p>
    <w:p w14:paraId="6BBBD949">
      <w:pPr>
        <w:pStyle w:val="style0"/>
        <w:jc w:val="left"/>
        <w:rPr/>
      </w:pPr>
    </w:p>
    <w:p w14:paraId="52BB8B6A">
      <w:pPr>
        <w:pStyle w:val="style0"/>
        <w:jc w:val="left"/>
        <w:rPr>
          <w:lang w:val="en-US"/>
        </w:rPr>
      </w:pPr>
      <w:r>
        <w:rPr>
          <w:lang w:val="en-US"/>
        </w:rPr>
        <w:t>每个需要独立硬件隔离的C程序（即一个独立的隔离域）消耗一个MPK密钥。该程序的所有执行上下文共享此密钥，不额外消耗更多密钥。</w:t>
      </w:r>
    </w:p>
    <w:p w14:paraId="57C68B75">
      <w:pPr>
        <w:pStyle w:val="style0"/>
        <w:jc w:val="left"/>
        <w:rPr/>
      </w:pPr>
    </w:p>
    <w:p w14:paraId="10EF1068">
      <w:pPr>
        <w:pStyle w:val="style0"/>
        <w:jc w:val="left"/>
        <w:rPr>
          <w:lang w:val="en-US"/>
        </w:rPr>
      </w:pPr>
      <w:r>
        <w:rPr>
          <w:lang w:val="en-US"/>
        </w:rPr>
        <w:t>若单个C程序需要同时访问多种资源（如文件和网络），只需持有相应的能力令牌，不增加MPK密钥消耗。</w:t>
      </w:r>
    </w:p>
    <w:p w14:paraId="8703A5F7">
      <w:pPr>
        <w:pStyle w:val="style0"/>
        <w:jc w:val="left"/>
        <w:rPr/>
      </w:pPr>
    </w:p>
    <w:p w14:paraId="D656E145">
      <w:pPr>
        <w:pStyle w:val="style0"/>
        <w:jc w:val="left"/>
        <w:rPr>
          <w:lang w:val="en-US"/>
        </w:rPr>
      </w:pPr>
      <w:r>
        <w:rPr>
          <w:lang w:val="en-US"/>
        </w:rPr>
        <w:t>多个C程序可共享同一MPK密钥域，共享密钥的程序视为同一信任域，彼此之间靠能力令牌细粒度隔离。此时并发数量不受MPK密钥数量限制，而是受调度器队列容量限制。仅当C程序需要独立硬件隔离时，才受限于4个可用密钥（密钥8–11）。</w:t>
      </w:r>
    </w:p>
    <w:p w14:paraId="0ACC4B15">
      <w:pPr>
        <w:pStyle w:val="style0"/>
        <w:jc w:val="left"/>
        <w:rPr/>
      </w:pPr>
    </w:p>
    <w:p w14:paraId="2C33B7E6">
      <w:pPr>
        <w:pStyle w:val="style0"/>
        <w:jc w:val="left"/>
        <w:rPr/>
      </w:pPr>
      <w:r>
        <w:rPr>
          <w:lang w:val="en-US"/>
        </w:rPr>
        <w:t>由BDFL或授权发布密钥签名的C/C++程序，已经过安全审计，默认享有更高信任等级，不强制要求独立MPK硬件隔离。用户自行运行的未经BDFL签名的C/C++程序，需在个人模式下由用户使用个人密钥签名，且运行时强制分配独立MPK密钥，受并发上限约束。任何未经签名的程序无法在内核中创建执行上下文，无法获得任何能力令牌，无法运行。</w:t>
      </w:r>
    </w:p>
    <w:p w14:paraId="E6AB58BA">
      <w:pPr>
        <w:pStyle w:val="style0"/>
        <w:jc w:val="left"/>
        <w:rPr/>
      </w:pPr>
    </w:p>
    <w:p w14:paraId="510DDF94">
      <w:pPr>
        <w:pStyle w:val="style0"/>
        <w:jc w:val="left"/>
        <w:rPr/>
      </w:pPr>
      <w:r>
        <w:t>2. 资源访问能力</w:t>
      </w:r>
    </w:p>
    <w:p w14:paraId="8F491F53">
      <w:pPr>
        <w:pStyle w:val="style0"/>
        <w:jc w:val="left"/>
        <w:rPr/>
      </w:pPr>
    </w:p>
    <w:p w14:paraId="8456160E">
      <w:pPr>
        <w:pStyle w:val="style0"/>
        <w:jc w:val="left"/>
        <w:rPr/>
      </w:pPr>
      <w:r>
        <w:t>2.1 内存对象</w:t>
      </w:r>
    </w:p>
    <w:p w14:paraId="028283CA">
      <w:pPr>
        <w:pStyle w:val="style0"/>
        <w:jc w:val="left"/>
        <w:rPr/>
      </w:pPr>
    </w:p>
    <w:p w14:paraId="BC311E2B">
      <w:pPr>
        <w:pStyle w:val="style0"/>
        <w:jc w:val="left"/>
        <w:rPr/>
      </w:pPr>
      <w:r>
        <w:t>· 用户可申请一段私有内存区域，获得对应的 MemoryToken，拥有读写权限。</w:t>
      </w:r>
    </w:p>
    <w:p w14:paraId="20CE2DD7">
      <w:pPr>
        <w:pStyle w:val="style0"/>
        <w:jc w:val="left"/>
        <w:rPr/>
      </w:pPr>
      <w:r>
        <w:t>· 可与其他上下文共享内存区域（通过传递令牌）。</w:t>
      </w:r>
    </w:p>
    <w:p w14:paraId="2141FA33">
      <w:pPr>
        <w:pStyle w:val="style0"/>
        <w:jc w:val="left"/>
        <w:rPr>
          <w:lang w:val="en-US"/>
        </w:rPr>
      </w:pPr>
    </w:p>
    <w:p w14:paraId="89E8011C">
      <w:pPr>
        <w:pStyle w:val="style0"/>
        <w:jc w:val="left"/>
        <w:rPr>
          <w:lang w:val="en-US"/>
        </w:rPr>
      </w:pPr>
      <w:r>
        <w:rPr>
          <w:rFonts w:hint="eastAsia"/>
          <w:lang w:val="en-US" w:eastAsia="zh-CN"/>
        </w:rPr>
        <w:t>程序可通过drop(token)或显式调用revoke接口回收能力</w:t>
      </w:r>
      <w:r>
        <w:rPr>
          <w:lang w:val="en-US"/>
        </w:rPr>
        <w:t>，内核在上下文终结时自动回收。</w:t>
      </w:r>
    </w:p>
    <w:p w14:paraId="5FEDB9A4">
      <w:pPr>
        <w:pStyle w:val="style0"/>
        <w:jc w:val="left"/>
        <w:rPr/>
      </w:pPr>
    </w:p>
    <w:p w14:paraId="42D6F42D">
      <w:pPr>
        <w:pStyle w:val="style0"/>
        <w:jc w:val="left"/>
        <w:rPr/>
      </w:pPr>
      <w:r>
        <w:t>2.2 通信通道</w:t>
      </w:r>
    </w:p>
    <w:p w14:paraId="63491823">
      <w:pPr>
        <w:pStyle w:val="style0"/>
        <w:jc w:val="left"/>
        <w:rPr/>
      </w:pPr>
    </w:p>
    <w:p w14:paraId="BC35A62F">
      <w:pPr>
        <w:pStyle w:val="style0"/>
        <w:jc w:val="left"/>
        <w:rPr/>
      </w:pPr>
      <w:r>
        <w:t>· 发布-订阅通道：创建主题，订阅者接收消息。支持背压（通道满时生产者得到 Paused 状态）。</w:t>
      </w:r>
    </w:p>
    <w:p w14:paraId="7A732618">
      <w:pPr>
        <w:pStyle w:val="style0"/>
        <w:jc w:val="left"/>
        <w:rPr/>
      </w:pPr>
      <w:r>
        <w:t>· 请求-响应通道：同步调用，支持超时与重试。</w:t>
      </w:r>
    </w:p>
    <w:p w14:paraId="A5C9B9A3">
      <w:pPr>
        <w:pStyle w:val="style0"/>
        <w:jc w:val="left"/>
        <w:rPr/>
      </w:pPr>
    </w:p>
    <w:p w14:paraId="1E3F2733">
      <w:pPr>
        <w:pStyle w:val="style0"/>
        <w:jc w:val="left"/>
        <w:rPr/>
      </w:pPr>
      <w:r>
        <w:t>2.3 持久化对象（键-值存储）</w:t>
      </w:r>
    </w:p>
    <w:p w14:paraId="944FC5B8">
      <w:pPr>
        <w:pStyle w:val="style0"/>
        <w:jc w:val="left"/>
        <w:rPr/>
      </w:pPr>
    </w:p>
    <w:p w14:paraId="EDAC19FA">
      <w:pPr>
        <w:pStyle w:val="style0"/>
        <w:jc w:val="left"/>
        <w:rPr/>
      </w:pPr>
      <w:r>
        <w:t>· 用户可创建、读取、更新、删除键-值对象。</w:t>
      </w:r>
    </w:p>
    <w:p w14:paraId="F2DE1538">
      <w:pPr>
        <w:pStyle w:val="style0"/>
        <w:jc w:val="left"/>
        <w:rPr/>
      </w:pPr>
      <w:r>
        <w:t>· 每个对象由 ObjectToken 引用，操作需要相应权限（读/写/删除）。</w:t>
      </w:r>
    </w:p>
    <w:p w14:paraId="177E7AFD">
      <w:pPr>
        <w:pStyle w:val="style0"/>
        <w:jc w:val="left"/>
        <w:rPr/>
      </w:pPr>
      <w:r>
        <w:t>· 对象数据持久化在磁盘上，但访问接口统一为令牌操作。</w:t>
      </w:r>
    </w:p>
    <w:p w14:paraId="10B326C4">
      <w:pPr>
        <w:pStyle w:val="style0"/>
        <w:jc w:val="left"/>
        <w:rPr>
          <w:rFonts w:hint="eastAsia"/>
          <w:lang w:val="en-US" w:eastAsia="zh-CN"/>
        </w:rPr>
      </w:pPr>
    </w:p>
    <w:p w14:paraId="60E05E6A">
      <w:pPr>
        <w:pStyle w:val="style0"/>
        <w:jc w:val="left"/>
        <w:rPr>
          <w:lang w:val="en-US"/>
        </w:rPr>
      </w:pPr>
      <w:r>
        <w:rPr>
          <w:rFonts w:hint="eastAsia"/>
          <w:lang w:val="en-US" w:eastAsia="zh-CN"/>
        </w:rPr>
        <w:t>持久化能力表存储在系统保留的磁盘区域，使用系统保留的存储加密密钥（由根公钥派生）加密，内核启动时即可验证完整性。用户登录后，内核根据其身份密钥恢复对持久化对象的访问令牌。</w:t>
      </w:r>
    </w:p>
    <w:p w14:paraId="FD2E96AC">
      <w:pPr>
        <w:pStyle w:val="style0"/>
        <w:jc w:val="left"/>
        <w:rPr>
          <w:lang w:val="en-US"/>
        </w:rPr>
      </w:pPr>
    </w:p>
    <w:p w14:paraId="87F08426">
      <w:pPr>
        <w:pStyle w:val="style0"/>
        <w:jc w:val="left"/>
        <w:rPr/>
      </w:pPr>
      <w:r>
        <w:rPr>
          <w:lang w:val="en-US"/>
        </w:rPr>
        <w:t>系统重启后，用户通过身份验证恢复对持久化对象的访问。内核维护持久化能力表，在用户登录时根据其身份密钥重新授予对象访问令牌。</w:t>
      </w:r>
    </w:p>
    <w:p w14:paraId="82C02C95">
      <w:pPr>
        <w:pStyle w:val="style0"/>
        <w:jc w:val="left"/>
        <w:rPr/>
      </w:pPr>
    </w:p>
    <w:p w14:paraId="2D6A8898">
      <w:pPr>
        <w:pStyle w:val="style0"/>
        <w:jc w:val="left"/>
        <w:rPr/>
      </w:pPr>
      <w:r>
        <w:t>2.4 存储空间管理</w:t>
      </w:r>
    </w:p>
    <w:p w14:paraId="32E27470">
      <w:pPr>
        <w:pStyle w:val="style0"/>
        <w:jc w:val="left"/>
        <w:rPr/>
      </w:pPr>
    </w:p>
    <w:p w14:paraId="C1AEEA6A">
      <w:pPr>
        <w:pStyle w:val="style0"/>
        <w:jc w:val="left"/>
        <w:rPr/>
      </w:pPr>
      <w:r>
        <w:t>本操作系统废除传统文件系统的盘符、目录树和分区概念。所有持久化数据统一由键值对象存储服务管理，该服务作为用户态服务运行，通过能力令牌与内核和其他程序交互。</w:t>
      </w:r>
    </w:p>
    <w:p w14:paraId="9630DB58">
      <w:pPr>
        <w:pStyle w:val="style0"/>
        <w:jc w:val="left"/>
        <w:rPr/>
      </w:pPr>
    </w:p>
    <w:p w14:paraId="F2998E37">
      <w:pPr>
        <w:pStyle w:val="style0"/>
        <w:jc w:val="left"/>
        <w:rPr/>
      </w:pPr>
      <w:r>
        <w:t>-存储池抽象：物理磁盘被视为连续的物理地址空间。存储服务持有物理磁盘访问令牌，将整块磁盘或磁盘的一部分管理为一个扁平化的键值存储池。</w:t>
      </w:r>
    </w:p>
    <w:p w14:paraId="37026836">
      <w:pPr>
        <w:pStyle w:val="style0"/>
        <w:jc w:val="left"/>
        <w:rPr/>
      </w:pPr>
      <w:r>
        <w:t>-对象存储：所有数据以键值对的形式存储。键为对象的唯一标识符，值为对象的二进制数据。存储服务内部维护索引表，记录每个键对应的物理存储位置。</w:t>
      </w:r>
    </w:p>
    <w:p w14:paraId="9A3F0256">
      <w:pPr>
        <w:pStyle w:val="style0"/>
        <w:jc w:val="left"/>
        <w:rPr/>
      </w:pPr>
      <w:r>
        <w:t>-空间感知：存储服务实时监控磁盘使用率。用户可通过系统提供的工具查看每个应用或数据池占用的存储空间。</w:t>
      </w:r>
    </w:p>
    <w:p w14:paraId="15A52CDF">
      <w:pPr>
        <w:pStyle w:val="style0"/>
        <w:jc w:val="left"/>
        <w:rPr/>
      </w:pPr>
      <w:r>
        <w:t>-数据去重：相同哈希值的数据块在物理磁盘上仅存储一份，多个对象可共享同一数据块。</w:t>
      </w:r>
      <w:r>
        <w:rPr>
          <w:lang w:val="en-US"/>
        </w:rPr>
        <w:t>数据去重默认开启，用户可为特定数据池关闭。</w:t>
      </w:r>
    </w:p>
    <w:p w14:paraId="6B31CA3B">
      <w:pPr>
        <w:pStyle w:val="style0"/>
        <w:jc w:val="left"/>
        <w:rPr/>
      </w:pPr>
      <w:r>
        <w:t>-旧格式兼容：系统提供独立的兼容服务域，用于读取NTFS、FAT32等传统文件系统的数据。该兼容域持有只读物理磁盘访问令牌，将旧格式文件翻译为键值对象供新系统使用。兼容域仅在用户需要时启动，用完即停。</w:t>
      </w:r>
    </w:p>
    <w:p w14:paraId="181B8323">
      <w:pPr>
        <w:pStyle w:val="style0"/>
        <w:jc w:val="left"/>
        <w:rPr/>
      </w:pPr>
      <w:r>
        <w:t>-权限与隔离：存储服务本身是一个用户态服务。应用程序必须持有对应的ObjectToken才能读写键值对象。未经授权的程序无法访问任何持久化数据。</w:t>
      </w:r>
    </w:p>
    <w:p w14:paraId="8D95419E">
      <w:pPr>
        <w:pStyle w:val="style0"/>
        <w:jc w:val="left"/>
        <w:rPr/>
      </w:pPr>
      <w:r>
        <w:t>-容量标准：本操作系统所有存储容量的精确表示均采用二进制标准单位（1KB = 1024B，1MB = 1024KB，1GB = 1024MB，1TB = 1024GB，1PB = 1024TB）。用户界面可在精确值旁标注十进制近似值以便理解。此标准与硬件架构和数制系统无关，仅为本系统的度量约定。系统内部计算和令牌限制均以二进制值为准。</w:t>
      </w:r>
    </w:p>
    <w:p w14:paraId="86C729D6">
      <w:pPr>
        <w:pStyle w:val="style0"/>
        <w:jc w:val="left"/>
        <w:rPr/>
      </w:pPr>
    </w:p>
    <w:p w14:paraId="3B28BAFA">
      <w:pPr>
        <w:pStyle w:val="style0"/>
        <w:jc w:val="left"/>
        <w:rPr/>
      </w:pPr>
      <w:r>
        <w:t>2.5 存储空间预警与自动管理</w:t>
      </w:r>
    </w:p>
    <w:p w14:paraId="79E85C27">
      <w:pPr>
        <w:pStyle w:val="style0"/>
        <w:jc w:val="left"/>
        <w:rPr/>
      </w:pPr>
    </w:p>
    <w:p w14:paraId="7C2DC774">
      <w:pPr>
        <w:pStyle w:val="style0"/>
        <w:jc w:val="left"/>
        <w:rPr/>
      </w:pPr>
      <w:r>
        <w:t>本操作系统将存储空间管理内建为智能化的系统服务，旨在从被动响应变为主动预防，让用户从繁琐的磁盘清理工作中彻底解脱。</w:t>
      </w:r>
    </w:p>
    <w:p w14:paraId="19084EF9">
      <w:pPr>
        <w:pStyle w:val="style0"/>
        <w:jc w:val="left"/>
        <w:rPr/>
      </w:pPr>
    </w:p>
    <w:p w14:paraId="9883002C">
      <w:pPr>
        <w:pStyle w:val="style0"/>
        <w:jc w:val="left"/>
        <w:rPr/>
      </w:pPr>
      <w:r>
        <w:t>-主动状态感知：存储服务作为独立的用户态服务，通过持有的磁盘访问令牌，实时监控存储池的健康状况，包括总容量、已用空间和碎片化程度等指标。这些信息对所有持有查询令牌的应用开放，状态栏或系统工具可为用户提供直观的“存储健康度”显示。</w:t>
      </w:r>
    </w:p>
    <w:p w14:paraId="957A6779">
      <w:pPr>
        <w:pStyle w:val="style0"/>
        <w:jc w:val="left"/>
        <w:rPr/>
      </w:pPr>
      <w:r>
        <w:t xml:space="preserve">-智能预警与建议：当存储空间使用率达到预设阈值（如80%）时，存储服务将主动向用户推送通知。与传统系统“磁盘已满”的简单警告不同，该通知会附带一份详细的“空间优化建议”，内容包括：    </w:t>
      </w:r>
    </w:p>
    <w:p w14:paraId="C919A7DB">
      <w:pPr>
        <w:pStyle w:val="style0"/>
        <w:numPr>
          <w:ilvl w:val="0"/>
          <w:numId w:val="2"/>
        </w:numPr>
        <w:jc w:val="left"/>
        <w:rPr/>
      </w:pPr>
      <w:r>
        <w:t xml:space="preserve">长时间未访问的应用程序及其数据包大小。 </w:t>
      </w:r>
    </w:p>
    <w:p w14:paraId="C116B87D">
      <w:pPr>
        <w:pStyle w:val="style0"/>
        <w:numPr>
          <w:ilvl w:val="0"/>
          <w:numId w:val="2"/>
        </w:numPr>
        <w:jc w:val="left"/>
        <w:rPr/>
      </w:pPr>
      <w:r>
        <w:t xml:space="preserve">临时缓存数据与系统旧更新备份的占用空间。    </w:t>
      </w:r>
    </w:p>
    <w:p w14:paraId="86480800">
      <w:pPr>
        <w:pStyle w:val="style0"/>
        <w:numPr>
          <w:ilvl w:val="0"/>
          <w:numId w:val="2"/>
        </w:numPr>
        <w:jc w:val="left"/>
        <w:rPr/>
      </w:pPr>
      <w:r>
        <w:t>可安全移除的、由旧版本令牌签名且不再被引用的数据对象。</w:t>
      </w:r>
    </w:p>
    <w:p w14:paraId="651C862B">
      <w:pPr>
        <w:pStyle w:val="style0"/>
        <w:numPr>
          <w:ilvl w:val="0"/>
          <w:numId w:val="2"/>
        </w:numPr>
        <w:jc w:val="left"/>
        <w:rPr/>
      </w:pPr>
      <w:r>
        <w:t>用户可以自由选择一键执行清理或手动管理，所有操作都基于键值对象的元数据，无需遍历复杂的文件目录树。</w:t>
      </w:r>
    </w:p>
    <w:p w14:paraId="F1D75A34">
      <w:pPr>
        <w:pStyle w:val="style0"/>
        <w:jc w:val="left"/>
        <w:rPr/>
      </w:pPr>
      <w:r>
        <w:t>-自动清理与保护：用户可为特定的数据池或应用设置“自动清理策略”。例如，设定“超过6个月未被访问的临时缓存数据可被自动移除”。此操作由存储服务执行，完全受用户定义的规则控制。受能力令牌保护的核心系统文件或用户明确标记为“永久保留”的数据，则永远不受自动策略影响，确保绝对安全。</w:t>
      </w:r>
    </w:p>
    <w:p w14:paraId="03886203">
      <w:pPr>
        <w:pStyle w:val="style0"/>
        <w:jc w:val="left"/>
        <w:rPr/>
      </w:pPr>
      <w:r>
        <w:t>-存储状态可视化：系统提供清晰的可视化工具，使用户能够一目了然地看到存储空间的使用分布。通过这个工具，用户可以知道哪些应用或数据占用了大量空间，并可以直接在这里进行清理、迁移或备份操作，将管理权完全交还给用户。</w:t>
      </w:r>
    </w:p>
    <w:p w14:paraId="762CCCAE">
      <w:pPr>
        <w:pStyle w:val="style0"/>
        <w:jc w:val="left"/>
        <w:rPr/>
      </w:pPr>
    </w:p>
    <w:p w14:paraId="B9A8E1E2">
      <w:pPr>
        <w:pStyle w:val="style0"/>
        <w:jc w:val="left"/>
        <w:rPr/>
      </w:pPr>
      <w:r>
        <w:t>2.6 物理存储设备管理</w:t>
      </w:r>
    </w:p>
    <w:p w14:paraId="1FB85EA9">
      <w:pPr>
        <w:pStyle w:val="style0"/>
        <w:jc w:val="left"/>
        <w:rPr/>
      </w:pPr>
    </w:p>
    <w:p w14:paraId="85E932CC">
      <w:pPr>
        <w:pStyle w:val="style0"/>
        <w:jc w:val="left"/>
        <w:rPr/>
      </w:pPr>
      <w:r>
        <w:t>本操作系统通过独立的用户态服务管理不同类型的物理存储设备。内核不关心设备类型，只负责验证设备访问令牌。</w:t>
      </w:r>
    </w:p>
    <w:p w14:paraId="8DFCC801">
      <w:pPr>
        <w:pStyle w:val="style0"/>
        <w:numPr>
          <w:ilvl w:val="0"/>
          <w:numId w:val="2"/>
        </w:numPr>
        <w:jc w:val="left"/>
        <w:rPr/>
      </w:pPr>
      <w:r>
        <w:t>SSD 固态硬盘与 HDD 机械硬盘：作为主要存储设备，由键值对象存储服务持有物理磁盘访问令牌进行管理。存储服务自动识别设备类型，并根据设备特性优化读写策略（如 SSD 的磨损均衡、TRIM 支持）。用户无需手动分区或格式化，</w:t>
      </w:r>
      <w:r>
        <w:rPr>
          <w:lang w:val="en-US"/>
        </w:rPr>
        <w:t>存储服务接管磁盘的物理地址空间（系统保留区域除外）。</w:t>
      </w:r>
    </w:p>
    <w:p w14:paraId="23AEB52E">
      <w:pPr>
        <w:pStyle w:val="style0"/>
        <w:numPr>
          <w:ilvl w:val="0"/>
          <w:numId w:val="2"/>
        </w:numPr>
        <w:jc w:val="left"/>
        <w:rPr/>
      </w:pPr>
      <w:r>
        <w:t>U 盘与移动硬盘：当外部存储设备接入时，系统自动识别并创建独立的存储服务实例，持有该设备的物理访问令牌。用户可通过系统界面查看设备内容、导入或导出数据。拔出设备前，用户需通过系统界面安全弹出，以确保所有待写入数据已落盘且令牌已回收。</w:t>
      </w:r>
    </w:p>
    <w:p w14:paraId="BB40286E">
      <w:pPr>
        <w:pStyle w:val="style0"/>
        <w:numPr>
          <w:ilvl w:val="0"/>
          <w:numId w:val="2"/>
        </w:numPr>
        <w:jc w:val="left"/>
        <w:rPr/>
      </w:pPr>
      <w:r>
        <w:t>光盘、光驱与软盘：系统提供独立的兼容服务域，用于读取传统光盘和软盘数据。该兼容域持有只读物理访问令牌，将光盘或软盘中的传统文件系统数据翻译为键值对象供新系统使用。兼容域仅在用户主动挂载设备时启动，卸载后自动停止。</w:t>
      </w:r>
    </w:p>
    <w:p w14:paraId="6CF0F217">
      <w:pPr>
        <w:pStyle w:val="style0"/>
        <w:numPr>
          <w:ilvl w:val="0"/>
          <w:numId w:val="2"/>
        </w:numPr>
        <w:jc w:val="left"/>
        <w:rPr/>
      </w:pPr>
      <w:r>
        <w:t>权限与隔离：所有存储设备均通过物理访问令牌进行读写。未经授权的程序无法直接访问任何存储硬件，IOMMU 在硬件层面阻止设备的越界 DMA 访问。</w:t>
      </w:r>
    </w:p>
    <w:p w14:paraId="34272D83">
      <w:pPr>
        <w:pStyle w:val="style0"/>
        <w:jc w:val="left"/>
        <w:rPr/>
      </w:pPr>
    </w:p>
    <w:p w14:paraId="0259D536">
      <w:pPr>
        <w:pStyle w:val="style0"/>
        <w:jc w:val="left"/>
        <w:rPr/>
      </w:pPr>
      <w:r>
        <w:t>3. 系统服务（用户态）</w:t>
      </w:r>
    </w:p>
    <w:p w14:paraId="DC3C2783">
      <w:pPr>
        <w:pStyle w:val="style0"/>
        <w:jc w:val="left"/>
        <w:rPr/>
      </w:pPr>
    </w:p>
    <w:p w14:paraId="4D0B2C93">
      <w:pPr>
        <w:pStyle w:val="style0"/>
        <w:jc w:val="left"/>
        <w:rPr/>
      </w:pPr>
      <w:r>
        <w:t>3.1 基础服务</w:t>
      </w:r>
    </w:p>
    <w:p w14:paraId="762C83D1">
      <w:pPr>
        <w:pStyle w:val="style0"/>
        <w:jc w:val="left"/>
        <w:rPr/>
      </w:pPr>
    </w:p>
    <w:p w14:paraId="295B95DF">
      <w:pPr>
        <w:pStyle w:val="style0"/>
        <w:jc w:val="left"/>
        <w:rPr/>
      </w:pPr>
      <w:r>
        <w:t xml:space="preserve">-看护服务：负责监控关键用户态服务的健康状态，并在服务崩溃时执行自动恢复。    </w:t>
      </w:r>
    </w:p>
    <w:p w14:paraId="0E43E152">
      <w:pPr>
        <w:pStyle w:val="style0"/>
        <w:numPr>
          <w:ilvl w:val="0"/>
          <w:numId w:val="2"/>
        </w:numPr>
        <w:jc w:val="left"/>
        <w:rPr/>
      </w:pPr>
      <w:r>
        <w:t xml:space="preserve">启动方式：看护服务不随系统开机“自启动”。用户在首次需要使用需要高可用性的服务（如网络服务、图形服务）时，系统会提示用户授权启动看护服务。用户确认后，看护服务持有监控令牌开始运行。    </w:t>
      </w:r>
    </w:p>
    <w:p w14:paraId="9D35EE0C">
      <w:pPr>
        <w:pStyle w:val="style0"/>
        <w:numPr>
          <w:ilvl w:val="0"/>
          <w:numId w:val="2"/>
        </w:numPr>
        <w:jc w:val="left"/>
        <w:rPr/>
      </w:pPr>
      <w:r>
        <w:t xml:space="preserve">运行状态：看护服务在运行期间对用户可见，系统状态栏或任务管理器会明确显示看护服务正在运行。用户可随时主动停止看护服务。 </w:t>
      </w:r>
    </w:p>
    <w:p w14:paraId="45BCFB8C">
      <w:pPr>
        <w:pStyle w:val="style0"/>
        <w:numPr>
          <w:ilvl w:val="0"/>
          <w:numId w:val="2"/>
        </w:numPr>
        <w:jc w:val="left"/>
        <w:rPr/>
      </w:pPr>
      <w:r>
        <w:t xml:space="preserve">监控范围：看护服务仅监控用户已显式启动且已授权监控的服务。未启动的服务不会消耗任何资源。    </w:t>
      </w:r>
    </w:p>
    <w:p w14:paraId="EE2604F3">
      <w:pPr>
        <w:pStyle w:val="style0"/>
        <w:numPr>
          <w:ilvl w:val="0"/>
          <w:numId w:val="2"/>
        </w:numPr>
        <w:jc w:val="left"/>
        <w:rPr/>
      </w:pPr>
      <w:r>
        <w:t xml:space="preserve">恢复机制：当被监控的服务崩溃时，看护服务自动重启该服务。如果连续重启失败（如GPU硬件故障），看护服务执行用户预设的降级策略（如从独显切换至核显），并向用户推送通知。  </w:t>
      </w:r>
    </w:p>
    <w:p w14:paraId="16249E33">
      <w:pPr>
        <w:pStyle w:val="style0"/>
        <w:numPr>
          <w:ilvl w:val="0"/>
          <w:numId w:val="2"/>
        </w:numPr>
        <w:jc w:val="left"/>
        <w:rPr/>
      </w:pPr>
      <w:r>
        <w:t>核显故障兜底：如果核显也发生故障或不可用，</w:t>
      </w:r>
      <w:r>
        <w:rPr>
          <w:lang w:val="en-US"/>
        </w:rPr>
        <w:t>激活系统的低保显示服务。该服务不依赖任何GPU，仅通过串口输出关键故障信息，通知用户："所有显示设备均不可用，系统仍在运行，请检查硬件。"</w:t>
      </w:r>
      <w:r>
        <w:t>该服务不依赖任何GPU驱动，仅需持有最低权限的写屏令牌即可工作。</w:t>
      </w:r>
    </w:p>
    <w:p w14:paraId="C27DFAF0">
      <w:pPr>
        <w:pStyle w:val="style0"/>
        <w:jc w:val="left"/>
        <w:rPr/>
      </w:pPr>
    </w:p>
    <w:p w14:paraId="71EBE4DF">
      <w:pPr>
        <w:pStyle w:val="style0"/>
        <w:jc w:val="left"/>
        <w:rPr/>
      </w:pPr>
      <w:r>
        <w:t xml:space="preserve">-时间服务：提供不受闰秒影响的连续、单调递增的系统时间。该服务作为独立用户态进程运行，工作流程如下：    </w:t>
      </w:r>
    </w:p>
    <w:p w14:paraId="32E40237">
      <w:pPr>
        <w:pStyle w:val="style0"/>
        <w:numPr>
          <w:ilvl w:val="0"/>
          <w:numId w:val="2"/>
        </w:numPr>
        <w:jc w:val="left"/>
        <w:rPr/>
      </w:pPr>
      <w:r>
        <w:t xml:space="preserve">初始时间源：系统启动时，时间服务读取 UEFI 固件提供的硬件实时时钟作为初始时间种子。    </w:t>
      </w:r>
    </w:p>
    <w:p w14:paraId="A0118ADF">
      <w:pPr>
        <w:pStyle w:val="style0"/>
        <w:numPr>
          <w:ilvl w:val="0"/>
          <w:numId w:val="2"/>
        </w:numPr>
        <w:jc w:val="left"/>
        <w:rPr/>
      </w:pPr>
      <w:r>
        <w:t xml:space="preserve">本地模式：若无网络连接，时间服务基于 CPU 硬件计时器（如 TSC）提供系统启动后的单调递增时间，以 UEFI 初始时间为基准。  </w:t>
      </w:r>
    </w:p>
    <w:p w14:paraId="0B13AB5D">
      <w:pPr>
        <w:pStyle w:val="style0"/>
        <w:numPr>
          <w:ilvl w:val="0"/>
          <w:numId w:val="2"/>
        </w:numPr>
        <w:jc w:val="left"/>
        <w:rPr/>
      </w:pPr>
      <w:r>
        <w:t>原子钟校准模式（可选）：若用户启用网络服务并开启此模式，时间服务通过高精度网络时间协议（如 NTP/PTP）从全球原子钟服务器获取标准时间，在后台持续校准本地时钟。当发生闰秒时，通过“时间模糊”（Time Smearing）技术在数小时内平滑调整，确保系统时间始终单调递增，不会出现回退。</w:t>
      </w:r>
      <w:r>
        <w:rPr>
          <w:lang w:val="en-US"/>
        </w:rPr>
        <w:t>24小时线性smear</w:t>
      </w:r>
      <w:r>
        <w:rPr>
          <w:rFonts w:hint="eastAsia"/>
          <w:lang w:eastAsia="zh-CN"/>
        </w:rPr>
        <w:t>。高精度应用可通过申请原始时间令牌获取未经平滑的UTC时间，自行处理闰秒回退。</w:t>
      </w:r>
    </w:p>
    <w:p w14:paraId="C672191E">
      <w:pPr>
        <w:pStyle w:val="style0"/>
        <w:jc w:val="left"/>
        <w:rPr/>
      </w:pPr>
      <w:r>
        <w:t>- 所有时间查询通过只读时间令牌进行，无需特殊权限。定时器设置需持有时钟事件令牌。</w:t>
      </w:r>
    </w:p>
    <w:p w14:paraId="0CACAD27">
      <w:pPr>
        <w:pStyle w:val="style0"/>
        <w:jc w:val="left"/>
        <w:rPr/>
      </w:pPr>
    </w:p>
    <w:p w14:paraId="3BFB56D8">
      <w:pPr>
        <w:pStyle w:val="style0"/>
        <w:jc w:val="left"/>
        <w:rPr/>
      </w:pPr>
      <w:r>
        <w:t>3.2 可选服务（由用户决定是否启用）</w:t>
      </w:r>
    </w:p>
    <w:p w14:paraId="9ED2CB14">
      <w:pPr>
        <w:pStyle w:val="style0"/>
        <w:jc w:val="left"/>
        <w:rPr/>
      </w:pPr>
    </w:p>
    <w:p w14:paraId="3A95AF6D">
      <w:pPr>
        <w:pStyle w:val="style0"/>
        <w:jc w:val="left"/>
        <w:rPr/>
      </w:pPr>
      <w:r>
        <w:t xml:space="preserve">-网络服务：提供完整的 TCP/IP 协议栈，作为独立的用户态服务进程运行。该服务持有物理网卡访问令牌，通过 IOMMU 硬件隔离确保设备无法越界访问内存。    </w:t>
      </w:r>
    </w:p>
    <w:p w14:paraId="45855B10">
      <w:pPr>
        <w:pStyle w:val="style0"/>
        <w:numPr>
          <w:ilvl w:val="0"/>
          <w:numId w:val="2"/>
        </w:numPr>
        <w:jc w:val="left"/>
        <w:rPr/>
      </w:pPr>
      <w:r>
        <w:t xml:space="preserve">应用程序不直接访问网络硬件，而是通过“发布-订阅”或“请求-响应”通道与网络服务通信。    </w:t>
      </w:r>
    </w:p>
    <w:p w14:paraId="9D4F7787">
      <w:pPr>
        <w:pStyle w:val="style0"/>
        <w:numPr>
          <w:ilvl w:val="0"/>
          <w:numId w:val="2"/>
        </w:numPr>
        <w:jc w:val="left"/>
        <w:rPr/>
      </w:pPr>
      <w:r>
        <w:t xml:space="preserve">应用程序需持有网络通道令牌才能收发数据。没有令牌的程序无法联网。    </w:t>
      </w:r>
    </w:p>
    <w:p w14:paraId="735B47BE">
      <w:pPr>
        <w:pStyle w:val="style0"/>
        <w:numPr>
          <w:ilvl w:val="0"/>
          <w:numId w:val="2"/>
        </w:numPr>
        <w:jc w:val="left"/>
        <w:rPr/>
      </w:pPr>
      <w:r>
        <w:t xml:space="preserve">网络服务的崩溃或异常不会影响内核及其他服务，可通过看护服务自动重启恢复。    </w:t>
      </w:r>
    </w:p>
    <w:p w14:paraId="F9550555">
      <w:pPr>
        <w:pStyle w:val="style0"/>
        <w:numPr>
          <w:ilvl w:val="0"/>
          <w:numId w:val="2"/>
        </w:numPr>
        <w:jc w:val="left"/>
        <w:rPr/>
      </w:pPr>
      <w:r>
        <w:t>支持 IPv4 与 IPv6 双栈，用户可按需启用。</w:t>
      </w:r>
    </w:p>
    <w:p w14:paraId="C9475B2B">
      <w:pPr>
        <w:pStyle w:val="style0"/>
        <w:jc w:val="left"/>
        <w:rPr/>
      </w:pPr>
    </w:p>
    <w:p w14:paraId="4A5BC00F">
      <w:pPr>
        <w:pStyle w:val="style0"/>
        <w:jc w:val="left"/>
        <w:rPr/>
      </w:pPr>
      <w:r>
        <w:t xml:space="preserve">-图形服务：提供图形渲染与显示功能，作为独立的用户态服务进程运行。    </w:t>
      </w:r>
    </w:p>
    <w:p w14:paraId="980CF92A">
      <w:pPr>
        <w:pStyle w:val="style0"/>
        <w:numPr>
          <w:ilvl w:val="0"/>
          <w:numId w:val="2"/>
        </w:numPr>
        <w:jc w:val="left"/>
        <w:rPr/>
      </w:pPr>
      <w:r>
        <w:t xml:space="preserve">基础模式：提供简单的帧缓冲绘图接口，适用于轻量级桌面环境。应用程序通过图形通道令牌申请绘制区域，图形服务负责将像素数据写入显存。    </w:t>
      </w:r>
    </w:p>
    <w:p w14:paraId="DE4F4A01">
      <w:pPr>
        <w:pStyle w:val="style0"/>
        <w:numPr>
          <w:ilvl w:val="0"/>
          <w:numId w:val="2"/>
        </w:numPr>
        <w:jc w:val="left"/>
        <w:rPr/>
      </w:pPr>
      <w:r>
        <w:t>GPU 直通模式（</w:t>
      </w:r>
      <w:r>
        <w:rPr>
          <w:lang w:val="en-US"/>
        </w:rPr>
        <w:t>理论值，需实测验证</w:t>
      </w:r>
      <w:r>
        <w:t>）：高信用度的应用域（如游戏、视频渲染）可申请 GPU 直通令牌。获得直通令牌后，应用程序可直接访问 GPU 硬件，绕过图形服务，</w:t>
      </w:r>
      <w:r>
        <w:rPr>
          <w:rFonts w:hint="eastAsia"/>
          <w:lang w:eastAsia="zh-CN"/>
        </w:rPr>
        <w:t>设计目标为达到裸机性能的95%以上（待实测验证，最终数据将在特定参考平台公布</w:t>
      </w:r>
      <w:r>
        <w:t xml:space="preserve">）。    </w:t>
      </w:r>
    </w:p>
    <w:p w14:paraId="627B0FE9">
      <w:pPr>
        <w:pStyle w:val="style0"/>
        <w:numPr>
          <w:ilvl w:val="0"/>
          <w:numId w:val="2"/>
        </w:numPr>
        <w:jc w:val="left"/>
        <w:rPr/>
      </w:pPr>
      <w:r>
        <w:t xml:space="preserve">GPU 直通令牌由用户显式授权，生命周期与该应用域绑定。域结束时令牌自动回收。    </w:t>
      </w:r>
    </w:p>
    <w:p w14:paraId="CBC617DB">
      <w:pPr>
        <w:pStyle w:val="style0"/>
        <w:numPr>
          <w:ilvl w:val="0"/>
          <w:numId w:val="2"/>
        </w:numPr>
        <w:jc w:val="left"/>
        <w:rPr/>
      </w:pPr>
      <w:r>
        <w:t>当 GPU 硬件故障时，看护服务自动切换至核显或基础帧缓冲模式，并向用户推送通知。</w:t>
      </w:r>
    </w:p>
    <w:p w14:paraId="EE9F5ED9">
      <w:pPr>
        <w:pStyle w:val="style0"/>
        <w:jc w:val="left"/>
        <w:rPr/>
      </w:pPr>
    </w:p>
    <w:p w14:paraId="352FD17B">
      <w:pPr>
        <w:pStyle w:val="style0"/>
        <w:jc w:val="left"/>
        <w:rPr/>
      </w:pPr>
      <w:r>
        <w:t>4. 安装与部署</w:t>
      </w:r>
    </w:p>
    <w:p w14:paraId="36684B72">
      <w:pPr>
        <w:pStyle w:val="style0"/>
        <w:jc w:val="left"/>
        <w:rPr/>
      </w:pPr>
    </w:p>
    <w:p w14:paraId="C54BECBD">
      <w:pPr>
        <w:pStyle w:val="style0"/>
        <w:jc w:val="left"/>
        <w:rPr/>
      </w:pPr>
      <w:r>
        <w:t>4.1 安装模式</w:t>
      </w:r>
    </w:p>
    <w:p w14:paraId="C8DC0CEB">
      <w:pPr>
        <w:pStyle w:val="style0"/>
        <w:jc w:val="left"/>
        <w:rPr/>
      </w:pPr>
    </w:p>
    <w:p w14:paraId="BFF2C993">
      <w:pPr>
        <w:pStyle w:val="style0"/>
        <w:jc w:val="left"/>
        <w:rPr/>
      </w:pPr>
      <w:r>
        <w:t>· 完全模式：适用于单系统、高安全环境。强制所有代码由 BDFL 签名。</w:t>
      </w:r>
    </w:p>
    <w:p w14:paraId="91536D4F">
      <w:pPr>
        <w:pStyle w:val="style0"/>
        <w:jc w:val="left"/>
        <w:rPr>
          <w:lang w:val="en-US"/>
        </w:rPr>
      </w:pPr>
      <w:r>
        <w:t>· 个人模式：适用于双系统（另一块磁盘）或开发测试。允许用户导入自有签名密钥。</w:t>
      </w:r>
    </w:p>
    <w:p w14:paraId="CE28BAF2">
      <w:pPr>
        <w:pStyle w:val="style0"/>
        <w:jc w:val="left"/>
        <w:rPr/>
      </w:pPr>
    </w:p>
    <w:p w14:paraId="28282009">
      <w:pPr>
        <w:pStyle w:val="style0"/>
        <w:jc w:val="left"/>
        <w:rPr>
          <w:lang w:val="en-US"/>
        </w:rPr>
      </w:pPr>
      <w:r>
        <w:rPr>
          <w:lang w:val="en-US"/>
        </w:rPr>
        <w:t>本操作系统提供两种安装模式，用户首次安装时选择，后续可随系统更新变更。</w:t>
      </w:r>
    </w:p>
    <w:p w14:paraId="C73EB728">
      <w:pPr>
        <w:pStyle w:val="style0"/>
        <w:jc w:val="left"/>
        <w:rPr/>
      </w:pPr>
    </w:p>
    <w:p w14:paraId="9066F4C7">
      <w:pPr>
        <w:pStyle w:val="style0"/>
        <w:jc w:val="left"/>
        <w:rPr>
          <w:lang w:val="en-US"/>
        </w:rPr>
      </w:pPr>
      <w:r>
        <w:rPr>
          <w:lang w:val="en-US"/>
        </w:rPr>
        <w:t>完全模式适用于单系统、高安全环境。此模式下，所有代码必须由BDFL或BDFL授权的发布密钥签名，内核才允许加载。用户无权导入自有签名密钥。用户持有的用户密钥仅用于个人数据签名和身份验证，不能用于程序签名。开发者授权密钥在此模式下不生效，仅有BDFL直接授权的发布密钥签名的程序可在系统中运行。</w:t>
      </w:r>
    </w:p>
    <w:p w14:paraId="5E9A527A">
      <w:pPr>
        <w:pStyle w:val="style0"/>
        <w:jc w:val="left"/>
        <w:rPr/>
      </w:pPr>
    </w:p>
    <w:p w14:paraId="E82A52FE">
      <w:pPr>
        <w:pStyle w:val="style0"/>
        <w:jc w:val="left"/>
        <w:rPr>
          <w:lang w:val="en-US"/>
        </w:rPr>
      </w:pPr>
      <w:r>
        <w:rPr>
          <w:lang w:val="en-US"/>
        </w:rPr>
        <w:t>个人模式适用于双系统（另一块磁盘安装其他操作系统）或开发测试场景。此模式下，用户可导入自有签名密钥，为自行编写的程序签名。用户自签名的程序运行在受限令牌域中，无法访问系统核心资源，不能修改内核，不能申请硬件直通令牌，不能绕过能力令牌模型。用户身份密钥与程序签名密钥相互独立，用户可为不同用途生成不同的密钥对。</w:t>
      </w:r>
    </w:p>
    <w:p w14:paraId="88D567F4">
      <w:pPr>
        <w:pStyle w:val="style0"/>
        <w:jc w:val="left"/>
        <w:rPr/>
      </w:pPr>
    </w:p>
    <w:p w14:paraId="56E7D5A5">
      <w:pPr>
        <w:pStyle w:val="style0"/>
        <w:jc w:val="left"/>
        <w:rPr/>
      </w:pPr>
      <w:r>
        <w:rPr>
          <w:lang w:val="en-US"/>
        </w:rPr>
        <w:t>无论哪种模式，根密钥和发布密钥始终由BDFL及核心开发者持有。用户在任何模式下均无法获取根私钥或发布私钥。</w:t>
      </w:r>
    </w:p>
    <w:p w14:paraId="B5456A7A">
      <w:pPr>
        <w:pStyle w:val="style0"/>
        <w:jc w:val="left"/>
        <w:rPr/>
      </w:pPr>
    </w:p>
    <w:p w14:paraId="6B0BF9EF">
      <w:pPr>
        <w:pStyle w:val="style0"/>
        <w:jc w:val="left"/>
        <w:rPr/>
      </w:pPr>
      <w:r>
        <w:t>4.2 更新与撤销</w:t>
      </w:r>
    </w:p>
    <w:p w14:paraId="7B52B24A">
      <w:pPr>
        <w:pStyle w:val="style0"/>
        <w:jc w:val="left"/>
        <w:rPr/>
      </w:pPr>
    </w:p>
    <w:p w14:paraId="B7FF76F1">
      <w:pPr>
        <w:pStyle w:val="style0"/>
        <w:jc w:val="left"/>
        <w:rPr/>
      </w:pPr>
      <w:r>
        <w:t>本操作系统采用原子替换机制进行系统更新，确保更新过程安全、可靠且无需用户干预。</w:t>
      </w:r>
    </w:p>
    <w:p w14:paraId="DA4A4762">
      <w:pPr>
        <w:pStyle w:val="style0"/>
        <w:jc w:val="left"/>
        <w:rPr/>
      </w:pPr>
    </w:p>
    <w:p w14:paraId="BF009F2B">
      <w:pPr>
        <w:pStyle w:val="style0"/>
        <w:jc w:val="left"/>
        <w:rPr/>
      </w:pPr>
      <w:r>
        <w:t>-更新包获取：用户确认更新后，系统自动从官方仓库下载由 BDFL 签名的更新镜像。更新镜像包含完整的内核、系统服务和基础应用。</w:t>
      </w:r>
    </w:p>
    <w:p w14:paraId="49FCB496">
      <w:pPr>
        <w:pStyle w:val="style0"/>
        <w:jc w:val="left"/>
        <w:rPr/>
      </w:pPr>
      <w:r>
        <w:t>-原子替换：新镜像下载完成并验证签名后，系统将其写入磁盘的独立区域。下次系统启动时，引导器自动选择最新且已验证完整的镜像启动。当前正在运行的系统完全不受影响，用户无需手动刷写。</w:t>
      </w:r>
    </w:p>
    <w:p w14:paraId="23BB5A55">
      <w:pPr>
        <w:pStyle w:val="style0"/>
        <w:jc w:val="left"/>
        <w:rPr/>
      </w:pPr>
      <w:r>
        <w:t>-回滚机制：如果新镜像启动失败，引导器自动回退到上一个已验证可用的镜像，确保系统始终可启动。</w:t>
      </w:r>
    </w:p>
    <w:p w14:paraId="0B038126">
      <w:pPr>
        <w:pStyle w:val="style0"/>
        <w:jc w:val="left"/>
        <w:rPr>
          <w:lang w:val="en-US"/>
        </w:rPr>
      </w:pPr>
    </w:p>
    <w:p w14:paraId="1F0FDD61">
      <w:pPr>
        <w:pStyle w:val="style0"/>
        <w:jc w:val="left"/>
        <w:rPr>
          <w:lang w:val="en-US"/>
        </w:rPr>
      </w:pPr>
      <w:r>
        <w:rPr>
          <w:rFonts w:hint="eastAsia"/>
          <w:lang w:val="en-US" w:eastAsia="zh-CN"/>
        </w:rPr>
        <w:t>系统更新时，新内核启动后执行持久化令牌迁移流程：读取旧版本持久化能力表快照，逐令牌验证其完整性后，使用新内核的发布密钥重新计算每个令牌的version和auth_hash，使其与新全局版本号兼容。迁移完成后，旧快照被标记为已迁移，用户持久化数据恢复访问。整个迁移过程在内核态自动完成，用户无需干预。</w:t>
      </w:r>
    </w:p>
    <w:p w14:paraId="519385D4">
      <w:pPr>
        <w:pStyle w:val="style0"/>
        <w:jc w:val="left"/>
        <w:rPr/>
      </w:pPr>
    </w:p>
    <w:p w14:paraId="907610B7">
      <w:pPr>
        <w:pStyle w:val="style0"/>
        <w:numPr>
          <w:ilvl w:val="0"/>
          <w:numId w:val="0"/>
        </w:numPr>
        <w:jc w:val="left"/>
        <w:rPr/>
      </w:pPr>
      <w:r>
        <w:rPr>
          <w:lang w:val="en-US"/>
        </w:rPr>
        <w:t xml:space="preserve">5. </w:t>
      </w:r>
      <w:r>
        <w:t>硬件异常与故障处理</w:t>
      </w:r>
    </w:p>
    <w:p w14:paraId="0BE517A6">
      <w:pPr>
        <w:pStyle w:val="style0"/>
        <w:numPr>
          <w:ilvl w:val="0"/>
          <w:numId w:val="0"/>
        </w:numPr>
        <w:jc w:val="left"/>
        <w:rPr/>
      </w:pPr>
    </w:p>
    <w:p w14:paraId="1DF20FF4">
      <w:pPr>
        <w:pStyle w:val="style0"/>
        <w:numPr>
          <w:ilvl w:val="0"/>
          <w:numId w:val="0"/>
        </w:numPr>
        <w:jc w:val="left"/>
        <w:rPr/>
      </w:pPr>
      <w:r>
        <w:t>本操作系统将硬件故障视为用户态可管理的异常事件，而非内核级的致命错误。所有硬件异常由独立的用户态服务监控和处理，内核不受影响。</w:t>
      </w:r>
    </w:p>
    <w:p w14:paraId="F9BCBFB8">
      <w:pPr>
        <w:pStyle w:val="style0"/>
        <w:jc w:val="left"/>
        <w:rPr/>
      </w:pPr>
    </w:p>
    <w:p w14:paraId="1C96DB85">
      <w:pPr>
        <w:pStyle w:val="style0"/>
        <w:jc w:val="left"/>
        <w:rPr/>
      </w:pPr>
      <w:r>
        <w:t>5.1 存储设备错误</w:t>
      </w:r>
    </w:p>
    <w:p w14:paraId="C5B93732">
      <w:pPr>
        <w:pStyle w:val="style0"/>
        <w:numPr>
          <w:ilvl w:val="0"/>
          <w:numId w:val="2"/>
        </w:numPr>
        <w:jc w:val="left"/>
        <w:rPr/>
      </w:pPr>
      <w:r>
        <w:t>磁盘读写错误：当 SSD 或 HDD 出现读写错误时，存储服务自动尝试重试。如果重试失败，存储服务将该物理块标记为“坏块”，并将数据迁移到备用物理区域。此过程对用户透明。</w:t>
      </w:r>
    </w:p>
    <w:p w14:paraId="F2799F2C">
      <w:pPr>
        <w:pStyle w:val="style0"/>
        <w:numPr>
          <w:ilvl w:val="0"/>
          <w:numId w:val="2"/>
        </w:numPr>
        <w:jc w:val="left"/>
        <w:rPr/>
      </w:pPr>
      <w:r>
        <w:t>磁盘即将满：当存储空间使用率达到预设阈值，存储服务向用户推送警告通知，并附带空间优化建议（见 2.5 节）。</w:t>
      </w:r>
    </w:p>
    <w:p w14:paraId="0AE8949C">
      <w:pPr>
        <w:pStyle w:val="style0"/>
        <w:numPr>
          <w:ilvl w:val="0"/>
          <w:numId w:val="2"/>
        </w:numPr>
        <w:jc w:val="left"/>
        <w:rPr/>
      </w:pPr>
      <w:r>
        <w:t>磁盘完全满：当存储空间耗尽时，存储服务暂停所有写入操作，向用户推送紧急通知，并建议清理空间或添加新存储设备。系统不会因磁盘满而崩溃。</w:t>
      </w:r>
    </w:p>
    <w:p w14:paraId="D96E59FC">
      <w:pPr>
        <w:pStyle w:val="style0"/>
        <w:numPr>
          <w:ilvl w:val="0"/>
          <w:numId w:val="2"/>
        </w:numPr>
        <w:jc w:val="left"/>
        <w:rPr/>
      </w:pPr>
      <w:r>
        <w:t>磁盘硬件故障：当存储设备完全不可用时（如硬盘损坏、接口松动），存储服务向用户推送故障通知，明确告知故障设备。系统可降级运行，其他存储设备不受影响。</w:t>
      </w:r>
    </w:p>
    <w:p w14:paraId="708D0BCB">
      <w:pPr>
        <w:pStyle w:val="style0"/>
        <w:jc w:val="left"/>
        <w:rPr/>
      </w:pPr>
    </w:p>
    <w:p w14:paraId="A94B3747">
      <w:pPr>
        <w:pStyle w:val="style0"/>
        <w:jc w:val="left"/>
        <w:rPr/>
      </w:pPr>
      <w:r>
        <w:t>5.2 风扇与温度异常</w:t>
      </w:r>
    </w:p>
    <w:p w14:paraId="7E6CE6F9">
      <w:pPr>
        <w:pStyle w:val="style0"/>
        <w:numPr>
          <w:ilvl w:val="0"/>
          <w:numId w:val="2"/>
        </w:numPr>
        <w:jc w:val="left"/>
        <w:rPr/>
      </w:pPr>
      <w:r>
        <w:t>硬件健康监控服务：作为独立的用户态服务，通过持有机箱传感器访问令牌，持续监测 CPU 温度、主板温度、风扇转速等硬件指标。</w:t>
      </w:r>
    </w:p>
    <w:p w14:paraId="8119A5F4">
      <w:pPr>
        <w:pStyle w:val="style0"/>
        <w:numPr>
          <w:ilvl w:val="0"/>
          <w:numId w:val="2"/>
        </w:numPr>
        <w:jc w:val="left"/>
        <w:rPr/>
      </w:pPr>
      <w:r>
        <w:t>风扇异常：当风扇转速异常或停转时，健康监控服务向用户推送警告通知，建议用户检查硬件散热。</w:t>
      </w:r>
    </w:p>
    <w:p w14:paraId="66FC7574">
      <w:pPr>
        <w:pStyle w:val="style0"/>
        <w:numPr>
          <w:ilvl w:val="0"/>
          <w:numId w:val="2"/>
        </w:numPr>
        <w:jc w:val="left"/>
        <w:rPr/>
      </w:pPr>
      <w:r>
        <w:t>温度过高：当 CPU 或主板温度超过安全阈值时，健康监控服务向用户推送紧急通知。如果温度持续升高至危险水平，系统可自动执行保护性关机，防止硬件永久损坏。关机前，系统会尽最大努力保存当前用户工作状态。</w:t>
      </w:r>
    </w:p>
    <w:p w14:paraId="FE201A11">
      <w:pPr>
        <w:pStyle w:val="style0"/>
        <w:numPr>
          <w:ilvl w:val="0"/>
          <w:numId w:val="2"/>
        </w:numPr>
        <w:jc w:val="left"/>
        <w:rPr/>
      </w:pPr>
      <w:r>
        <w:t>权限与隔离：硬件健康监控服务仅持有读取传感器数据的令牌，无权修改系统其他部分。其崩溃或异常不会影响内核运行。</w:t>
      </w:r>
    </w:p>
    <w:p w14:paraId="13BAA80A">
      <w:pPr>
        <w:pStyle w:val="style0"/>
        <w:jc w:val="left"/>
        <w:rPr/>
      </w:pPr>
    </w:p>
    <w:p w14:paraId="1FA3CC88">
      <w:pPr>
        <w:pStyle w:val="style0"/>
        <w:jc w:val="left"/>
        <w:rPr/>
      </w:pPr>
      <w:r>
        <w:t>6. 用户操作限制</w:t>
      </w:r>
    </w:p>
    <w:p w14:paraId="52215714">
      <w:pPr>
        <w:pStyle w:val="style0"/>
        <w:jc w:val="left"/>
        <w:rPr/>
      </w:pPr>
    </w:p>
    <w:p w14:paraId="6AD5D63D">
      <w:pPr>
        <w:pStyle w:val="style0"/>
        <w:jc w:val="left"/>
        <w:rPr/>
      </w:pPr>
      <w:r>
        <w:t>· 无文件系统，用户无法通过文件管理器访问或删除系统组件。</w:t>
      </w:r>
    </w:p>
    <w:p w14:paraId="874DB463">
      <w:pPr>
        <w:pStyle w:val="style0"/>
        <w:jc w:val="left"/>
        <w:rPr/>
      </w:pPr>
      <w:r>
        <w:t xml:space="preserve">· </w:t>
      </w:r>
      <w:r>
        <w:rPr>
          <w:rFonts w:hint="eastAsia"/>
          <w:lang w:eastAsia="zh-CN"/>
        </w:rPr>
        <w:t>本系统不存在用户不可控的后台活动。服务模式与网络保持模式下，程序虽无用户可见窗口，但其运行状态在系统指示器中明确显示，用户可随时强制终止。所有后台活动均需用户显式授权，无任何隐藏行为。</w:t>
      </w:r>
    </w:p>
    <w:p w14:paraId="AA0FFF73">
      <w:pPr>
        <w:pStyle w:val="style0"/>
        <w:jc w:val="left"/>
        <w:rPr/>
      </w:pPr>
      <w:r>
        <w:t xml:space="preserve">· </w:t>
      </w:r>
      <w:r>
        <w:rPr>
          <w:rFonts w:hint="eastAsia"/>
          <w:lang w:eastAsia="zh-CN"/>
        </w:rPr>
        <w:t>无传统恢复分区。内核镜像损坏需通过重装解决。用户配置损坏或签名验证失败时，系统自动回退至内置默认策略，无需重装。</w:t>
      </w:r>
    </w:p>
    <w:p w14:paraId="A15F688F">
      <w:pPr>
        <w:pStyle w:val="style0"/>
        <w:jc w:val="left"/>
        <w:rPr/>
      </w:pPr>
    </w:p>
    <w:p w14:paraId="B3F5FC0D">
      <w:pPr>
        <w:pStyle w:val="style0"/>
        <w:jc w:val="left"/>
        <w:rPr/>
      </w:pPr>
      <w:r>
        <w:t>7. 功能扩展方式</w:t>
      </w:r>
    </w:p>
    <w:p w14:paraId="B538DA39">
      <w:pPr>
        <w:pStyle w:val="style0"/>
        <w:jc w:val="left"/>
        <w:rPr/>
      </w:pPr>
    </w:p>
    <w:p w14:paraId="14E0AE1D">
      <w:pPr>
        <w:pStyle w:val="style0"/>
        <w:jc w:val="left"/>
        <w:rPr/>
      </w:pPr>
      <w:r>
        <w:t>· 开发者可编写新的用户态服务（如数据库、HTTP 服务器），通过申请能力令牌暴露接口。</w:t>
      </w:r>
    </w:p>
    <w:p w14:paraId="1C248068">
      <w:pPr>
        <w:pStyle w:val="style0"/>
        <w:jc w:val="left"/>
        <w:rPr/>
      </w:pPr>
      <w:r>
        <w:t>· 服务之间通过通道通信，无需修改内核。</w:t>
      </w:r>
    </w:p>
    <w:p w14:paraId="790C7287">
      <w:pPr>
        <w:pStyle w:val="style0"/>
        <w:jc w:val="left"/>
        <w:rPr/>
      </w:pPr>
    </w:p>
    <w:p w14:paraId="7A501667">
      <w:pPr>
        <w:pStyle w:val="style0"/>
        <w:numPr>
          <w:ilvl w:val="0"/>
          <w:numId w:val="0"/>
        </w:numPr>
        <w:jc w:val="left"/>
        <w:rPr/>
      </w:pPr>
      <w:r>
        <w:rPr>
          <w:lang w:val="en-US"/>
        </w:rPr>
        <w:t xml:space="preserve">8. </w:t>
      </w:r>
      <w:r>
        <w:t>硬件可移植性与架构可扩展性</w:t>
      </w:r>
    </w:p>
    <w:p w14:paraId="BDAA91CD">
      <w:pPr>
        <w:pStyle w:val="style0"/>
        <w:numPr>
          <w:ilvl w:val="0"/>
          <w:numId w:val="0"/>
        </w:numPr>
        <w:jc w:val="left"/>
        <w:rPr/>
      </w:pPr>
    </w:p>
    <w:p w14:paraId="E97A1A4E">
      <w:pPr>
        <w:pStyle w:val="style0"/>
        <w:numPr>
          <w:ilvl w:val="0"/>
          <w:numId w:val="0"/>
        </w:numPr>
        <w:jc w:val="left"/>
        <w:rPr/>
      </w:pPr>
      <w:r>
        <w:t>本操作系统在设计上保持硬件无关性。内核的能力授权引擎、资源管理逻辑和所有用户态服务均不依赖特定指令集架构或数制系统。</w:t>
      </w:r>
    </w:p>
    <w:p w14:paraId="3AB46BEE">
      <w:pPr>
        <w:pStyle w:val="style0"/>
        <w:jc w:val="left"/>
        <w:rPr/>
      </w:pPr>
    </w:p>
    <w:p w14:paraId="0074BD76">
      <w:pPr>
        <w:pStyle w:val="style0"/>
        <w:jc w:val="left"/>
        <w:rPr/>
      </w:pPr>
      <w:r>
        <w:t>-平台相关代码：仅引导程序、能力门入口的内联汇编部分与硬件直接交互。移植到新架构（如三进制CPU、ARM、RISC-V）时，仅需重写这些平台相关代码，内核核心逻辑和用户态服务无需修改。</w:t>
      </w:r>
    </w:p>
    <w:p w14:paraId="6A53F4D5">
      <w:pPr>
        <w:pStyle w:val="style0"/>
        <w:jc w:val="left"/>
        <w:rPr/>
      </w:pPr>
      <w:r>
        <w:t>-数制无关性：能力令牌的权限模型不绑定二进制体系。在不同数制的硬件上，权限级别的表达方式由硬件原生支持，内核验证逻辑保持一致。</w:t>
      </w:r>
    </w:p>
    <w:p w14:paraId="F04CB4EE">
      <w:pPr>
        <w:pStyle w:val="style0"/>
        <w:jc w:val="left"/>
        <w:rPr/>
      </w:pPr>
      <w:r>
        <w:t>-Rust编译器后端：移植至新指令集架构需要Rust编译器（LLVM后端）的原生支持。此为编译器生态的依赖，非本操作系统的架构限制。</w:t>
      </w:r>
    </w:p>
    <w:p w14:paraId="7C109003">
      <w:pPr>
        <w:pStyle w:val="style0"/>
        <w:jc w:val="left"/>
        <w:rPr/>
      </w:pPr>
    </w:p>
    <w:p w14:paraId="41A038D2">
      <w:pPr>
        <w:pStyle w:val="style0"/>
        <w:jc w:val="left"/>
        <w:rPr>
          <w:lang w:val="en-US"/>
        </w:rPr>
      </w:pPr>
      <w:r>
        <w:rPr>
          <w:lang w:val="en-US"/>
        </w:rPr>
        <w:t>9. 安全与信任模型</w:t>
      </w:r>
    </w:p>
    <w:p w14:paraId="B16D9F76">
      <w:pPr>
        <w:pStyle w:val="style0"/>
        <w:jc w:val="left"/>
        <w:rPr/>
      </w:pPr>
    </w:p>
    <w:p w14:paraId="A411109B">
      <w:pPr>
        <w:pStyle w:val="style0"/>
        <w:jc w:val="left"/>
        <w:rPr>
          <w:lang w:val="en-US"/>
        </w:rPr>
      </w:pPr>
      <w:r>
        <w:rPr>
          <w:lang w:val="en-US"/>
        </w:rPr>
        <w:t>本操作系统的安全体系建立在非对称密码学基础之上。所有程序的合法性、系统更新的可信性、用户身份的验证，均通过数字签名和令牌验证完成。</w:t>
      </w:r>
    </w:p>
    <w:p w14:paraId="3CD35113">
      <w:pPr>
        <w:pStyle w:val="style0"/>
        <w:jc w:val="left"/>
        <w:rPr/>
      </w:pPr>
    </w:p>
    <w:p w14:paraId="C45349F6">
      <w:pPr>
        <w:pStyle w:val="style0"/>
        <w:jc w:val="left"/>
        <w:rPr>
          <w:rFonts w:hint="eastAsia"/>
          <w:lang w:val="en-US" w:eastAsia="zh-CN"/>
        </w:rPr>
      </w:pPr>
      <w:r>
        <w:rPr>
          <w:rFonts w:hint="default"/>
          <w:lang w:val="en-US" w:eastAsia="zh-CN"/>
        </w:rPr>
        <w:t>9</w:t>
      </w:r>
      <w:r>
        <w:rPr>
          <w:rFonts w:hint="eastAsia"/>
          <w:lang w:val="en-US" w:eastAsia="zh-CN"/>
        </w:rPr>
        <w:t>.1 密钥分级体系</w:t>
      </w:r>
    </w:p>
    <w:p w14:paraId="E320B590">
      <w:pPr>
        <w:pStyle w:val="style0"/>
        <w:jc w:val="left"/>
        <w:rPr>
          <w:lang w:val="en-US"/>
        </w:rPr>
      </w:pPr>
    </w:p>
    <w:p w14:paraId="16A21FB6">
      <w:pPr>
        <w:pStyle w:val="style0"/>
        <w:jc w:val="left"/>
        <w:rPr>
          <w:rFonts w:hint="eastAsia"/>
          <w:lang w:val="en-US" w:eastAsia="zh-CN"/>
        </w:rPr>
      </w:pPr>
      <w:r>
        <w:rPr>
          <w:rFonts w:hint="eastAsia"/>
          <w:lang w:val="en-US" w:eastAsia="zh-CN"/>
        </w:rPr>
        <w:t>本系统采用四级密钥体系，每一级密钥均包含一对公钥与私钥。</w:t>
      </w:r>
    </w:p>
    <w:p w14:paraId="F7C8630A">
      <w:pPr>
        <w:pStyle w:val="style0"/>
        <w:jc w:val="left"/>
        <w:rPr>
          <w:lang w:val="en-US"/>
        </w:rPr>
      </w:pPr>
    </w:p>
    <w:p w14:paraId="C3CAAAE9">
      <w:pPr>
        <w:pStyle w:val="style0"/>
        <w:jc w:val="left"/>
        <w:rPr>
          <w:rFonts w:hint="eastAsia"/>
          <w:lang w:val="en-US" w:eastAsia="zh-CN"/>
        </w:rPr>
      </w:pPr>
      <w:r>
        <w:rPr>
          <w:rFonts w:hint="eastAsia"/>
          <w:lang w:val="en-US" w:eastAsia="zh-CN"/>
        </w:rPr>
        <w:t>根密钥由 BDFL 个人持有。根私钥存放在离线U盘中，进行物理隔离，并使用 AES-256 加密保护。根公钥编译进内核，作为信任锚。其哈希值可同时存储，用于完整性校验。根密钥的用途是签发发布密钥证书、签发开发者授权密钥证书，以及执行紧急安全更新。</w:t>
      </w:r>
    </w:p>
    <w:p w14:paraId="EC80FB90">
      <w:pPr>
        <w:pStyle w:val="style0"/>
        <w:jc w:val="left"/>
        <w:rPr>
          <w:lang w:val="en-US"/>
        </w:rPr>
      </w:pPr>
    </w:p>
    <w:p w14:paraId="48ACAFD4">
      <w:pPr>
        <w:pStyle w:val="style0"/>
        <w:jc w:val="left"/>
        <w:rPr>
          <w:rFonts w:hint="eastAsia"/>
          <w:lang w:val="en-US" w:eastAsia="zh-CN"/>
        </w:rPr>
      </w:pPr>
      <w:r>
        <w:rPr>
          <w:rFonts w:hint="eastAsia"/>
          <w:lang w:val="en-US" w:eastAsia="zh-CN"/>
        </w:rPr>
        <w:t>发布密钥由 BDFL 及授权的核心开发者持有。发布私钥加密存放在开发机中。发布公钥的证书由根私钥签名后随系统发布。发布密钥的用途是签名系统更新包。</w:t>
      </w:r>
    </w:p>
    <w:p w14:paraId="A6200130">
      <w:pPr>
        <w:pStyle w:val="style0"/>
        <w:jc w:val="left"/>
        <w:rPr>
          <w:lang w:val="en-US"/>
        </w:rPr>
      </w:pPr>
    </w:p>
    <w:p w14:paraId="30178846">
      <w:pPr>
        <w:pStyle w:val="style0"/>
        <w:jc w:val="left"/>
        <w:rPr>
          <w:rFonts w:hint="eastAsia"/>
          <w:lang w:val="en-US" w:eastAsia="zh-CN"/>
        </w:rPr>
      </w:pPr>
      <w:r>
        <w:rPr>
          <w:rFonts w:hint="eastAsia"/>
          <w:lang w:val="en-US" w:eastAsia="zh-CN"/>
        </w:rPr>
        <w:t>开发者授权密钥由 BDFL 或指定的核心开发者持有。其私钥加密存放，公钥证书由根私钥签发。开发者授权密钥的用途是管理普通开发者的权限，包括签发开发者证书和吊销开发者权限。此密钥的引入避免了日常开发者变动需要动用根密钥，确保根密钥仅在几年一次的关键时刻使用。</w:t>
      </w:r>
    </w:p>
    <w:p w14:paraId="E5732015">
      <w:pPr>
        <w:pStyle w:val="style0"/>
        <w:jc w:val="left"/>
        <w:rPr>
          <w:lang w:val="en-US"/>
        </w:rPr>
      </w:pPr>
    </w:p>
    <w:p w14:paraId="FE2F3179">
      <w:pPr>
        <w:pStyle w:val="style0"/>
        <w:jc w:val="left"/>
        <w:rPr>
          <w:rFonts w:hint="eastAsia"/>
          <w:lang w:val="en-US" w:eastAsia="zh-CN"/>
        </w:rPr>
      </w:pPr>
      <w:r>
        <w:rPr>
          <w:rFonts w:hint="eastAsia"/>
          <w:lang w:val="en-US" w:eastAsia="zh-CN"/>
        </w:rPr>
        <w:t>用户密钥由用户和普通开发者自己持有。用户私钥加密存放在用户自己的电脑中，用户公钥由用户自行管理，可公开交换。用户密钥的用途是签名个人数据和证明用户身份。</w:t>
      </w:r>
    </w:p>
    <w:p w14:paraId="CE7A6BDE">
      <w:pPr>
        <w:pStyle w:val="style0"/>
        <w:jc w:val="left"/>
        <w:rPr>
          <w:lang w:val="en-US"/>
        </w:rPr>
      </w:pPr>
    </w:p>
    <w:p w14:paraId="25E118CF">
      <w:pPr>
        <w:pStyle w:val="style0"/>
        <w:jc w:val="left"/>
        <w:rPr>
          <w:lang w:val="en-US"/>
        </w:rPr>
      </w:pPr>
      <w:r>
        <w:rPr>
          <w:lang w:val="en-US"/>
        </w:rPr>
        <w:t>BDFL可将安全审计权委托给授权的核心开发者。核心开发者可参与代码审计、签署审计结论。审计群组的成员由BDFL任免，审计结论由BDFL最终裁决。</w:t>
      </w:r>
    </w:p>
    <w:p w14:paraId="B54C7EEF">
      <w:pPr>
        <w:pStyle w:val="style0"/>
        <w:jc w:val="left"/>
        <w:rPr/>
      </w:pPr>
    </w:p>
    <w:p w14:paraId="E07E8E57">
      <w:pPr>
        <w:pStyle w:val="style0"/>
        <w:jc w:val="left"/>
        <w:rPr>
          <w:lang w:val="en-US"/>
        </w:rPr>
      </w:pPr>
      <w:r>
        <w:rPr>
          <w:lang w:val="en-US"/>
        </w:rPr>
        <w:t>9.2 公钥与私钥</w:t>
      </w:r>
    </w:p>
    <w:p w14:paraId="11DCECE7">
      <w:pPr>
        <w:pStyle w:val="style0"/>
        <w:jc w:val="left"/>
        <w:rPr/>
      </w:pPr>
    </w:p>
    <w:p w14:paraId="E762128C">
      <w:pPr>
        <w:pStyle w:val="style0"/>
        <w:jc w:val="left"/>
        <w:rPr>
          <w:lang w:val="en-US"/>
        </w:rPr>
      </w:pPr>
      <w:r>
        <w:rPr>
          <w:lang w:val="en-US"/>
        </w:rPr>
        <w:t>- 私钥：用于签名。谁持有私钥，就代表谁的权力。所有私钥均用强密码（AES-256加密，密码由硬件随机数生成器产生）加密存储，杜绝明文泄露。</w:t>
      </w:r>
    </w:p>
    <w:p w14:paraId="243C01B3">
      <w:pPr>
        <w:pStyle w:val="style0"/>
        <w:jc w:val="left"/>
        <w:rPr>
          <w:lang w:val="en-US"/>
        </w:rPr>
      </w:pPr>
      <w:r>
        <w:rPr>
          <w:lang w:val="en-US"/>
        </w:rPr>
        <w:t>- 公钥：用于验证签名。公钥可以公开给全世界，拿到公钥的人只能验证“这个文件确实是由对应私钥签发的”，但无法伪造签名。</w:t>
      </w:r>
    </w:p>
    <w:p w14:paraId="9B6FAD9C">
      <w:pPr>
        <w:pStyle w:val="style0"/>
        <w:jc w:val="left"/>
        <w:rPr>
          <w:lang w:val="en-US"/>
        </w:rPr>
      </w:pPr>
      <w:r>
        <w:rPr>
          <w:lang w:val="en-US"/>
        </w:rPr>
        <w:t>- 信任链：根私钥签名发布密钥的公钥证书 → 发布私钥签名系统更新包 → 用户私钥签名个人数据。内核沿着这条信任链逐级验证，全部通过才放行。</w:t>
      </w:r>
    </w:p>
    <w:p w14:paraId="315FAC8D">
      <w:pPr>
        <w:pStyle w:val="style0"/>
        <w:jc w:val="left"/>
        <w:rPr/>
      </w:pPr>
    </w:p>
    <w:p w14:paraId="D8FB48A7">
      <w:pPr>
        <w:pStyle w:val="style0"/>
        <w:jc w:val="left"/>
        <w:rPr>
          <w:lang w:val="en-US"/>
        </w:rPr>
      </w:pPr>
      <w:r>
        <w:rPr>
          <w:lang w:val="en-US"/>
        </w:rPr>
        <w:t>9.3 内核中的公钥</w:t>
      </w:r>
    </w:p>
    <w:p w14:paraId="F1564F84">
      <w:pPr>
        <w:pStyle w:val="style0"/>
        <w:jc w:val="left"/>
        <w:rPr>
          <w:lang w:val="en-US"/>
        </w:rPr>
      </w:pPr>
    </w:p>
    <w:p w14:paraId="A6C71881">
      <w:pPr>
        <w:pStyle w:val="style0"/>
        <w:jc w:val="left"/>
        <w:rPr>
          <w:lang w:val="en-US"/>
        </w:rPr>
      </w:pPr>
      <w:r>
        <w:rPr>
          <w:lang w:val="en-US"/>
        </w:rPr>
        <w:t>根公钥完整编译进内核，作为系统信任锚，用于验证发布密钥证书和开发者授权密钥证书的签名。信任锚是根公钥本身，而非其哈希值。</w:t>
      </w:r>
    </w:p>
    <w:p w14:paraId="46ED90C3">
      <w:pPr>
        <w:pStyle w:val="style0"/>
        <w:jc w:val="left"/>
        <w:rPr>
          <w:lang w:val="en-US"/>
        </w:rPr>
      </w:pPr>
    </w:p>
    <w:p w14:paraId="3D905FA0">
      <w:pPr>
        <w:pStyle w:val="style0"/>
        <w:jc w:val="left"/>
        <w:rPr>
          <w:lang w:val="en-US"/>
        </w:rPr>
      </w:pPr>
      <w:r>
        <w:rPr>
          <w:lang w:val="en-US"/>
        </w:rPr>
        <w:t>作为可选的完整性校验手段，内核可同时存储根公钥的哈希值。每次系统启动时，内核计算当前根公钥的哈希，并与存储的哈希值比对。如果二者不匹配，说明内核镜像中的公钥数据可能已损坏（如存储介质位翻转），系统拒绝启动并提示用户重新安装内核。</w:t>
      </w:r>
    </w:p>
    <w:p w14:paraId="F786E583">
      <w:pPr>
        <w:pStyle w:val="style0"/>
        <w:jc w:val="left"/>
        <w:rPr>
          <w:lang w:val="en-US"/>
        </w:rPr>
      </w:pPr>
    </w:p>
    <w:p w14:paraId="7797C0C7">
      <w:pPr>
        <w:pStyle w:val="style0"/>
        <w:jc w:val="left"/>
        <w:rPr>
          <w:lang w:val="en-US"/>
        </w:rPr>
      </w:pPr>
      <w:r>
        <w:rPr>
          <w:lang w:val="en-US"/>
        </w:rPr>
        <w:t>此校验仅用于检测意外损坏，不替代根公钥作为信任锚的签名验证功能。即使攻击者能够通过碰撞攻击伪造一个与哈希值匹配的公钥，该公钥也无法通过后续的签名验证——因为攻击者没有对应的根私钥。</w:t>
      </w:r>
    </w:p>
    <w:p w14:paraId="0ABA5E8E">
      <w:pPr>
        <w:pStyle w:val="style0"/>
        <w:jc w:val="left"/>
        <w:rPr>
          <w:lang w:val="en-US"/>
        </w:rPr>
      </w:pPr>
    </w:p>
    <w:p w14:paraId="EA3C7463">
      <w:pPr>
        <w:pStyle w:val="style0"/>
        <w:jc w:val="left"/>
        <w:rPr>
          <w:lang w:val="en-US"/>
        </w:rPr>
      </w:pPr>
      <w:r>
        <w:rPr>
          <w:lang w:val="en-US"/>
        </w:rPr>
        <w:t>若根私钥泄露，BDFL须发布包含新根公钥的内核更新。用户须手动重装此更新以替换信任锚。旧根公钥将永久失效。</w:t>
      </w:r>
    </w:p>
    <w:p w14:paraId="A1147B2B">
      <w:pPr>
        <w:pStyle w:val="style0"/>
        <w:jc w:val="left"/>
        <w:rPr/>
      </w:pPr>
    </w:p>
    <w:p w14:paraId="B98ED097">
      <w:pPr>
        <w:pStyle w:val="style0"/>
        <w:jc w:val="left"/>
        <w:rPr>
          <w:lang w:val="en-US"/>
        </w:rPr>
      </w:pPr>
      <w:r>
        <w:rPr>
          <w:lang w:val="en-US"/>
        </w:rPr>
        <w:t>9.4 密钥的生命周期</w:t>
      </w:r>
    </w:p>
    <w:p w14:paraId="40F35E61">
      <w:pPr>
        <w:pStyle w:val="style0"/>
        <w:jc w:val="left"/>
        <w:rPr/>
      </w:pPr>
    </w:p>
    <w:p w14:paraId="8B5753D2">
      <w:pPr>
        <w:pStyle w:val="style0"/>
        <w:jc w:val="left"/>
        <w:rPr>
          <w:lang w:val="en-US"/>
        </w:rPr>
      </w:pPr>
      <w:r>
        <w:rPr>
          <w:lang w:val="en-US"/>
        </w:rPr>
        <w:t>- 根密钥：生成后永久有效，仅在签发发布密钥证书或紧急安全更新时使用。密钥本身由超强密码加密，物理隔离备份。</w:t>
      </w:r>
    </w:p>
    <w:p w14:paraId="19DD1E41">
      <w:pPr>
        <w:pStyle w:val="style0"/>
        <w:jc w:val="left"/>
        <w:rPr>
          <w:lang w:val="en-US"/>
        </w:rPr>
      </w:pPr>
      <w:r>
        <w:rPr>
          <w:lang w:val="en-US"/>
        </w:rPr>
        <w:t>- 发布密钥：定期更换（建议每6-12个月）。泄露后，BDFL 用根密钥签发紧急更新，吊销泄露的发布密钥。</w:t>
      </w:r>
    </w:p>
    <w:p w14:paraId="D762CFDA">
      <w:pPr>
        <w:pStyle w:val="style0"/>
        <w:jc w:val="left"/>
        <w:rPr>
          <w:lang w:val="en-US"/>
        </w:rPr>
      </w:pPr>
      <w:r>
        <w:rPr>
          <w:lang w:val="en-US"/>
        </w:rPr>
        <w:t>- 用户密钥：用户自行管理，可随时生成新密钥对。</w:t>
      </w:r>
    </w:p>
    <w:p w14:paraId="608E4692">
      <w:pPr>
        <w:pStyle w:val="style0"/>
        <w:jc w:val="left"/>
        <w:rPr/>
      </w:pPr>
    </w:p>
    <w:p w14:paraId="5F65C4BA">
      <w:pPr>
        <w:pStyle w:val="style0"/>
        <w:jc w:val="left"/>
        <w:rPr>
          <w:lang w:val="en-US"/>
        </w:rPr>
      </w:pPr>
      <w:r>
        <w:rPr>
          <w:lang w:val="en-US"/>
        </w:rPr>
        <w:t>9.5 签名验证流程</w:t>
      </w:r>
    </w:p>
    <w:p w14:paraId="BA270A45">
      <w:pPr>
        <w:pStyle w:val="style0"/>
        <w:jc w:val="left"/>
        <w:rPr/>
      </w:pPr>
    </w:p>
    <w:p w14:paraId="C03C67BD">
      <w:pPr>
        <w:pStyle w:val="style0"/>
        <w:jc w:val="left"/>
        <w:rPr>
          <w:lang w:val="en-US"/>
        </w:rPr>
      </w:pPr>
      <w:r>
        <w:rPr>
          <w:lang w:val="en-US"/>
        </w:rPr>
        <w:t>所有程序的加载、系统更新的安装、用户身份的验证，均遵循以下流程：</w:t>
      </w:r>
    </w:p>
    <w:p w14:paraId="64D7E7D4">
      <w:pPr>
        <w:pStyle w:val="style0"/>
        <w:jc w:val="left"/>
        <w:rPr/>
      </w:pPr>
    </w:p>
    <w:p w14:paraId="5894FED0">
      <w:pPr>
        <w:pStyle w:val="style0"/>
        <w:jc w:val="left"/>
        <w:rPr>
          <w:lang w:val="en-US"/>
        </w:rPr>
      </w:pPr>
      <w:r>
        <w:rPr>
          <w:lang w:val="en-US"/>
        </w:rPr>
        <w:t>1. 内核提取令牌或更新包的 auth_hash。</w:t>
      </w:r>
    </w:p>
    <w:p w14:paraId="EE3895E2">
      <w:pPr>
        <w:pStyle w:val="style0"/>
        <w:jc w:val="left"/>
        <w:rPr>
          <w:lang w:val="en-US"/>
        </w:rPr>
      </w:pPr>
      <w:r>
        <w:rPr>
          <w:lang w:val="en-US"/>
        </w:rPr>
        <w:t>2. 用对应的公钥验证签名是否合法。</w:t>
      </w:r>
    </w:p>
    <w:p w14:paraId="78745CFF">
      <w:pPr>
        <w:pStyle w:val="style0"/>
        <w:jc w:val="left"/>
        <w:rPr>
          <w:lang w:val="en-US"/>
        </w:rPr>
      </w:pPr>
      <w:r>
        <w:rPr>
          <w:lang w:val="en-US"/>
        </w:rPr>
        <w:t>3. 沿着信任链追溯：令牌签名 → 发布密钥证书 → 根公钥。</w:t>
      </w:r>
    </w:p>
    <w:p w14:paraId="E7D1DCF2">
      <w:pPr>
        <w:pStyle w:val="style0"/>
        <w:jc w:val="left"/>
        <w:rPr>
          <w:rFonts w:hint="eastAsia"/>
          <w:lang w:val="en-US" w:eastAsia="zh-CN"/>
        </w:rPr>
      </w:pPr>
      <w:r>
        <w:rPr>
          <w:lang w:val="en-US"/>
        </w:rPr>
        <w:t>4. 信任链全部通过，放行。任何一环断裂，拒绝并返回 TokenFault</w:t>
      </w:r>
      <w:r>
        <w:rPr>
          <w:rFonts w:hint="eastAsia"/>
          <w:lang w:val="en-US" w:eastAsia="zh-CN"/>
        </w:rPr>
        <w:t>。</w:t>
      </w:r>
    </w:p>
    <w:p w14:paraId="47289657">
      <w:pPr>
        <w:pStyle w:val="style0"/>
        <w:jc w:val="left"/>
        <w:rPr/>
      </w:pPr>
    </w:p>
    <w:p w14:paraId="DE59E4F5">
      <w:pPr>
        <w:pStyle w:val="style0"/>
        <w:jc w:val="left"/>
        <w:rPr>
          <w:lang w:val="en-US"/>
        </w:rPr>
      </w:pPr>
      <w:r>
        <w:rPr>
          <w:lang w:val="en-US"/>
        </w:rPr>
        <w:t>10. 开发者管理与授权体系</w:t>
      </w:r>
    </w:p>
    <w:p w14:paraId="E7E6FBA9">
      <w:pPr>
        <w:pStyle w:val="style0"/>
        <w:jc w:val="left"/>
        <w:rPr/>
      </w:pPr>
    </w:p>
    <w:p w14:paraId="12E5629F">
      <w:pPr>
        <w:pStyle w:val="style0"/>
        <w:jc w:val="left"/>
        <w:rPr>
          <w:lang w:val="en-US"/>
        </w:rPr>
      </w:pPr>
      <w:r>
        <w:rPr>
          <w:lang w:val="en-US"/>
        </w:rPr>
        <w:t>本操作系统的所有代码贡献者均需经过 BDFL 或其授权代表的审核与授权。开发者持有的发布密钥由 BDFL 通过根密钥签发证书授予，开发者的一切行为均受此体系约束。</w:t>
      </w:r>
    </w:p>
    <w:p w14:paraId="86E86E36">
      <w:pPr>
        <w:pStyle w:val="style0"/>
        <w:jc w:val="left"/>
        <w:rPr/>
      </w:pPr>
    </w:p>
    <w:p w14:paraId="E3367811">
      <w:pPr>
        <w:pStyle w:val="style0"/>
        <w:jc w:val="left"/>
        <w:rPr>
          <w:lang w:val="en-US"/>
        </w:rPr>
      </w:pPr>
      <w:r>
        <w:rPr>
          <w:lang w:val="en-US"/>
        </w:rPr>
        <w:t>10.1 开发者层级</w:t>
      </w:r>
    </w:p>
    <w:p w14:paraId="207AA745">
      <w:pPr>
        <w:pStyle w:val="style0"/>
        <w:jc w:val="left"/>
        <w:rPr>
          <w:lang w:val="en-US"/>
        </w:rPr>
      </w:pPr>
    </w:p>
    <w:p w14:paraId="55DF306D">
      <w:pPr>
        <w:pStyle w:val="style0"/>
        <w:jc w:val="left"/>
        <w:rPr>
          <w:lang w:val="en-US"/>
        </w:rPr>
      </w:pPr>
      <w:r>
        <w:rPr>
          <w:lang w:val="en-US"/>
        </w:rPr>
        <w:t>本系统的开发者分为三个层级，每一层级持有不同的密钥，拥有不同的权限，通过不同的方式任命。</w:t>
      </w:r>
    </w:p>
    <w:p w14:paraId="20EA7C14">
      <w:pPr>
        <w:pStyle w:val="style0"/>
        <w:jc w:val="left"/>
        <w:rPr>
          <w:lang w:val="en-US"/>
        </w:rPr>
      </w:pPr>
    </w:p>
    <w:p w14:paraId="25CF36A7">
      <w:pPr>
        <w:pStyle w:val="style0"/>
        <w:jc w:val="left"/>
        <w:rPr>
          <w:lang w:val="en-US"/>
        </w:rPr>
      </w:pPr>
      <w:r>
        <w:rPr>
          <w:lang w:val="en-US"/>
        </w:rPr>
        <w:t>BDFL 是项目的创始人与最高决策者。BDFL 持有根密钥，拥有全部权限：授权发布密钥证书、签发紧急安全更新、修改内核宪法与功能宪法。BDFL 为项目创始人，终身担任。</w:t>
      </w:r>
    </w:p>
    <w:p w14:paraId="3BF6B564">
      <w:pPr>
        <w:pStyle w:val="style0"/>
        <w:jc w:val="left"/>
        <w:rPr>
          <w:lang w:val="en-US"/>
        </w:rPr>
      </w:pPr>
    </w:p>
    <w:p w14:paraId="6F25EE90">
      <w:pPr>
        <w:pStyle w:val="style0"/>
        <w:jc w:val="left"/>
        <w:rPr>
          <w:lang w:val="en-US"/>
        </w:rPr>
      </w:pPr>
      <w:r>
        <w:rPr>
          <w:lang w:val="en-US"/>
        </w:rPr>
        <w:t>核心开发者由 BDFL 授权，持有发布密钥。核心开发者的权限包括签名系统更新包、审核普通开发者的代码贡献。核心开发者无权授权其他开发者持有发布密钥，此项权力仅属于 BDFL。</w:t>
      </w:r>
    </w:p>
    <w:p w14:paraId="268C7628">
      <w:pPr>
        <w:pStyle w:val="style0"/>
        <w:jc w:val="left"/>
        <w:rPr>
          <w:lang w:val="en-US"/>
        </w:rPr>
      </w:pPr>
    </w:p>
    <w:p w14:paraId="FFC67513">
      <w:pPr>
        <w:pStyle w:val="style0"/>
        <w:jc w:val="left"/>
        <w:rPr>
          <w:lang w:val="en-US"/>
        </w:rPr>
      </w:pPr>
      <w:r>
        <w:rPr>
          <w:lang w:val="en-US"/>
        </w:rPr>
        <w:t>普通开发者自行注册，经核心开发者审核后激活，持有用户密钥。普通开发者的权限是提交代码贡献、签名个人开发成果。</w:t>
      </w:r>
    </w:p>
    <w:p w14:paraId="DDF10F3F">
      <w:pPr>
        <w:pStyle w:val="style0"/>
        <w:jc w:val="left"/>
        <w:rPr/>
      </w:pPr>
    </w:p>
    <w:p w14:paraId="B9F7810B">
      <w:pPr>
        <w:pStyle w:val="style0"/>
        <w:jc w:val="left"/>
        <w:rPr>
          <w:lang w:val="en-US"/>
        </w:rPr>
      </w:pPr>
      <w:r>
        <w:rPr>
          <w:lang w:val="en-US"/>
        </w:rPr>
        <w:t>10.2 密钥授予与开发者管理</w:t>
      </w:r>
    </w:p>
    <w:p w14:paraId="B129B798">
      <w:pPr>
        <w:pStyle w:val="style0"/>
        <w:jc w:val="left"/>
        <w:rPr>
          <w:lang w:val="en-US"/>
        </w:rPr>
      </w:pPr>
    </w:p>
    <w:p w14:paraId="36EF6D0E">
      <w:pPr>
        <w:pStyle w:val="style0"/>
        <w:jc w:val="left"/>
        <w:rPr>
          <w:lang w:val="en-US"/>
        </w:rPr>
      </w:pPr>
      <w:r>
        <w:rPr>
          <w:lang w:val="en-US"/>
        </w:rPr>
        <w:t>本系统的密钥授予分为两个独立流程：</w:t>
      </w:r>
    </w:p>
    <w:p w14:paraId="C6F20364">
      <w:pPr>
        <w:pStyle w:val="style0"/>
        <w:jc w:val="left"/>
        <w:rPr>
          <w:lang w:val="en-US"/>
        </w:rPr>
      </w:pPr>
    </w:p>
    <w:p w14:paraId="ED9174B9">
      <w:pPr>
        <w:pStyle w:val="style0"/>
        <w:jc w:val="left"/>
        <w:rPr>
          <w:lang w:val="en-US"/>
        </w:rPr>
      </w:pPr>
      <w:r>
        <w:rPr>
          <w:lang w:val="en-US"/>
        </w:rPr>
        <w:t>一、发布密钥的授予</w:t>
      </w:r>
    </w:p>
    <w:p w14:paraId="2A0ED120">
      <w:pPr>
        <w:pStyle w:val="style0"/>
        <w:jc w:val="left"/>
        <w:rPr>
          <w:lang w:val="en-US"/>
        </w:rPr>
      </w:pPr>
    </w:p>
    <w:p w14:paraId="709236D7">
      <w:pPr>
        <w:pStyle w:val="style0"/>
        <w:jc w:val="left"/>
        <w:rPr>
          <w:lang w:val="en-US"/>
        </w:rPr>
      </w:pPr>
      <w:r>
        <w:rPr>
          <w:lang w:val="en-US"/>
        </w:rPr>
        <w:t>发布密钥用于签名系统更新包。此密钥由 BDFL 及核心开发者持有。授予流程如下：</w:t>
      </w:r>
    </w:p>
    <w:p w14:paraId="227F9ED6">
      <w:pPr>
        <w:pStyle w:val="style0"/>
        <w:jc w:val="left"/>
        <w:rPr>
          <w:lang w:val="en-US"/>
        </w:rPr>
      </w:pPr>
    </w:p>
    <w:p w14:paraId="6D11EA26">
      <w:pPr>
        <w:pStyle w:val="style0"/>
        <w:jc w:val="left"/>
        <w:rPr>
          <w:lang w:val="en-US"/>
        </w:rPr>
      </w:pPr>
      <w:r>
        <w:rPr>
          <w:lang w:val="en-US"/>
        </w:rPr>
        <w:t>第一步，核心开发者生成自己的密钥对，将公钥提交给 BDFL。</w:t>
      </w:r>
    </w:p>
    <w:p w14:paraId="9BE54F15">
      <w:pPr>
        <w:pStyle w:val="style0"/>
        <w:jc w:val="left"/>
        <w:rPr>
          <w:lang w:val="en-US"/>
        </w:rPr>
      </w:pPr>
      <w:r>
        <w:rPr>
          <w:lang w:val="en-US"/>
        </w:rPr>
        <w:t>第二步，BDFL 在离线安全环境下，用根密钥私钥对该公钥签名，生成发布密钥证书。</w:t>
      </w:r>
    </w:p>
    <w:p w14:paraId="16228976">
      <w:pPr>
        <w:pStyle w:val="style0"/>
        <w:jc w:val="left"/>
        <w:rPr>
          <w:lang w:val="en-US"/>
        </w:rPr>
      </w:pPr>
      <w:r>
        <w:rPr>
          <w:lang w:val="en-US"/>
        </w:rPr>
        <w:t>第三步，BDFL 将发布密钥证书和私钥加密后交予核心开发者。</w:t>
      </w:r>
    </w:p>
    <w:p w14:paraId="F0760007">
      <w:pPr>
        <w:pStyle w:val="style0"/>
        <w:jc w:val="left"/>
        <w:rPr>
          <w:lang w:val="en-US"/>
        </w:rPr>
      </w:pPr>
      <w:r>
        <w:rPr>
          <w:lang w:val="en-US"/>
        </w:rPr>
        <w:t>第四步，核心开发者在开发机上使用发布密钥签名系统更新。</w:t>
      </w:r>
    </w:p>
    <w:p w14:paraId="D30D4871">
      <w:pPr>
        <w:pStyle w:val="style0"/>
        <w:jc w:val="left"/>
        <w:rPr>
          <w:lang w:val="en-US"/>
        </w:rPr>
      </w:pPr>
      <w:r>
        <w:rPr>
          <w:lang w:val="en-US"/>
        </w:rPr>
        <w:t>第五步，用户内核在启动时，</w:t>
      </w:r>
      <w:r>
        <w:rPr>
          <w:rFonts w:hint="eastAsia"/>
          <w:lang w:val="en-US" w:eastAsia="zh-CN"/>
        </w:rPr>
        <w:t>用编译进内核的根公钥验证发布密钥证书的合法性。</w:t>
      </w:r>
    </w:p>
    <w:p w14:paraId="22F38927">
      <w:pPr>
        <w:pStyle w:val="style0"/>
        <w:jc w:val="left"/>
        <w:rPr>
          <w:lang w:val="en-US"/>
        </w:rPr>
      </w:pPr>
    </w:p>
    <w:p w14:paraId="9B724EE2">
      <w:pPr>
        <w:pStyle w:val="style0"/>
        <w:jc w:val="left"/>
        <w:rPr>
          <w:lang w:val="en-US"/>
        </w:rPr>
      </w:pPr>
      <w:r>
        <w:rPr>
          <w:lang w:val="en-US"/>
        </w:rPr>
        <w:t>二、开发者授权密钥与普通开发者管理</w:t>
      </w:r>
    </w:p>
    <w:p w14:paraId="78326E0E">
      <w:pPr>
        <w:pStyle w:val="style0"/>
        <w:jc w:val="left"/>
        <w:rPr>
          <w:lang w:val="en-US"/>
        </w:rPr>
      </w:pPr>
    </w:p>
    <w:p w14:paraId="9668F407">
      <w:pPr>
        <w:pStyle w:val="style0"/>
        <w:jc w:val="left"/>
        <w:rPr>
          <w:lang w:val="en-US"/>
        </w:rPr>
      </w:pPr>
      <w:r>
        <w:rPr>
          <w:lang w:val="en-US"/>
        </w:rPr>
        <w:t>开发者授权密钥用于管理普通开发者的权限，避免频繁使用根密钥。此密钥由 BDFL 用根密钥一次性签发，之后日常的开发者变动均由该密钥处理。</w:t>
      </w:r>
    </w:p>
    <w:p w14:paraId="6749BD3A">
      <w:pPr>
        <w:pStyle w:val="style0"/>
        <w:jc w:val="left"/>
        <w:rPr>
          <w:lang w:val="en-US"/>
        </w:rPr>
      </w:pPr>
    </w:p>
    <w:p w14:paraId="9F6AF833">
      <w:pPr>
        <w:pStyle w:val="style0"/>
        <w:jc w:val="left"/>
        <w:rPr>
          <w:lang w:val="en-US"/>
        </w:rPr>
      </w:pPr>
      <w:r>
        <w:rPr>
          <w:lang w:val="en-US"/>
        </w:rPr>
        <w:t>当新开发者加入时，由持有开发者授权密钥的</w:t>
      </w:r>
      <w:r>
        <w:rPr>
          <w:rFonts w:hint="eastAsia"/>
          <w:lang w:val="en-US" w:eastAsia="zh-CN"/>
        </w:rPr>
        <w:t>核心开发者</w:t>
      </w:r>
      <w:r>
        <w:rPr>
          <w:lang w:val="en-US"/>
        </w:rPr>
        <w:t>为其签发开发者证书，授权其提交代码贡献。</w:t>
      </w:r>
    </w:p>
    <w:p w14:paraId="80B9195C">
      <w:pPr>
        <w:pStyle w:val="style0"/>
        <w:jc w:val="left"/>
        <w:rPr>
          <w:lang w:val="en-US"/>
        </w:rPr>
      </w:pPr>
      <w:r>
        <w:rPr>
          <w:lang w:val="en-US"/>
        </w:rPr>
        <w:t>当开发者离开或被撤销权限时，由持有开发者授权密钥的</w:t>
      </w:r>
      <w:r>
        <w:rPr>
          <w:rFonts w:hint="eastAsia"/>
          <w:lang w:val="en-US" w:eastAsia="zh-CN"/>
        </w:rPr>
        <w:t>核心开发者</w:t>
      </w:r>
      <w:r>
        <w:rPr>
          <w:lang w:val="en-US"/>
        </w:rPr>
        <w:t>将其证书加入吊销列表，无需动用根密钥。</w:t>
      </w:r>
    </w:p>
    <w:p w14:paraId="3DDD37F2">
      <w:pPr>
        <w:pStyle w:val="style0"/>
        <w:jc w:val="left"/>
        <w:rPr>
          <w:lang w:val="en-US"/>
        </w:rPr>
      </w:pPr>
      <w:r>
        <w:rPr>
          <w:lang w:val="en-US"/>
        </w:rPr>
        <w:t>仅当开发者授权密钥本身需要更换时，才需要请出根密钥重新签发。</w:t>
      </w:r>
    </w:p>
    <w:p w14:paraId="0D551F7F">
      <w:pPr>
        <w:pStyle w:val="style0"/>
        <w:jc w:val="left"/>
        <w:rPr/>
      </w:pPr>
    </w:p>
    <w:p w14:paraId="F2F244B1">
      <w:pPr>
        <w:pStyle w:val="style0"/>
        <w:jc w:val="left"/>
        <w:rPr>
          <w:lang w:val="en-US"/>
        </w:rPr>
      </w:pPr>
      <w:r>
        <w:rPr>
          <w:lang w:val="en-US"/>
        </w:rPr>
        <w:t>10.3 开发者权限边界</w:t>
      </w:r>
    </w:p>
    <w:p w14:paraId="B1303F93">
      <w:pPr>
        <w:pStyle w:val="style0"/>
        <w:jc w:val="left"/>
        <w:rPr/>
      </w:pPr>
    </w:p>
    <w:p w14:paraId="275652BC">
      <w:pPr>
        <w:pStyle w:val="style0"/>
        <w:jc w:val="left"/>
        <w:rPr>
          <w:lang w:val="en-US"/>
        </w:rPr>
      </w:pPr>
      <w:r>
        <w:rPr>
          <w:lang w:val="en-US"/>
        </w:rPr>
        <w:t>- 核心开发者可签名系统更新包，但无权修改内核核心模块（能力授权引擎、物理内存分配器等）。</w:t>
      </w:r>
    </w:p>
    <w:p w14:paraId="C57A39D5">
      <w:pPr>
        <w:pStyle w:val="style0"/>
        <w:jc w:val="left"/>
        <w:rPr>
          <w:lang w:val="en-US"/>
        </w:rPr>
      </w:pPr>
      <w:r>
        <w:rPr>
          <w:lang w:val="en-US"/>
        </w:rPr>
        <w:t>- 核心开发者无权授权其他开发者持有发布密钥。此项权力仅属于 BDFL。</w:t>
      </w:r>
    </w:p>
    <w:p w14:paraId="C47091E5">
      <w:pPr>
        <w:pStyle w:val="style0"/>
        <w:jc w:val="left"/>
        <w:rPr>
          <w:lang w:val="en-US"/>
        </w:rPr>
      </w:pPr>
      <w:r>
        <w:rPr>
          <w:lang w:val="en-US"/>
        </w:rPr>
        <w:t>- 普通开发者可通过提交代码贡献参与功能开发，其提交需经核心开发者审核后合并。</w:t>
      </w:r>
    </w:p>
    <w:p w14:paraId="4DC06670">
      <w:pPr>
        <w:pStyle w:val="style0"/>
        <w:jc w:val="left"/>
        <w:rPr>
          <w:lang w:val="en-US"/>
        </w:rPr>
      </w:pPr>
      <w:r>
        <w:rPr>
          <w:lang w:val="en-US"/>
        </w:rPr>
        <w:t>- 任何开发者均无权绕过能力令牌直接访问系统资源。</w:t>
      </w:r>
    </w:p>
    <w:p w14:paraId="28253918">
      <w:pPr>
        <w:pStyle w:val="style0"/>
        <w:jc w:val="left"/>
        <w:rPr/>
      </w:pPr>
    </w:p>
    <w:p w14:paraId="DF8C048A">
      <w:pPr>
        <w:pStyle w:val="style0"/>
        <w:jc w:val="left"/>
        <w:rPr>
          <w:lang w:val="en-US"/>
        </w:rPr>
      </w:pPr>
      <w:r>
        <w:rPr>
          <w:lang w:val="en-US"/>
        </w:rPr>
        <w:t>10.4 开发者权限的撤销</w:t>
      </w:r>
    </w:p>
    <w:p w14:paraId="FFB0A81A">
      <w:pPr>
        <w:pStyle w:val="style0"/>
        <w:jc w:val="left"/>
        <w:rPr/>
      </w:pPr>
    </w:p>
    <w:p w14:paraId="6EB48802">
      <w:pPr>
        <w:pStyle w:val="style0"/>
        <w:jc w:val="left"/>
        <w:rPr>
          <w:lang w:val="en-US"/>
        </w:rPr>
      </w:pPr>
      <w:r>
        <w:rPr>
          <w:lang w:val="en-US"/>
        </w:rPr>
        <w:t>- BDFL 发布新内核，将特定发布密钥证书的哈希值加入证书吊销列表（CRL）。</w:t>
      </w:r>
    </w:p>
    <w:p w14:paraId="0B9AD1AB">
      <w:pPr>
        <w:pStyle w:val="style0"/>
        <w:jc w:val="left"/>
        <w:rPr>
          <w:lang w:val="en-US"/>
        </w:rPr>
      </w:pPr>
      <w:r>
        <w:rPr>
          <w:lang w:val="en-US"/>
        </w:rPr>
        <w:t>- 用户安装更新后，被吊销的发布密钥立即失效，所有由该密钥签名的更新包均被拒绝。</w:t>
      </w:r>
    </w:p>
    <w:p w14:paraId="96F75AF6">
      <w:pPr>
        <w:pStyle w:val="style0"/>
        <w:jc w:val="left"/>
        <w:rPr>
          <w:lang w:val="en-US"/>
        </w:rPr>
      </w:pPr>
      <w:r>
        <w:rPr>
          <w:lang w:val="en-US"/>
        </w:rPr>
        <w:t>- 核心开发者如有恶意行为或长期不活跃，BDFL 可随时撤销其发布密钥。</w:t>
      </w:r>
    </w:p>
    <w:p w14:paraId="02BC75A6">
      <w:pPr>
        <w:pStyle w:val="style0"/>
        <w:jc w:val="left"/>
        <w:rPr/>
      </w:pPr>
    </w:p>
    <w:p w14:paraId="DDF22927">
      <w:pPr>
        <w:pStyle w:val="style0"/>
        <w:jc w:val="left"/>
        <w:rPr>
          <w:lang w:val="en-US"/>
        </w:rPr>
      </w:pPr>
      <w:r>
        <w:rPr>
          <w:lang w:val="en-US"/>
        </w:rPr>
        <w:t>10.5 开发者行为规范</w:t>
      </w:r>
    </w:p>
    <w:p w14:paraId="821430DD">
      <w:pPr>
        <w:pStyle w:val="style0"/>
        <w:jc w:val="left"/>
        <w:rPr/>
      </w:pPr>
    </w:p>
    <w:p w14:paraId="9B81D0B1">
      <w:pPr>
        <w:pStyle w:val="style0"/>
        <w:jc w:val="left"/>
        <w:rPr>
          <w:lang w:val="en-US"/>
        </w:rPr>
      </w:pPr>
      <w:r>
        <w:rPr>
          <w:lang w:val="en-US"/>
        </w:rPr>
        <w:t>- 所有代码贡献必须在项目宪法框架内，不得引入 POSIX 兼容、不得绕过能力令牌模型、不得削弱语言即隔离墙原则。</w:t>
      </w:r>
    </w:p>
    <w:p w14:paraId="70B6ACB6">
      <w:pPr>
        <w:pStyle w:val="style0"/>
        <w:jc w:val="left"/>
        <w:rPr>
          <w:lang w:val="en-US"/>
        </w:rPr>
      </w:pPr>
      <w:r>
        <w:rPr>
          <w:lang w:val="en-US"/>
        </w:rPr>
        <w:t>- 开发者之间的争议由 BDFL 最终裁决。</w:t>
      </w:r>
    </w:p>
    <w:p w14:paraId="46C833B6">
      <w:pPr>
        <w:pStyle w:val="style0"/>
        <w:jc w:val="left"/>
        <w:rPr>
          <w:lang w:val="en-US"/>
        </w:rPr>
      </w:pPr>
      <w:r>
        <w:rPr>
          <w:lang w:val="en-US"/>
        </w:rPr>
        <w:t>- 开发者需保护好自己的私钥。私钥泄露后应立即报告 BDFL，由 BDFL 执行吊销流程。</w:t>
      </w:r>
    </w:p>
    <w:p w14:paraId="B6BFF535">
      <w:pPr>
        <w:pStyle w:val="style0"/>
        <w:jc w:val="left"/>
        <w:rPr/>
      </w:pPr>
    </w:p>
    <w:p w14:paraId="18903322">
      <w:pPr>
        <w:pStyle w:val="style0"/>
        <w:jc w:val="left"/>
        <w:rPr>
          <w:lang w:val="en-US"/>
        </w:rPr>
      </w:pPr>
      <w:r>
        <w:rPr>
          <w:lang w:val="en-US"/>
        </w:rPr>
        <w:t>10.6 外部厂商驱动提交与签名</w:t>
      </w:r>
    </w:p>
    <w:p w14:paraId="013565CB">
      <w:pPr>
        <w:pStyle w:val="style0"/>
        <w:jc w:val="left"/>
        <w:rPr/>
      </w:pPr>
    </w:p>
    <w:p w14:paraId="6B22B8D5">
      <w:pPr>
        <w:pStyle w:val="style0"/>
        <w:jc w:val="left"/>
        <w:rPr>
          <w:lang w:val="en-US"/>
        </w:rPr>
      </w:pPr>
      <w:r>
        <w:rPr>
          <w:lang w:val="en-US"/>
        </w:rPr>
        <w:t>硬件厂商（如NVIDIA、AMD、Intel、华为等）可为本系统开发专用驱动程序。厂商开发的驱动代码由厂商自行完成安全审计，并对其安全性承担全部责任。</w:t>
      </w:r>
    </w:p>
    <w:p w14:paraId="52711B28">
      <w:pPr>
        <w:pStyle w:val="style0"/>
        <w:jc w:val="left"/>
        <w:rPr/>
      </w:pPr>
    </w:p>
    <w:p w14:paraId="4A0D4094">
      <w:pPr>
        <w:pStyle w:val="style0"/>
        <w:jc w:val="left"/>
        <w:rPr>
          <w:lang w:val="en-US"/>
        </w:rPr>
      </w:pPr>
      <w:r>
        <w:rPr>
          <w:lang w:val="en-US"/>
        </w:rPr>
        <w:t>厂商将驱动代码、审计报告与签名请求提交至BDFL。BDFL在确认厂商已自行审计并承担安全责任后，使用发布密钥为该驱动签名。BDFL不对厂商驱动的代码质量与安全性承担审计责任。</w:t>
      </w:r>
    </w:p>
    <w:p w14:paraId="6980C79E">
      <w:pPr>
        <w:pStyle w:val="style0"/>
        <w:jc w:val="left"/>
        <w:rPr/>
      </w:pPr>
    </w:p>
    <w:p w14:paraId="46B01ACC">
      <w:pPr>
        <w:pStyle w:val="style0"/>
        <w:jc w:val="left"/>
        <w:rPr>
          <w:lang w:val="en-US"/>
        </w:rPr>
      </w:pPr>
      <w:r>
        <w:rPr>
          <w:lang w:val="en-US"/>
        </w:rPr>
        <w:t>已签名的厂商驱动可在本系统上合法运行。若驱动存在安全漏洞或因驱动导致系统异常，BDFL有权随时撤销该驱动的签名，该驱动立即失效。用户可通过系统更新获取新版本签名驱动。</w:t>
      </w:r>
    </w:p>
    <w:p w14:paraId="317E89EA">
      <w:pPr>
        <w:pStyle w:val="style0"/>
        <w:jc w:val="left"/>
        <w:rPr/>
      </w:pPr>
    </w:p>
    <w:p w14:paraId="FEE196DB">
      <w:pPr>
        <w:pStyle w:val="style0"/>
        <w:jc w:val="left"/>
        <w:rPr>
          <w:lang w:val="en-US"/>
        </w:rPr>
      </w:pPr>
      <w:r>
        <w:rPr>
          <w:lang w:val="en-US"/>
        </w:rPr>
        <w:t>厂商驱动的质量直接影响其硬件在本系统上的用户体验与市场表现。本操作系统生态不依赖任何特定厂商的驱动，用户始终可选择使用开源驱动替代方案。</w:t>
      </w:r>
    </w:p>
    <w:p w14:paraId="3E90A435">
      <w:pPr>
        <w:pStyle w:val="style0"/>
        <w:jc w:val="left"/>
        <w:rPr/>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altName w:val="微软雅黑"/>
    <w:panose1 w:val="020b0503020000020204"/>
    <w:charset w:val="86"/>
    <w:family w:val="auto"/>
    <w:pitch w:val="default"/>
    <w:sig w:usb0="80000287" w:usb1="2ACF3C50" w:usb2="00000016" w:usb3="00000000" w:csb0="0004001F" w:csb1="00000000"/>
  </w:font>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Segoe UI Emoji">
    <w:altName w:val="Noto Color Emoji"/>
    <w:panose1 w:val="020b0502040000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0000001"/>
    <w:lvl w:ilvl="0">
      <w:start w:val="1"/>
      <w:numFmt w:val="decimal"/>
      <w:pStyle w:val="style4102"/>
      <w:suff w:val="space"/>
      <w:lvlText w:val="%1 "/>
      <w:lvlJc w:val="right"/>
      <w:pPr/>
      <w:rPr>
        <w:rFonts w:ascii="微软雅黑" w:cs="微软雅黑" w:eastAsia="微软雅黑" w:hAnsi="微软雅黑"/>
        <w:color w:val="c0c6cf"/>
        <w:sz w:val="16"/>
      </w:rPr>
    </w:lvl>
  </w:abstractNum>
  <w:abstractNum w:abstractNumId="1">
    <w:nsid w:val="00000001"/>
    <w:multiLevelType w:val="multilevel"/>
    <w:tmpl w:val="20000002"/>
    <w:lvl w:ilvl="0">
      <w:start w:val="1"/>
      <w:numFmt w:val="bullet"/>
      <w:lvlText w:val=""/>
      <w:lvlJc w:val="left"/>
      <w:pPr>
        <w:ind w:left="420" w:hanging="420"/>
      </w:pPr>
      <w:rPr>
        <w:rFonts w:ascii="Wingdings" w:cs="Wingdings" w:eastAsia="Wingdings" w:hAnsi="Wingdings"/>
      </w:rPr>
    </w:lvl>
    <w:lvl w:ilvl="1">
      <w:start w:val="1"/>
      <w:numFmt w:val="bullet"/>
      <w:lvlText w:val="¢"/>
      <w:lvlJc w:val="left"/>
      <w:pPr>
        <w:ind w:left="840" w:hanging="420"/>
      </w:pPr>
      <w:rPr>
        <w:rFonts w:ascii="Wingdings" w:cs="Wingdings" w:eastAsia="Wingdings" w:hAnsi="Wingdings"/>
      </w:rPr>
    </w:lvl>
    <w:lvl w:ilvl="2">
      <w:start w:val="1"/>
      <w:numFmt w:val="bullet"/>
      <w:lvlText w:val=""/>
      <w:lvlJc w:val="left"/>
      <w:pPr>
        <w:ind w:left="1260" w:hanging="420"/>
      </w:pPr>
      <w:rPr>
        <w:rFonts w:ascii="Wingdings" w:cs="Wingdings" w:eastAsia="Wingdings" w:hAnsi="Wingdings"/>
      </w:rPr>
    </w:lvl>
    <w:lvl w:ilvl="3">
      <w:start w:val="1"/>
      <w:numFmt w:val="bullet"/>
      <w:lvlText w:val=""/>
      <w:lvlJc w:val="left"/>
      <w:pPr>
        <w:ind w:left="1680" w:hanging="420"/>
      </w:pPr>
      <w:rPr>
        <w:rFonts w:ascii="Wingdings" w:cs="Wingdings" w:eastAsia="Wingdings" w:hAnsi="Wingdings"/>
      </w:rPr>
    </w:lvl>
    <w:lvl w:ilvl="4">
      <w:start w:val="1"/>
      <w:numFmt w:val="bullet"/>
      <w:lvlText w:val="¢"/>
      <w:lvlJc w:val="left"/>
      <w:pPr>
        <w:ind w:left="2100" w:hanging="420"/>
      </w:pPr>
      <w:rPr>
        <w:rFonts w:ascii="Wingdings" w:cs="Wingdings" w:eastAsia="Wingdings" w:hAnsi="Wingdings"/>
      </w:rPr>
    </w:lvl>
    <w:lvl w:ilvl="5">
      <w:start w:val="1"/>
      <w:numFmt w:val="bullet"/>
      <w:lvlText w:val=""/>
      <w:lvlJc w:val="left"/>
      <w:pPr>
        <w:ind w:left="2520" w:hanging="420"/>
      </w:pPr>
      <w:rPr>
        <w:rFonts w:ascii="Wingdings" w:cs="Wingdings" w:eastAsia="Wingdings" w:hAnsi="Wingdings"/>
      </w:rPr>
    </w:lvl>
    <w:lvl w:ilvl="6">
      <w:start w:val="1"/>
      <w:numFmt w:val="bullet"/>
      <w:lvlText w:val=""/>
      <w:lvlJc w:val="left"/>
      <w:pPr>
        <w:ind w:left="2940" w:hanging="420"/>
      </w:pPr>
      <w:rPr>
        <w:rFonts w:ascii="Wingdings" w:cs="Wingdings" w:eastAsia="Wingdings" w:hAnsi="Wingdings"/>
      </w:rPr>
    </w:lvl>
    <w:lvl w:ilvl="7">
      <w:start w:val="1"/>
      <w:numFmt w:val="bullet"/>
      <w:lvlText w:val="¢"/>
      <w:lvlJc w:val="left"/>
      <w:pPr>
        <w:ind w:left="3360" w:hanging="420"/>
      </w:pPr>
      <w:rPr>
        <w:rFonts w:ascii="Wingdings" w:cs="Wingdings" w:eastAsia="Wingdings" w:hAnsi="Wingdings"/>
      </w:rPr>
    </w:lvl>
  </w:abstractNum>
  <w:abstractNum w:abstractNumId="2">
    <w:nsid w:val="00000002"/>
    <w:multiLevelType w:val="hybridMultilevel"/>
    <w:tmpl w:val="9EB67D8F"/>
    <w:lvl w:ilvl="0" w:tplc="0409000F">
      <w:start w:val="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9B34994D"/>
    <w:lvl w:ilvl="0" w:tplc="0409000F">
      <w:start w:val="8"/>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9353ABBD"/>
    <w:lvl w:ilvl="0" w:tplc="0409000F">
      <w:start w:val="8"/>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qFormat/>
    <w:uiPriority w:val="0"/>
    <w:pPr>
      <w:textAlignment w:val="baseline"/>
    </w:pPr>
    <w:rPr>
      <w:rFonts w:ascii="微软雅黑" w:cs="微软雅黑" w:eastAsia="微软雅黑" w:hAnsi="微软雅黑"/>
      <w:color w:val="080f17"/>
      <w:sz w:val="22"/>
    </w:rPr>
  </w:style>
  <w:style w:type="paragraph" w:customStyle="1" w:styleId="style4097">
    <w:name w:val="MainTitle"/>
    <w:basedOn w:val="style0"/>
    <w:next w:val="style4097"/>
    <w:qFormat/>
    <w:uiPriority w:val="0"/>
    <w:pPr>
      <w:pBdr>
        <w:bottom w:val="single" w:sz="6" w:space="5" w:color="e2e6ed"/>
      </w:pBdr>
      <w:spacing w:before="180" w:after="480" w:lineRule="exact" w:line="780"/>
    </w:pPr>
    <w:rPr>
      <w:b/>
      <w:sz w:val="44"/>
    </w:rPr>
  </w:style>
  <w:style w:type="paragraph" w:styleId="style1">
    <w:name w:val="heading 1"/>
    <w:basedOn w:val="style0"/>
    <w:next w:val="style1"/>
    <w:qFormat/>
    <w:uiPriority w:val="0"/>
    <w:pPr>
      <w:spacing w:before="390" w:after="120" w:lineRule="exact" w:line="634"/>
      <w:outlineLvl w:val="0"/>
    </w:pPr>
    <w:rPr>
      <w:b/>
      <w:sz w:val="38"/>
    </w:rPr>
  </w:style>
  <w:style w:type="paragraph" w:styleId="style2">
    <w:name w:val="heading 2"/>
    <w:basedOn w:val="style0"/>
    <w:next w:val="style2"/>
    <w:qFormat/>
    <w:uiPriority w:val="0"/>
    <w:pPr>
      <w:spacing w:before="330" w:after="120" w:lineRule="exact" w:line="536"/>
      <w:outlineLvl w:val="1"/>
    </w:pPr>
    <w:rPr>
      <w:b/>
      <w:sz w:val="32"/>
    </w:rPr>
  </w:style>
  <w:style w:type="paragraph" w:styleId="style3">
    <w:name w:val="heading 3"/>
    <w:basedOn w:val="style0"/>
    <w:next w:val="style3"/>
    <w:qFormat/>
    <w:uiPriority w:val="0"/>
    <w:pPr>
      <w:spacing w:before="300" w:after="120" w:lineRule="exact" w:line="488"/>
      <w:outlineLvl w:val="2"/>
    </w:pPr>
    <w:rPr>
      <w:b/>
      <w:sz w:val="30"/>
    </w:rPr>
  </w:style>
  <w:style w:type="paragraph" w:styleId="style4">
    <w:name w:val="heading 4"/>
    <w:basedOn w:val="style0"/>
    <w:next w:val="style4"/>
    <w:qFormat/>
    <w:uiPriority w:val="0"/>
    <w:pPr>
      <w:spacing w:before="270" w:after="120" w:lineRule="exact" w:line="439"/>
      <w:outlineLvl w:val="3"/>
    </w:pPr>
    <w:rPr>
      <w:b/>
      <w:sz w:val="26"/>
    </w:rPr>
  </w:style>
  <w:style w:type="paragraph" w:styleId="style5">
    <w:name w:val="heading 5"/>
    <w:basedOn w:val="style0"/>
    <w:next w:val="style5"/>
    <w:qFormat/>
    <w:uiPriority w:val="0"/>
    <w:pPr>
      <w:spacing w:before="240" w:after="120" w:lineRule="exact" w:line="390"/>
      <w:outlineLvl w:val="4"/>
    </w:pPr>
    <w:rPr>
      <w:b/>
      <w:sz w:val="22"/>
    </w:rPr>
  </w:style>
  <w:style w:type="paragraph" w:styleId="style6">
    <w:name w:val="heading 6"/>
    <w:basedOn w:val="style0"/>
    <w:next w:val="style6"/>
    <w:qFormat/>
    <w:uiPriority w:val="0"/>
    <w:pPr>
      <w:spacing w:before="240" w:after="120" w:lineRule="exact" w:line="390"/>
      <w:outlineLvl w:val="5"/>
    </w:pPr>
    <w:rPr>
      <w:b/>
      <w:sz w:val="22"/>
    </w:rPr>
  </w:style>
  <w:style w:type="table" w:styleId="style154">
    <w:name w:val="Table Grid"/>
    <w:basedOn w:val="style0"/>
    <w:next w:val="style154"/>
    <w:qFormat/>
    <w:uiPriority w:val="0"/>
    <w:pPr/>
    <w:rPr/>
    <w:tblPr>
      <w:tblInd w:w="120" w:type="dxa"/>
      <w:tblBorders>
        <w:top w:val="single" w:sz="6" w:space="0" w:color="080f17"/>
        <w:left w:val="single" w:sz="6" w:space="0" w:color="080f17"/>
        <w:bottom w:val="single" w:sz="6" w:space="0" w:color="080f17"/>
        <w:right w:val="single" w:sz="6" w:space="0" w:color="080f17"/>
        <w:insideH w:val="single" w:sz="6" w:space="0" w:color="080f17"/>
        <w:insideV w:val="single" w:sz="6" w:space="0" w:color="080f17"/>
      </w:tblBorders>
      <w:tblCellMar>
        <w:left w:w="108" w:type="dxa"/>
        <w:right w:w="108" w:type="dxa"/>
      </w:tblCellMar>
    </w:tblPr>
    <w:tcPr>
      <w:tcBorders/>
    </w:tcPr>
  </w:style>
  <w:style w:type="character" w:styleId="style85">
    <w:name w:val="Hyperlink"/>
    <w:next w:val="style85"/>
    <w:qFormat/>
    <w:uiPriority w:val="0"/>
    <w:rPr>
      <w:color w:val="0a6cff"/>
      <w:u w:val="single" w:color="0a6cff"/>
    </w:rPr>
  </w:style>
  <w:style w:type="character" w:customStyle="1" w:styleId="style4098">
    <w:name w:val="DateTime"/>
    <w:next w:val="style4098"/>
    <w:qFormat/>
    <w:uiPriority w:val="0"/>
    <w:rPr>
      <w:color w:val="0a6cff"/>
    </w:rPr>
  </w:style>
  <w:style w:type="paragraph" w:customStyle="1" w:styleId="style4099">
    <w:name w:val="Blockquote"/>
    <w:basedOn w:val="style0"/>
    <w:next w:val="style4099"/>
    <w:qFormat/>
    <w:uiPriority w:val="0"/>
    <w:pPr>
      <w:pBdr>
        <w:left w:val="single" w:sz="36" w:space="12" w:color="e2e6ed"/>
      </w:pBdr>
      <w:ind w:left="330" w:firstLine="0"/>
    </w:pPr>
    <w:rPr>
      <w:color w:val="767c85"/>
      <w:sz w:val="22"/>
    </w:rPr>
  </w:style>
  <w:style w:type="character" w:customStyle="1" w:styleId="style4100">
    <w:name w:val="Code"/>
    <w:next w:val="style4100"/>
    <w:qFormat/>
    <w:uiPriority w:val="0"/>
    <w:rPr>
      <w:bdr w:val="single" w:sz="6" w:space="0" w:color="e2e6ed"/>
    </w:rPr>
  </w:style>
  <w:style w:type="character" w:customStyle="1" w:styleId="style4101">
    <w:name w:val="Emoji"/>
    <w:next w:val="style4101"/>
    <w:qFormat/>
    <w:uiPriority w:val="0"/>
    <w:rPr>
      <w:rFonts w:ascii="Segoe UI Emoji" w:cs="Segoe UI Emoji" w:eastAsia="Segoe UI Emoji" w:hAnsi="Segoe UI Emoji"/>
    </w:rPr>
  </w:style>
  <w:style w:type="paragraph" w:customStyle="1" w:styleId="style4102">
    <w:name w:val="CodeBlock"/>
    <w:basedOn w:val="style0"/>
    <w:next w:val="style4102"/>
    <w:qFormat/>
    <w:uiPriority w:val="0"/>
    <w:pPr>
      <w:numPr>
        <w:ilvl w:val="0"/>
        <w:numId w:val="1"/>
      </w:numPr>
      <w:pBdr>
        <w:left w:val="single" w:sz="6" w:space="26" w:color="e2e6ed"/>
        <w:right w:val="single" w:sz="6" w:space="0" w:color="e2e6ed"/>
        <w:top w:val="single" w:sz="6" w:space="8" w:color="e2e6ed"/>
        <w:bottom w:val="single" w:sz="6" w:space="8" w:color="e2e6ed"/>
      </w:pBdr>
      <w:shd w:val="clear" w:color="ffffff" w:fill="f5f7f9"/>
      <w:spacing w:before="0" w:after="0" w:lineRule="exact" w:line="300"/>
      <w:ind w:left="540" w:firstLine="0"/>
    </w:pPr>
    <w:rPr>
      <w:sz w:val="18"/>
    </w:rPr>
  </w:style>
  <w:style w:type="table" w:customStyle="1" w:styleId="style4103">
    <w:name w:val="HighlightBlock"/>
    <w:basedOn w:val="style0"/>
    <w:next w:val="style4103"/>
    <w:qFormat/>
    <w:uiPriority w:val="0"/>
    <w:pPr/>
    <w:rPr/>
    <w:tblPr>
      <w:tblInd w:w="120" w:type="dxa"/>
      <w:tblBorders>
        <w:top w:val="single" w:sz="6" w:space="0" w:color="fec794"/>
        <w:left w:val="single" w:sz="6" w:space="0" w:color="fec794"/>
        <w:bottom w:val="single" w:sz="6" w:space="0" w:color="fec794"/>
        <w:right w:val="single" w:sz="6" w:space="0" w:color="fec794"/>
        <w:insideH w:val="single" w:sz="6" w:space="0" w:color="fec794"/>
        <w:insideV w:val="single" w:sz="6" w:space="0" w:color="fec794"/>
      </w:tblBorders>
      <w:shd w:val="clear" w:color="ffffff" w:fill="faf1e6"/>
      <w:tblCellMar>
        <w:left w:w="108" w:type="dxa"/>
        <w:right w:w="108" w:type="dxa"/>
      </w:tblCellMar>
    </w:tblPr>
    <w:tcPr>
      <w:tcBorders/>
    </w:tcPr>
  </w:style>
  <w:style w:type="paragraph" w:customStyle="1" w:styleId="style4104">
    <w:name w:val="Seperate"/>
    <w:basedOn w:val="style0"/>
    <w:next w:val="style4104"/>
    <w:qFormat/>
    <w:uiPriority w:val="0"/>
    <w:pPr>
      <w:spacing w:before="0" w:after="0" w:lineRule="exact" w:line="120"/>
    </w:pPr>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10416</Words>
  <Characters>10969</Characters>
  <Application>WPS Office</Application>
  <DocSecurity>0</DocSecurity>
  <Paragraphs>343</Paragraphs>
  <LinksUpToDate>false</LinksUpToDate>
  <CharactersWithSpaces>11267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2026-05-31T12:14:47Z</dcterms:created>
  <dc:creator>webotl</dc:creator>
  <lastModifiedBy>2109119BC</lastModifiedBy>
  <dcterms:modified xsi:type="dcterms:W3CDTF">2026-06-03T04:39:28Z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ICV">
    <vt:lpwstr>209823026e054103bc2ea2c17f10e28b_23</vt:lpwstr>
  </property>
</Properties>
</file>