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E4B83">
      <w:pPr>
        <w:pStyle w:val="31"/>
        <w:jc w:val="center"/>
        <w:rPr>
          <w:rFonts w:hint="eastAsia" w:ascii="新宋体" w:hAnsi="新宋体" w:eastAsia="新宋体" w:cs="新宋体"/>
        </w:rPr>
      </w:pPr>
      <w:bookmarkStart w:id="0" w:name="_GoBack"/>
      <w:r>
        <w:rPr>
          <w:rFonts w:hint="eastAsia" w:ascii="新宋体" w:hAnsi="新宋体" w:eastAsia="新宋体" w:cs="新宋体"/>
        </w:rPr>
        <w:t>图谱增强检索与证据复核驱动的神经退行性疾病辅助诊疗研究综述</w:t>
      </w:r>
    </w:p>
    <w:p w14:paraId="760EB303">
      <w:pPr>
        <w:pStyle w:val="26"/>
        <w:jc w:val="center"/>
        <w:rPr>
          <w:rFonts w:hint="eastAsia" w:ascii="新宋体" w:hAnsi="新宋体" w:eastAsia="新宋体" w:cs="新宋体"/>
        </w:rPr>
      </w:pPr>
      <w:r>
        <w:rPr>
          <w:rFonts w:hint="eastAsia" w:ascii="新宋体" w:hAnsi="新宋体" w:eastAsia="新宋体" w:cs="新宋体"/>
        </w:rPr>
        <w:t>面向 NeuroGRA 课题的研究现状与方法定位</w:t>
      </w:r>
    </w:p>
    <w:p w14:paraId="3F416531">
      <w:pPr>
        <w:ind w:firstLine="0"/>
        <w:jc w:val="center"/>
        <w:rPr>
          <w:rFonts w:hint="eastAsia" w:ascii="新宋体" w:hAnsi="新宋体" w:eastAsia="新宋体" w:cs="新宋体"/>
        </w:rPr>
      </w:pPr>
      <w:r>
        <w:rPr>
          <w:rFonts w:hint="eastAsia" w:ascii="新宋体" w:hAnsi="新宋体" w:eastAsia="新宋体" w:cs="新宋体"/>
          <w:sz w:val="20"/>
        </w:rPr>
        <w:t>检索截止日期：2026 年 9 月 17 日</w:t>
      </w:r>
    </w:p>
    <w:p w14:paraId="7AE83978">
      <w:pPr>
        <w:pStyle w:val="3"/>
        <w:rPr>
          <w:rFonts w:hint="eastAsia" w:ascii="新宋体" w:hAnsi="新宋体" w:eastAsia="新宋体" w:cs="新宋体"/>
        </w:rPr>
      </w:pPr>
      <w:r>
        <w:rPr>
          <w:rFonts w:hint="eastAsia" w:ascii="新宋体" w:hAnsi="新宋体" w:eastAsia="新宋体" w:cs="新宋体"/>
        </w:rPr>
        <w:t>摘要</w:t>
      </w:r>
    </w:p>
    <w:p w14:paraId="3956981E">
      <w:pPr>
        <w:widowControl/>
        <w:rPr>
          <w:rFonts w:hint="eastAsia" w:ascii="新宋体" w:hAnsi="新宋体" w:eastAsia="新宋体" w:cs="新宋体"/>
        </w:rPr>
      </w:pPr>
      <w:r>
        <w:rPr>
          <w:rFonts w:hint="eastAsia" w:ascii="新宋体" w:hAnsi="新宋体" w:eastAsia="新宋体" w:cs="新宋体"/>
        </w:rPr>
        <w:t>认知障碍的辅助评估需要同时处理认知状态、临床综合征与候选病因，综合患者病史、量表、影像和生物标志物，并在资料缺失、共存病理和知识适用条件不明确时保留判断边界。现有研究已从单一影像分类扩展至多病因预测、指南约束的多模态智能体和能够迭代检索的医学推理系统。图谱增强检索能够组织医学实体与证据关系，但图结构本身不能保证鉴别依据充分；多智能体能够组织不同分析任务，但讨论轮数与意见一致性不能替代证据支持。本文围绕神经退行性疾病辅助诊疗、医学检索增强生成、证据评价与多智能体协作梳理相关研究，重点比较 2024—2026 年的代表性进展。综合分析表明，NeuroGRA 的可检验研究空间应聚焦于有限上下文预算内适用鉴别条款的覆盖，以及由明确证据状态驱动的定向复核和结论更新。其方法价值需要通过强文本检索、通用图检索、适用性重排和证据充分性反馈等竞争方法验证，并将知识层评价、病例预测和临床获益分别报告。</w:t>
      </w:r>
    </w:p>
    <w:p w14:paraId="12700A09">
      <w:pPr>
        <w:widowControl/>
        <w:ind w:firstLine="0"/>
        <w:rPr>
          <w:rFonts w:hint="eastAsia" w:ascii="新宋体" w:hAnsi="新宋体" w:eastAsia="新宋体" w:cs="新宋体"/>
        </w:rPr>
      </w:pPr>
      <w:r>
        <w:rPr>
          <w:rFonts w:hint="eastAsia" w:ascii="新宋体" w:hAnsi="新宋体" w:eastAsia="新宋体" w:cs="新宋体"/>
        </w:rPr>
        <w:t>关键词：神经退行性疾病；鉴别诊断；知识图谱；检索增强生成；证据复核；多智能体</w:t>
      </w:r>
    </w:p>
    <w:p w14:paraId="60E08015">
      <w:pPr>
        <w:pStyle w:val="3"/>
        <w:rPr>
          <w:rFonts w:hint="eastAsia" w:ascii="新宋体" w:hAnsi="新宋体" w:eastAsia="新宋体" w:cs="新宋体"/>
        </w:rPr>
      </w:pPr>
      <w:r>
        <w:rPr>
          <w:rFonts w:hint="eastAsia" w:ascii="新宋体" w:hAnsi="新宋体" w:eastAsia="新宋体" w:cs="新宋体"/>
        </w:rPr>
        <w:t>1 研究范围与问题界定</w:t>
      </w:r>
    </w:p>
    <w:p w14:paraId="7D22BF7E">
      <w:pPr>
        <w:widowControl/>
        <w:rPr>
          <w:rFonts w:hint="eastAsia" w:ascii="新宋体" w:hAnsi="新宋体" w:eastAsia="新宋体" w:cs="新宋体"/>
        </w:rPr>
      </w:pPr>
      <w:r>
        <w:rPr>
          <w:rFonts w:hint="eastAsia" w:ascii="新宋体" w:hAnsi="新宋体" w:eastAsia="新宋体" w:cs="新宋体"/>
        </w:rPr>
        <w:t>神经退行性疾病相关认知障碍具有表现交叠、病程演变和病理共存等特点。对这一问题的人工智能研究，既包括从影像或结构化数据预测疾病的模型，也包括整理临床资料、调用分析工具和检索医学知识的语言模型系统。本文以 NeuroGRA 总体设计方案为对象，讨论阿尔茨海默病（Alzheimer’s disease，AD）、额颞叶变性（frontotemporal lobar degeneration，FTLD）相关病因、路易体相关病因及血管性贡献的辅助鉴别。其中，血管性贡献作为鉴别和共存因素纳入，不能因其出现在同一系统中就归为神经退行性疾病。</w:t>
      </w:r>
    </w:p>
    <w:p w14:paraId="5B9BE37B">
      <w:pPr>
        <w:widowControl/>
        <w:rPr>
          <w:rFonts w:hint="eastAsia" w:ascii="新宋体" w:hAnsi="新宋体" w:eastAsia="新宋体" w:cs="新宋体"/>
        </w:rPr>
      </w:pPr>
      <w:r>
        <w:rPr>
          <w:rFonts w:hint="eastAsia" w:ascii="新宋体" w:hAnsi="新宋体" w:eastAsia="新宋体" w:cs="新宋体"/>
        </w:rPr>
        <w:t>本课题关注两个相互衔接的问题：检索系统能否在有限 token 预算内找全当前候选病因之间具有鉴别价值、且适用条件明确的证据；当证据缺失、相互牵制或无法支持某项表述时，系统能否生成有针对性的复核请求，并据此改变检索内容与结论强度。病史、认知、影像和检验智能体承担资料分析和工具执行，属于方法的组织载体。原始影像模型重训、治疗策略优化及全病种知识图谱建设不属于首期研究主线。</w:t>
      </w:r>
    </w:p>
    <w:p w14:paraId="004DC5F0">
      <w:pPr>
        <w:widowControl/>
        <w:rPr>
          <w:rFonts w:hint="eastAsia" w:ascii="新宋体" w:hAnsi="新宋体" w:eastAsia="新宋体" w:cs="新宋体"/>
        </w:rPr>
      </w:pPr>
      <w:r>
        <w:rPr>
          <w:rFonts w:hint="eastAsia" w:ascii="新宋体" w:hAnsi="新宋体" w:eastAsia="新宋体" w:cs="新宋体"/>
        </w:rPr>
        <w:t>本文采用围绕课题问题的定向叙述性综述，结合已提供的两份综述、总体设计和本地论文，对原始研究、指南、正式会议论文及预印本版本进行补充检索与核验。技术现状以近期原始研究为主，较早文献用于交代仍有方法或诊断意义的基础。文中区分已发表结果、预印本报告和本课题拟验证假设；不将检索到的代表性研究视为整个领域的穷尽样本。</w:t>
      </w:r>
    </w:p>
    <w:p w14:paraId="0B0B8E4E">
      <w:pPr>
        <w:pStyle w:val="3"/>
        <w:rPr>
          <w:rFonts w:hint="eastAsia" w:ascii="新宋体" w:hAnsi="新宋体" w:eastAsia="新宋体" w:cs="新宋体"/>
        </w:rPr>
      </w:pPr>
      <w:r>
        <w:rPr>
          <w:rFonts w:hint="eastAsia" w:ascii="新宋体" w:hAnsi="新宋体" w:eastAsia="新宋体" w:cs="新宋体"/>
        </w:rPr>
        <w:t>2 临床诊断框架及其对证据组织的要求</w:t>
      </w:r>
    </w:p>
    <w:p w14:paraId="02979E6D">
      <w:pPr>
        <w:pStyle w:val="4"/>
        <w:rPr>
          <w:rFonts w:hint="eastAsia" w:ascii="新宋体" w:hAnsi="新宋体" w:eastAsia="新宋体" w:cs="新宋体"/>
        </w:rPr>
      </w:pPr>
      <w:r>
        <w:rPr>
          <w:rFonts w:hint="eastAsia" w:ascii="新宋体" w:hAnsi="新宋体" w:eastAsia="新宋体" w:cs="新宋体"/>
        </w:rPr>
        <w:t>2.1 认知状态与病因判断需要分层表达</w:t>
      </w:r>
    </w:p>
    <w:p w14:paraId="37215793">
      <w:pPr>
        <w:widowControl/>
        <w:rPr>
          <w:rFonts w:hint="eastAsia" w:ascii="新宋体" w:hAnsi="新宋体" w:eastAsia="新宋体" w:cs="新宋体"/>
        </w:rPr>
      </w:pPr>
      <w:r>
        <w:rPr>
          <w:rFonts w:hint="eastAsia" w:ascii="新宋体" w:hAnsi="新宋体" w:eastAsia="新宋体" w:cs="新宋体"/>
        </w:rPr>
        <w:t>AD 诊断框架的变化首先影响系统如何定义输出。Alzheimer’s Association 于 2024 年提出的修订标准，将疾病的生物学定义与临床表现、分期相联系，并纳入达到相应性能要求的生物标志物。该标准提供诊断与分期原则，并不是逐步执行的临床工作流程指南。因此，“存在 AD 生物学证据”“达到痴呆阶段”与“当前功能受损主要由 AD 解释”不能被系统合并为同一命题[1]。</w:t>
      </w:r>
    </w:p>
    <w:p w14:paraId="3450577F">
      <w:pPr>
        <w:widowControl/>
        <w:rPr>
          <w:rFonts w:hint="eastAsia" w:ascii="新宋体" w:hAnsi="新宋体" w:eastAsia="新宋体" w:cs="新宋体"/>
        </w:rPr>
      </w:pPr>
      <w:r>
        <w:rPr>
          <w:rFonts w:hint="eastAsia" w:ascii="新宋体" w:hAnsi="新宋体" w:eastAsia="新宋体" w:cs="新宋体"/>
        </w:rPr>
        <w:t>DETeCD-ADRD 专科诊疗指南强调，评估应综合认知及日常功能状态、认知行为综合征与潜在病因，并根据病例复杂程度组织进一步检查[2]。中国《阿尔茨海默病源性轻度认知障碍诊疗中国专家共识 2024》则为 AD 源性轻度认知障碍（MCI）的诊断、鉴别与管理提供本土临床框架[3]。对 NeuroGRA 而言，MCI 与支持 AD 病理的证据可以同时成立，不能将 MCI、AD、DLB 简单设置为互斥的同层标签。</w:t>
      </w:r>
    </w:p>
    <w:p w14:paraId="314E59D6">
      <w:pPr>
        <w:widowControl/>
        <w:rPr>
          <w:rFonts w:hint="eastAsia" w:ascii="新宋体" w:hAnsi="新宋体" w:eastAsia="新宋体" w:cs="新宋体"/>
        </w:rPr>
      </w:pPr>
      <w:r>
        <w:rPr>
          <w:rFonts w:hint="eastAsia" w:ascii="新宋体" w:hAnsi="新宋体" w:eastAsia="新宋体" w:cs="新宋体"/>
        </w:rPr>
        <w:t>还应保留不同诊断框架之间的立场差异。International Working Group 于 2024 年提出的建议强调 AD 的临床—生物学构成，对认知正常、仅有生物标志物异常者的命名和风险表达，与纯生物学定义存在差别[4]。这说明知识库不仅要保存发表年份，还要记录发布组织、用途和定义层级。来自不同框架的表述不宜在合并时消除上下文，也不能一概判为患者资料冲突。</w:t>
      </w:r>
    </w:p>
    <w:p w14:paraId="14101D57">
      <w:pPr>
        <w:pStyle w:val="4"/>
        <w:rPr>
          <w:rFonts w:hint="eastAsia" w:ascii="新宋体" w:hAnsi="新宋体" w:eastAsia="新宋体" w:cs="新宋体"/>
        </w:rPr>
      </w:pPr>
      <w:r>
        <w:rPr>
          <w:rFonts w:hint="eastAsia" w:ascii="新宋体" w:hAnsi="新宋体" w:eastAsia="新宋体" w:cs="新宋体"/>
        </w:rPr>
        <w:t>2.2 新增生物标志物使适用条件成为检索对象</w:t>
      </w:r>
    </w:p>
    <w:p w14:paraId="5AFA1D79">
      <w:pPr>
        <w:widowControl/>
        <w:rPr>
          <w:rFonts w:hint="eastAsia" w:ascii="新宋体" w:hAnsi="新宋体" w:eastAsia="新宋体" w:cs="新宋体"/>
        </w:rPr>
      </w:pPr>
      <w:r>
        <w:rPr>
          <w:rFonts w:hint="eastAsia" w:ascii="新宋体" w:hAnsi="新宋体" w:eastAsia="新宋体" w:cs="新宋体"/>
        </w:rPr>
        <w:t>2025 年血液生物标志物临床实践指南进一步明确了相关检测的应用条件。该指南面向因客观认知受损而就诊于专科记忆诊疗机构的人群：达到至少 90% 敏感度、75% 特异度的检测可用于分诊；达到至少 90% 敏感度和特异度的检测，在相应条件下可替代淀粉样蛋白 PET 或脑脊液 AD 标志物检测。上述建议为条件性推荐，须结合完整临床评估、具体检测性能和验前概率理解；这些百分比是检测性能要求，不是患者阳性数值的通用阈值，也不是患者患病概率[5]。</w:t>
      </w:r>
    </w:p>
    <w:p w14:paraId="4680ED8C">
      <w:pPr>
        <w:widowControl/>
        <w:rPr>
          <w:rFonts w:hint="eastAsia" w:ascii="新宋体" w:hAnsi="新宋体" w:eastAsia="新宋体" w:cs="新宋体"/>
        </w:rPr>
      </w:pPr>
      <w:r>
        <w:rPr>
          <w:rFonts w:hint="eastAsia" w:ascii="新宋体" w:hAnsi="新宋体" w:eastAsia="新宋体" w:cs="新宋体"/>
        </w:rPr>
        <w:t>这一变化为条件感知检索提供了具体问题：只检索到“血液检测可以辅助 AD 诊断”并不足够，还需要召回检测方法、使用目的、适用人群及解释限制。若病例仅记录“血液标志物阳性”，却缺少检测平台或结果判读标准，系统应将其标记为适用性未决，查找对应条款并提示缺失信息，而不能从文献中补出患者未提供的检查事实。</w:t>
      </w:r>
    </w:p>
    <w:p w14:paraId="417F16DF">
      <w:pPr>
        <w:pStyle w:val="4"/>
        <w:rPr>
          <w:rFonts w:hint="eastAsia" w:ascii="新宋体" w:hAnsi="新宋体" w:eastAsia="新宋体" w:cs="新宋体"/>
        </w:rPr>
      </w:pPr>
      <w:r>
        <w:rPr>
          <w:rFonts w:hint="eastAsia" w:ascii="新宋体" w:hAnsi="新宋体" w:eastAsia="新宋体" w:cs="新宋体"/>
        </w:rPr>
        <w:t>2.3 鉴别证据必须允许病因共存</w:t>
      </w:r>
    </w:p>
    <w:p w14:paraId="0E2D8184">
      <w:pPr>
        <w:widowControl/>
        <w:rPr>
          <w:rFonts w:hint="eastAsia" w:ascii="新宋体" w:hAnsi="新宋体" w:eastAsia="新宋体" w:cs="新宋体"/>
        </w:rPr>
      </w:pPr>
      <w:r>
        <w:rPr>
          <w:rFonts w:hint="eastAsia" w:ascii="新宋体" w:hAnsi="新宋体" w:eastAsia="新宋体" w:cs="新宋体"/>
        </w:rPr>
        <w:t>DLB 的第四次共识报告区分核心临床特征、指示性生物标志物及其他支持信息，为按证据类型组织鉴别提供了结构[6]。行为变异型额颞叶痴呆的修订标准则对行为、执行功能、功能下降及影像证据等提出层次化要求[7]。这类文献虽发表较早，仍具有明确的诊断框架价值，不能仅为提高近年文献比例而删除；同时，也不应未经更新检索便宣称其是所有相关领域的唯一最新标准。</w:t>
      </w:r>
    </w:p>
    <w:p w14:paraId="67EA7DB2">
      <w:pPr>
        <w:widowControl/>
        <w:rPr>
          <w:rFonts w:hint="eastAsia" w:ascii="新宋体" w:hAnsi="新宋体" w:eastAsia="新宋体" w:cs="新宋体"/>
        </w:rPr>
      </w:pPr>
      <w:r>
        <w:rPr>
          <w:rFonts w:hint="eastAsia" w:ascii="新宋体" w:hAnsi="新宋体" w:eastAsia="新宋体" w:cs="新宋体"/>
        </w:rPr>
        <w:t>症状或标志物对某病因具有支持作用，并不自动意味着其他病因被排除。需要区分真正相互排斥的证据、不同判断层级的兼容信息，以及提示混合贡献的发现。例如，认知处于 MCI 阶段与存在 AD 病理证据并不矛盾。上述区别意味着证据图应表达具体条款与适用条件，而不宜仅使用“疾病—症状相关”关系承担全部诊断推断。</w:t>
      </w:r>
    </w:p>
    <w:p w14:paraId="6BDFAE17">
      <w:pPr>
        <w:pStyle w:val="3"/>
        <w:rPr>
          <w:rFonts w:hint="eastAsia" w:ascii="新宋体" w:hAnsi="新宋体" w:eastAsia="新宋体" w:cs="新宋体"/>
        </w:rPr>
      </w:pPr>
      <w:r>
        <w:rPr>
          <w:rFonts w:hint="eastAsia" w:ascii="新宋体" w:hAnsi="新宋体" w:eastAsia="新宋体" w:cs="新宋体"/>
        </w:rPr>
        <w:t>3 神经退行性疾病人工智能研究的任务扩展</w:t>
      </w:r>
    </w:p>
    <w:p w14:paraId="7424732F">
      <w:pPr>
        <w:pStyle w:val="4"/>
        <w:rPr>
          <w:rFonts w:hint="eastAsia" w:ascii="新宋体" w:hAnsi="新宋体" w:eastAsia="新宋体" w:cs="新宋体"/>
        </w:rPr>
      </w:pPr>
      <w:r>
        <w:rPr>
          <w:rFonts w:hint="eastAsia" w:ascii="新宋体" w:hAnsi="新宋体" w:eastAsia="新宋体" w:cs="新宋体"/>
        </w:rPr>
        <w:t>3.1 多模态预测已扩展到多病因鉴别</w:t>
      </w:r>
    </w:p>
    <w:p w14:paraId="4744ECF0">
      <w:pPr>
        <w:widowControl/>
        <w:rPr>
          <w:rFonts w:hint="eastAsia" w:ascii="新宋体" w:hAnsi="新宋体" w:eastAsia="新宋体" w:cs="新宋体"/>
        </w:rPr>
      </w:pPr>
      <w:r>
        <w:rPr>
          <w:rFonts w:hint="eastAsia" w:ascii="新宋体" w:hAnsi="新宋体" w:eastAsia="新宋体" w:cs="新宋体"/>
        </w:rPr>
        <w:t>Xue 等在 2024 年提出多模态痴呆病因鉴别框架，研究涉及 9 个数据集、51,269 名参与者和 10 类病因，说明复杂病因判断已经成为可开展大规模研究的任务。该文报告认知状态分类的微平均 AUROC 为 0.94，病因鉴别为 0.96，而两种共存病理任务的平均 AUROC 为 0.78。不同结果对应不同任务与统计口径，不能概括为“所有痴呆诊断准确率达到 96%”[8]。</w:t>
      </w:r>
    </w:p>
    <w:p w14:paraId="67D91F9E">
      <w:pPr>
        <w:widowControl/>
        <w:rPr>
          <w:rFonts w:hint="eastAsia" w:ascii="新宋体" w:hAnsi="新宋体" w:eastAsia="新宋体" w:cs="新宋体"/>
        </w:rPr>
      </w:pPr>
      <w:r>
        <w:rPr>
          <w:rFonts w:hint="eastAsia" w:ascii="新宋体" w:hAnsi="新宋体" w:eastAsia="新宋体" w:cs="新宋体"/>
        </w:rPr>
        <w:t>这类工作为 NeuroGRA 确定了较强的临床任务参照：多病因和混合贡献并非尚无人研究。系统若使用语言模型解释已有模型的输出，仍须分别证明预测性能和解释支持度，不能把语言更完整当作病因判断更准确。同时，训练型多模态模型与检索型系统解决的问题并不相同，前者侧重患者数据中的统计模式，后者侧重外部知识的组织、条件核对和可追溯使用。</w:t>
      </w:r>
    </w:p>
    <w:p w14:paraId="32F01012">
      <w:pPr>
        <w:widowControl/>
        <w:rPr>
          <w:rFonts w:hint="eastAsia" w:ascii="新宋体" w:hAnsi="新宋体" w:eastAsia="新宋体" w:cs="新宋体"/>
        </w:rPr>
      </w:pPr>
      <w:r>
        <w:rPr>
          <w:rFonts w:hint="eastAsia" w:ascii="新宋体" w:hAnsi="新宋体" w:eastAsia="新宋体" w:cs="新宋体"/>
        </w:rPr>
        <w:t>2026 年的进展进一步扩展了数据与任务范围。An 等提出 ProtAIDe-Dx，基于 17,187 名患者及对照的血浆蛋白组开展六种痴呆相关状况的联合建模，并分析共存病理线索[9]。同年 7 月发布的 COME 预印本则针对多中心异质性，将中心来源和模态可用性等元信息纳入模型，并在七个独立队列上评价[10]。两者提示，当前前沿也包括跨中心适用性和多病理信息利用；这些结果不能直接证明某个 RAG 或多智能体机制有效。</w:t>
      </w:r>
    </w:p>
    <w:p w14:paraId="7AF8C4F2">
      <w:pPr>
        <w:pStyle w:val="4"/>
        <w:rPr>
          <w:rFonts w:hint="eastAsia" w:ascii="新宋体" w:hAnsi="新宋体" w:eastAsia="新宋体" w:cs="新宋体"/>
        </w:rPr>
      </w:pPr>
      <w:r>
        <w:rPr>
          <w:rFonts w:hint="eastAsia" w:ascii="新宋体" w:hAnsi="新宋体" w:eastAsia="新宋体" w:cs="新宋体"/>
        </w:rPr>
        <w:t>3.2 缺失模态处理应与缺失事实管理区分</w:t>
      </w:r>
    </w:p>
    <w:p w14:paraId="7B75E2E2">
      <w:pPr>
        <w:widowControl/>
        <w:rPr>
          <w:rFonts w:hint="eastAsia" w:ascii="新宋体" w:hAnsi="新宋体" w:eastAsia="新宋体" w:cs="新宋体"/>
        </w:rPr>
      </w:pPr>
      <w:r>
        <w:rPr>
          <w:rFonts w:hint="eastAsia" w:ascii="新宋体" w:hAnsi="新宋体" w:eastAsia="新宋体" w:cs="新宋体"/>
        </w:rPr>
        <w:t>E2AD 于 2026 年发表于 Medical Image Analysis，其训练阶段利用配对 MRI—PET 数据，通过解剖与关系感知蒸馏改善仅有 MRI 时的模型表现，并在 ADNI、AIBL 和 NACC 队列上开展评价。该研究还将模型解剖注意信息用于结构化报告生成[11]。这种方法的重点是跨模态学习与部署输入成本，不等于在患者记录中获得了真实 PET 检查结果。</w:t>
      </w:r>
    </w:p>
    <w:p w14:paraId="431C30CF">
      <w:pPr>
        <w:widowControl/>
        <w:rPr>
          <w:rFonts w:hint="eastAsia" w:ascii="新宋体" w:hAnsi="新宋体" w:eastAsia="新宋体" w:cs="新宋体"/>
        </w:rPr>
      </w:pPr>
      <w:r>
        <w:rPr>
          <w:rFonts w:hint="eastAsia" w:ascii="新宋体" w:hAnsi="新宋体" w:eastAsia="新宋体" w:cs="新宋体"/>
        </w:rPr>
        <w:t>NeuroGRA 首期主要接收影像报告或已有工具输出，与训练原始影像模型的研究不同。系统需要记录报告来源、检查时间以及工具的输入和输出边界；对于缺失 PET、缺失量表或缺失病史，应保留未知状态。即使某预测工具能够在缺失模态下运行，也不能由其预测结果反向编造对应模态的观测。这一要求为“患者资料缺口”与“医学知识缺口”的分离提供了基础。</w:t>
      </w:r>
    </w:p>
    <w:p w14:paraId="506390B0">
      <w:pPr>
        <w:pStyle w:val="4"/>
        <w:rPr>
          <w:rFonts w:hint="eastAsia" w:ascii="新宋体" w:hAnsi="新宋体" w:eastAsia="新宋体" w:cs="新宋体"/>
        </w:rPr>
      </w:pPr>
      <w:r>
        <w:rPr>
          <w:rFonts w:hint="eastAsia" w:ascii="新宋体" w:hAnsi="新宋体" w:eastAsia="新宋体" w:cs="新宋体"/>
        </w:rPr>
        <w:t>3.3 纵向病历与专病智能体已有实质性进展</w:t>
      </w:r>
    </w:p>
    <w:p w14:paraId="3D65C04A">
      <w:pPr>
        <w:widowControl/>
        <w:rPr>
          <w:rFonts w:hint="eastAsia" w:ascii="新宋体" w:hAnsi="新宋体" w:eastAsia="新宋体" w:cs="新宋体"/>
        </w:rPr>
      </w:pPr>
      <w:r>
        <w:rPr>
          <w:rFonts w:hint="eastAsia" w:ascii="新宋体" w:hAnsi="新宋体" w:eastAsia="新宋体" w:cs="新宋体"/>
        </w:rPr>
        <w:t>CARE-AD 将纵向临床记录组织为症状画像，再由多个专科角色分析并综合 AD 风险。其研究使用 VHA 数据，评价集包含 1,000 名 AD 病例和 3,627 名对照；目标与首次记录 AD 诊断编码之前的预测有关，因此不能表述为提前多年确认病理性 AD。该研究的样本人群、编码结局和回顾性设计，也限制了其结果向普通记忆门诊的直接外推[12]。</w:t>
      </w:r>
    </w:p>
    <w:p w14:paraId="472D60B1">
      <w:pPr>
        <w:widowControl/>
        <w:rPr>
          <w:rFonts w:hint="eastAsia" w:ascii="新宋体" w:hAnsi="新宋体" w:eastAsia="新宋体" w:cs="新宋体"/>
        </w:rPr>
      </w:pPr>
      <w:r>
        <w:rPr>
          <w:rFonts w:hint="eastAsia" w:ascii="新宋体" w:hAnsi="新宋体" w:eastAsia="新宋体" w:cs="新宋体"/>
        </w:rPr>
        <w:t>ADAgent 将推理引擎、医学工具和结果协调模块结合，用于 AD 诊断与预后任务[13]。2026 年 AD-CARE 预印本进一步报告在六个队列、10,303 个病例上的指南约束评估，支持不补全缺失模态的工具调度和报告生成，并开展读者研究。其局限部分明确指出标签主要为认知正常、MCI 和 AD 痴呆，向 FTD、血管性认知障碍及路易体病的推广仍需验证[14]。因此，该文是系统形态上的直接相关研究，但不能当作多病因鉴别已全部解决的证据。</w:t>
      </w:r>
    </w:p>
    <w:p w14:paraId="54186683">
      <w:pPr>
        <w:widowControl/>
        <w:rPr>
          <w:rFonts w:hint="eastAsia" w:ascii="新宋体" w:hAnsi="新宋体" w:eastAsia="新宋体" w:cs="新宋体"/>
        </w:rPr>
      </w:pPr>
      <w:r>
        <w:rPr>
          <w:rFonts w:hint="eastAsia" w:ascii="新宋体" w:hAnsi="新宋体" w:eastAsia="新宋体" w:cs="新宋体"/>
        </w:rPr>
        <w:t>AD-Reasoning 将结构 MRI、六类临床模态、规则校验与强化微调结合，并构建基于 ADNI/AIBL 的 10,378 次访视多模态问答数据[15]。Cerebra 则组织 EHR、病历文本和影像分析智能体，在多个医疗系统数据上研究痴呆风险、诊断与生存任务，并提供医生交互界面[16]。这些工作使“加入多模态、指南和智能体”本身难以构成充分的新颖性论证。与此同时，预印本中的多队列结果、读者研究与前瞻性临床部署仍是不同证据层级，需要分别表述。</w:t>
      </w:r>
    </w:p>
    <w:p w14:paraId="17539B7E">
      <w:pPr>
        <w:pStyle w:val="3"/>
        <w:rPr>
          <w:rFonts w:hint="eastAsia" w:ascii="新宋体" w:hAnsi="新宋体" w:eastAsia="新宋体" w:cs="新宋体"/>
        </w:rPr>
      </w:pPr>
      <w:r>
        <w:rPr>
          <w:rFonts w:hint="eastAsia" w:ascii="新宋体" w:hAnsi="新宋体" w:eastAsia="新宋体" w:cs="新宋体"/>
        </w:rPr>
        <w:t>4 医学检索增强生成与图谱检索的研究进展</w:t>
      </w:r>
    </w:p>
    <w:p w14:paraId="14BF3FD1">
      <w:pPr>
        <w:pStyle w:val="4"/>
        <w:rPr>
          <w:rFonts w:hint="eastAsia" w:ascii="新宋体" w:hAnsi="新宋体" w:eastAsia="新宋体" w:cs="新宋体"/>
        </w:rPr>
      </w:pPr>
      <w:r>
        <w:rPr>
          <w:rFonts w:hint="eastAsia" w:ascii="新宋体" w:hAnsi="新宋体" w:eastAsia="新宋体" w:cs="新宋体"/>
        </w:rPr>
        <w:t>4.1 强文本检索仍是必要的竞争基线</w:t>
      </w:r>
    </w:p>
    <w:p w14:paraId="0D11E932">
      <w:pPr>
        <w:widowControl/>
        <w:rPr>
          <w:rFonts w:hint="eastAsia" w:ascii="新宋体" w:hAnsi="新宋体" w:eastAsia="新宋体" w:cs="新宋体"/>
        </w:rPr>
      </w:pPr>
      <w:r>
        <w:rPr>
          <w:rFonts w:hint="eastAsia" w:ascii="新宋体" w:hAnsi="新宋体" w:eastAsia="新宋体" w:cs="新宋体"/>
        </w:rPr>
        <w:t>医学 RAG 的效果取决于语料覆盖、检索器、上下文组织和生成模型的共同作用。Xiong 等提出 MIRAGE 医学 RAG 基准与 MedRAG 工具包，在多种语料、检索器和模型组合上进行比较，并报告上下文规模效应及长上下文中的位置影响[17]。该 MedRAG 是医学 RAG 实验工具包，与 Zhao 等的同名图谱诊断方法应明确区分。</w:t>
      </w:r>
    </w:p>
    <w:p w14:paraId="671EA5BD">
      <w:pPr>
        <w:widowControl/>
        <w:rPr>
          <w:rFonts w:hint="eastAsia" w:ascii="新宋体" w:hAnsi="新宋体" w:eastAsia="新宋体" w:cs="新宋体"/>
        </w:rPr>
      </w:pPr>
      <w:r>
        <w:rPr>
          <w:rFonts w:hint="eastAsia" w:ascii="新宋体" w:hAnsi="新宋体" w:eastAsia="新宋体" w:cs="新宋体"/>
        </w:rPr>
        <w:t>据此，NeuroGRA 不能只与弱向量检索进行比较。BM25、向量检索、排序融合及重排应组成有竞争力的混合文本基线；图检索与新方法必须使用同一版知识语料。对鉴别诊断而言，一段文本与疾病名称高度相关，并不意味着它能够区分两个候选病因。最终需要评价的是关键差异条款和适用限制是否被召回，而不是只计算回答是否流畅或上下文是否足够长。</w:t>
      </w:r>
    </w:p>
    <w:p w14:paraId="35050FEF">
      <w:pPr>
        <w:pStyle w:val="4"/>
        <w:rPr>
          <w:rFonts w:hint="eastAsia" w:ascii="新宋体" w:hAnsi="新宋体" w:eastAsia="新宋体" w:cs="新宋体"/>
        </w:rPr>
      </w:pPr>
      <w:r>
        <w:rPr>
          <w:rFonts w:hint="eastAsia" w:ascii="新宋体" w:hAnsi="新宋体" w:eastAsia="新宋体" w:cs="新宋体"/>
        </w:rPr>
        <w:t>4.2 图结构改善知识组织但不能替代证据核验</w:t>
      </w:r>
    </w:p>
    <w:p w14:paraId="2B362C24">
      <w:pPr>
        <w:widowControl/>
        <w:rPr>
          <w:rFonts w:hint="eastAsia" w:ascii="新宋体" w:hAnsi="新宋体" w:eastAsia="新宋体" w:cs="新宋体"/>
        </w:rPr>
      </w:pPr>
      <w:r>
        <w:rPr>
          <w:rFonts w:hint="eastAsia" w:ascii="新宋体" w:hAnsi="新宋体" w:eastAsia="新宋体" w:cs="新宋体"/>
        </w:rPr>
        <w:t>Soman 等基于 SPOKE 生物医学知识图谱构建 KG-RAG，通过实体相关上下文抽取和裁剪组织提示，研究了医学问答表现与 token 使用效率[18]。MedGraphRAG 则使用 Triple Graph Construction 和 U-Retrieval，将用户文档与可信医学来源关联，并结合检索和回答优化，在医学问答、健康事实核查及长文本生成任务上验证[19]。这两条路线说明，图谱既可以作为概念关系索引，也可以用于建立文档之间的来源联系。</w:t>
      </w:r>
    </w:p>
    <w:p w14:paraId="3DCE9A66">
      <w:pPr>
        <w:widowControl/>
        <w:rPr>
          <w:rFonts w:hint="eastAsia" w:ascii="新宋体" w:hAnsi="新宋体" w:eastAsia="新宋体" w:cs="新宋体"/>
        </w:rPr>
      </w:pPr>
      <w:r>
        <w:rPr>
          <w:rFonts w:hint="eastAsia" w:ascii="新宋体" w:hAnsi="新宋体" w:eastAsia="新宋体" w:cs="新宋体"/>
        </w:rPr>
        <w:t>需要区分领域知识图、文档或实体索引图，以及智能体通信图。三者分别表示医学关系、检索组织关系和工作流关系，不能因为都具有节点与边就当作同一种创新。图路径也不天然具有临床因果含义：经由“疾病—症状—检查”的路径得到一个候选，只说明检索过程使用了这些连接，仍需要核对边的原始出处、诊断作用和适用条件。</w:t>
      </w:r>
    </w:p>
    <w:p w14:paraId="4A76F4D4">
      <w:pPr>
        <w:widowControl/>
        <w:rPr>
          <w:rFonts w:hint="eastAsia" w:ascii="新宋体" w:hAnsi="新宋体" w:eastAsia="新宋体" w:cs="新宋体"/>
        </w:rPr>
      </w:pPr>
      <w:r>
        <w:rPr>
          <w:rFonts w:hint="eastAsia" w:ascii="新宋体" w:hAnsi="新宋体" w:eastAsia="新宋体" w:cs="新宋体"/>
        </w:rPr>
        <w:t>HippoRAG 2 通过更充分的篇章整合和在线筛选改进图引导的检索，可作为通用图检索的竞争方法[20]。但 GraphRAG-Bench 的研究指出，图结构的收益与任务性质、图构建质量和检索方式有关，不能预设 GraphRAG 在所有任务上优于普通 RAG[21]。因此，NeuroGRA 应报告哪些候选病因对和哪些条款类型从图结构获益，并分析图抽取错误、邻域扩展噪声及建设成本。</w:t>
      </w:r>
    </w:p>
    <w:p w14:paraId="4308FF12">
      <w:pPr>
        <w:pStyle w:val="4"/>
        <w:rPr>
          <w:rFonts w:hint="eastAsia" w:ascii="新宋体" w:hAnsi="新宋体" w:eastAsia="新宋体" w:cs="新宋体"/>
        </w:rPr>
      </w:pPr>
      <w:r>
        <w:rPr>
          <w:rFonts w:hint="eastAsia" w:ascii="新宋体" w:hAnsi="新宋体" w:eastAsia="新宋体" w:cs="新宋体"/>
        </w:rPr>
        <w:t>4.3 疾病差异与证据适用性已有直接相关方法</w:t>
      </w:r>
    </w:p>
    <w:p w14:paraId="392FEB17">
      <w:pPr>
        <w:widowControl/>
        <w:rPr>
          <w:rFonts w:hint="eastAsia" w:ascii="新宋体" w:hAnsi="新宋体" w:eastAsia="新宋体" w:cs="新宋体"/>
        </w:rPr>
      </w:pPr>
      <w:r>
        <w:rPr>
          <w:rFonts w:hint="eastAsia" w:ascii="新宋体" w:hAnsi="新宋体" w:eastAsia="新宋体" w:cs="新宋体"/>
        </w:rPr>
        <w:t>Zhao 等的 MedRAG 构建四层诊断知识图谱，将疾病间关键差异与相似电子病历检索结合，并提供后续提问，在 DDXPlus 和慢性疼痛数据上开展评价[22]。该研究与本课题的鉴别证据检索具有明确重叠：候选疾病差异、层级诊断知识及追问都已经被纳入既有方法。因此，本课题不能将“用图谱检索鉴别信息”表述为首次提出。</w:t>
      </w:r>
    </w:p>
    <w:p w14:paraId="40862A16">
      <w:pPr>
        <w:widowControl/>
        <w:rPr>
          <w:rFonts w:hint="eastAsia" w:ascii="新宋体" w:hAnsi="新宋体" w:eastAsia="新宋体" w:cs="新宋体"/>
        </w:rPr>
      </w:pPr>
      <w:r>
        <w:rPr>
          <w:rFonts w:hint="eastAsia" w:ascii="新宋体" w:hAnsi="新宋体" w:eastAsia="新宋体" w:cs="新宋体"/>
        </w:rPr>
        <w:t>META-RAG 进一步以可靠性、异质性和外推性为依据过滤与重排医学证据，其中外推性分析比较问题背景与证据中的人群、干预和结局等信息[23]。这意味着“适用性重排”也不能被当作尚无先例。NeuroGRA 可以研究更具体的诊断层级、检查方法、病因对和条件未知状态，但应与适用性重排进行直接比较，证明新增信息确实改善了鉴别条款覆盖，而非仅改变了特征命名。</w:t>
      </w:r>
    </w:p>
    <w:p w14:paraId="2E12B754">
      <w:pPr>
        <w:widowControl/>
        <w:rPr>
          <w:rFonts w:hint="eastAsia" w:ascii="新宋体" w:hAnsi="新宋体" w:eastAsia="新宋体" w:cs="新宋体"/>
        </w:rPr>
      </w:pPr>
      <w:r>
        <w:rPr>
          <w:rFonts w:hint="eastAsia" w:ascii="新宋体" w:hAnsi="新宋体" w:eastAsia="新宋体" w:cs="新宋体"/>
        </w:rPr>
        <w:t>另一项基础是最大边际相关性（MMR）：该方法在相关性与结果多样性之间进行权衡，早已为检索去冗余提供了通用思路[24]。本课题的集合选择若要形成方法贡献，需要说明它所覆盖的对象是审核过的鉴别需求与限制条件，并在相同候选池、相同 token 预算下与 Top-k 和 MMR 对照。简单增加覆盖奖励、重复惩罚或贪心算法，并不足以独立证明新颖性。</w:t>
      </w:r>
    </w:p>
    <w:p w14:paraId="69CEBAC2">
      <w:pPr>
        <w:pStyle w:val="4"/>
        <w:rPr>
          <w:rFonts w:hint="eastAsia" w:ascii="新宋体" w:hAnsi="新宋体" w:eastAsia="新宋体" w:cs="新宋体"/>
        </w:rPr>
      </w:pPr>
      <w:r>
        <w:rPr>
          <w:rFonts w:hint="eastAsia" w:ascii="新宋体" w:hAnsi="新宋体" w:eastAsia="新宋体" w:cs="新宋体"/>
        </w:rPr>
        <w:t>4.4 知识更新需要保存版本而非只扩充图谱规模</w:t>
      </w:r>
    </w:p>
    <w:p w14:paraId="0E8B8543">
      <w:pPr>
        <w:widowControl/>
        <w:rPr>
          <w:rFonts w:hint="eastAsia" w:ascii="新宋体" w:hAnsi="新宋体" w:eastAsia="新宋体" w:cs="新宋体"/>
        </w:rPr>
      </w:pPr>
      <w:r>
        <w:rPr>
          <w:rFonts w:hint="eastAsia" w:ascii="新宋体" w:hAnsi="新宋体" w:eastAsia="新宋体" w:cs="新宋体"/>
        </w:rPr>
        <w:t>MedKGent 于 2026 年 8 月发布期刊在线文章，通过抽取与构建两个智能体增量组织时序医学知识图谱，并在医学问答任务上评价。其实验语料来自 1975—2023 年的 PubMed 摘要，因此“2026 年发表”“模拟逐日增量构建”和“已实时覆盖 2026 年医学知识”是三个不同概念[25]。</w:t>
      </w:r>
    </w:p>
    <w:p w14:paraId="385B3200">
      <w:pPr>
        <w:widowControl/>
        <w:rPr>
          <w:rFonts w:hint="eastAsia" w:ascii="新宋体" w:hAnsi="新宋体" w:eastAsia="新宋体" w:cs="新宋体"/>
        </w:rPr>
      </w:pPr>
      <w:r>
        <w:rPr>
          <w:rFonts w:hint="eastAsia" w:ascii="新宋体" w:hAnsi="新宋体" w:eastAsia="新宋体" w:cs="新宋体"/>
        </w:rPr>
        <w:t>对 NeuroGRA 而言，知识更新应保存指南版本、来源段落、生效或适用时间，以及被替代条款与新条款之间的关系。新文献可以扩充知识，但不能按年份自动压倒指南，也不能将反复出现的同源内容当作多份独立证据。正式评价期间还应冻结知识库快照，使不同方法面对同一知识条件，避免后运行的方法因为更新语料而获得额外优势。</w:t>
      </w:r>
    </w:p>
    <w:p w14:paraId="738DC255">
      <w:pPr>
        <w:pStyle w:val="3"/>
        <w:rPr>
          <w:rFonts w:hint="eastAsia" w:ascii="新宋体" w:hAnsi="新宋体" w:eastAsia="新宋体" w:cs="新宋体"/>
        </w:rPr>
      </w:pPr>
      <w:r>
        <w:rPr>
          <w:rFonts w:hint="eastAsia" w:ascii="新宋体" w:hAnsi="新宋体" w:eastAsia="新宋体" w:cs="新宋体"/>
        </w:rPr>
        <w:t>5 证据复核与多智能体协作的研究进展</w:t>
      </w:r>
    </w:p>
    <w:p w14:paraId="211CEBAE">
      <w:pPr>
        <w:pStyle w:val="4"/>
        <w:rPr>
          <w:rFonts w:hint="eastAsia" w:ascii="新宋体" w:hAnsi="新宋体" w:eastAsia="新宋体" w:cs="新宋体"/>
        </w:rPr>
      </w:pPr>
      <w:r>
        <w:rPr>
          <w:rFonts w:hint="eastAsia" w:ascii="新宋体" w:hAnsi="新宋体" w:eastAsia="新宋体" w:cs="新宋体"/>
        </w:rPr>
        <w:t>5.1 从固定检索转向质量评估与反馈检索</w:t>
      </w:r>
    </w:p>
    <w:p w14:paraId="45FD705F">
      <w:pPr>
        <w:widowControl/>
        <w:rPr>
          <w:rFonts w:hint="eastAsia" w:ascii="新宋体" w:hAnsi="新宋体" w:eastAsia="新宋体" w:cs="新宋体"/>
        </w:rPr>
      </w:pPr>
      <w:r>
        <w:rPr>
          <w:rFonts w:hint="eastAsia" w:ascii="新宋体" w:hAnsi="新宋体" w:eastAsia="新宋体" w:cs="新宋体"/>
        </w:rPr>
        <w:t>Self-RAG 通过训练反思标记组织按需检索、生成与自我评价；Corrective RAG 则使用检索质量评价器触发不同的检索纠正动作[26][27]。这些研究表明，根据当前信息质量改变后续检索，并不是新近才出现的想法。但通用反思或文档相关性评分并不必然区分患者资料缺失、知识条款缺失和临床条件不满足，这为专病任务定义留下了研究空间。</w:t>
      </w:r>
    </w:p>
    <w:p w14:paraId="15D8B75D">
      <w:pPr>
        <w:widowControl/>
        <w:rPr>
          <w:rFonts w:hint="eastAsia" w:ascii="新宋体" w:hAnsi="新宋体" w:eastAsia="新宋体" w:cs="新宋体"/>
        </w:rPr>
      </w:pPr>
      <w:r>
        <w:rPr>
          <w:rFonts w:hint="eastAsia" w:ascii="新宋体" w:hAnsi="新宋体" w:eastAsia="新宋体" w:cs="新宋体"/>
        </w:rPr>
        <w:t>M-Eval 将生成回答分解为待核查主张，补充外部医学文献，并借鉴异质性分析考察多份证据对结论的支持。作者也指出其过程是对传统荟萃分析的近似，不能等同于对临床研究效应量完成了标准统计整合[28]。这一工作说明，新增证据与已有回答之间的支持关系本身已成为研究对象。NeuroGRA 需要进一步关注哪项患者结论受影响、哪些条件仍未知，以及核验后该结论应保留、弱化还是撤回。</w:t>
      </w:r>
    </w:p>
    <w:p w14:paraId="26E94EF7">
      <w:pPr>
        <w:pStyle w:val="4"/>
        <w:rPr>
          <w:rFonts w:hint="eastAsia" w:ascii="新宋体" w:hAnsi="新宋体" w:eastAsia="新宋体" w:cs="新宋体"/>
        </w:rPr>
      </w:pPr>
      <w:r>
        <w:rPr>
          <w:rFonts w:hint="eastAsia" w:ascii="新宋体" w:hAnsi="新宋体" w:eastAsia="新宋体" w:cs="新宋体"/>
        </w:rPr>
        <w:t>5.2 2026 年研究已实现证据缺口驱动的医学检索</w:t>
      </w:r>
    </w:p>
    <w:p w14:paraId="5BBFB97D">
      <w:pPr>
        <w:widowControl/>
        <w:rPr>
          <w:rFonts w:hint="eastAsia" w:ascii="新宋体" w:hAnsi="新宋体" w:eastAsia="新宋体" w:cs="新宋体"/>
        </w:rPr>
      </w:pPr>
      <w:r>
        <w:rPr>
          <w:rFonts w:hint="eastAsia" w:ascii="新宋体" w:hAnsi="新宋体" w:eastAsia="新宋体" w:cs="新宋体"/>
        </w:rPr>
        <w:t>SEMA-RAG 于 2026 年 7 月发表于 ACL Findings，通过解释、探索与裁决三个角色分解任务。其探索模块根据临床约束、当前查询和累积证据判断充分性，输出缺口描述与下一轮查询；裁决模块组织支持、反驳及冲突信息，并保留来源标识。其主要评价对象为五类医学问答基准[29]。因此，“证据不足时再次检索”和“多智能体构成证据闭环”已经是本课题必须面对的直接竞争方案。</w:t>
      </w:r>
    </w:p>
    <w:p w14:paraId="6F656656">
      <w:pPr>
        <w:widowControl/>
        <w:rPr>
          <w:rFonts w:hint="eastAsia" w:ascii="新宋体" w:hAnsi="新宋体" w:eastAsia="新宋体" w:cs="新宋体"/>
        </w:rPr>
      </w:pPr>
      <w:r>
        <w:rPr>
          <w:rFonts w:hint="eastAsia" w:ascii="新宋体" w:hAnsi="新宋体" w:eastAsia="新宋体" w:cs="新宋体"/>
        </w:rPr>
        <w:t>同一时期的 Med-SRAF 使用 UMLS 约束的语义维度进行查询路由，再融合不同维度证据并处理冲突[30]。该方向表明，最新医疗 RAG 已将临床意图约束、结构化查询和冲突融合纳入方法，而不只是拼接文本。NeuroGRA 若仅增加病史、影像、量表等角色，仍不足以与这些方法形成清晰差别。</w:t>
      </w:r>
    </w:p>
    <w:p w14:paraId="1A8E60A7">
      <w:pPr>
        <w:widowControl/>
        <w:rPr>
          <w:rFonts w:hint="eastAsia" w:ascii="新宋体" w:hAnsi="新宋体" w:eastAsia="新宋体" w:cs="新宋体"/>
        </w:rPr>
      </w:pPr>
      <w:r>
        <w:rPr>
          <w:rFonts w:hint="eastAsia" w:ascii="新宋体" w:hAnsi="新宋体" w:eastAsia="新宋体" w:cs="新宋体"/>
        </w:rPr>
        <w:t>在此背景下，证据状态引导复核的研究对象应具体到可检查的状态与动作映射：面对鉴别条款缺失，生成指定候选对的检索请求；面对适用条件未知，检索条件并限制对应结论；面对患者资料缺失，仅补取实际存在的记录，或保留未决；面对可比证据张力，核对时间、检测方法与判断层级，再决定是否需要替代解释。这一定位是结合现有研究提出的待验证切入点，不能据此预先宣称优于已有反馈检索。</w:t>
      </w:r>
    </w:p>
    <w:p w14:paraId="79C24C77">
      <w:pPr>
        <w:pStyle w:val="4"/>
        <w:rPr>
          <w:rFonts w:hint="eastAsia" w:ascii="新宋体" w:hAnsi="新宋体" w:eastAsia="新宋体" w:cs="新宋体"/>
        </w:rPr>
      </w:pPr>
      <w:r>
        <w:rPr>
          <w:rFonts w:hint="eastAsia" w:ascii="新宋体" w:hAnsi="新宋体" w:eastAsia="新宋体" w:cs="新宋体"/>
        </w:rPr>
        <w:t>5.3 多智能体逐渐强调工具执行与论证结构</w:t>
      </w:r>
    </w:p>
    <w:p w14:paraId="2AC230EF">
      <w:pPr>
        <w:widowControl/>
        <w:rPr>
          <w:rFonts w:hint="eastAsia" w:ascii="新宋体" w:hAnsi="新宋体" w:eastAsia="新宋体" w:cs="新宋体"/>
        </w:rPr>
      </w:pPr>
      <w:r>
        <w:rPr>
          <w:rFonts w:hint="eastAsia" w:ascii="新宋体" w:hAnsi="新宋体" w:eastAsia="新宋体" w:cs="新宋体"/>
        </w:rPr>
        <w:t>MedAgent-Pro 将任务层指南计划与病例层工具执行结合，让不同工具提供定量或定性发现，再组织诊断判断；其正式会议记录已可检索到 ICLR 2026，继续只写为 2025 年预印本会遗漏出版状态变化[31]。ColaCare 则将 EHR 专家模型、解释信息和多智能体协作联系起来，研究的是患者预测模型与语言分析的协同[32]。这些工作支持以结构化中间结果组织角色，但不能证明任何角色划分都会产生额外收益。</w:t>
      </w:r>
    </w:p>
    <w:p w14:paraId="3B66C01F">
      <w:pPr>
        <w:widowControl/>
        <w:rPr>
          <w:rFonts w:hint="eastAsia" w:ascii="新宋体" w:hAnsi="新宋体" w:eastAsia="新宋体" w:cs="新宋体"/>
        </w:rPr>
      </w:pPr>
      <w:r>
        <w:rPr>
          <w:rFonts w:hint="eastAsia" w:ascii="新宋体" w:hAnsi="新宋体" w:eastAsia="新宋体" w:cs="新宋体"/>
        </w:rPr>
        <w:t>ArgMed-Agents 通过论证方案与冲突图组织临床推理，使用符号求解获得相容论证[33]。MedCollab 的 2026 年 9 月 11 日 v4 使用 IBIS 论证协议、分层疾病关系链和验证器引导的协同，强调可追溯证据及不同报告组成之间的一致性[34]。其分层疾病关系表达不应被直接解释为已完成因果识别。</w:t>
      </w:r>
    </w:p>
    <w:p w14:paraId="18ABCF43">
      <w:pPr>
        <w:widowControl/>
        <w:rPr>
          <w:rFonts w:hint="eastAsia" w:ascii="新宋体" w:hAnsi="新宋体" w:eastAsia="新宋体" w:cs="新宋体"/>
        </w:rPr>
      </w:pPr>
      <w:r>
        <w:rPr>
          <w:rFonts w:hint="eastAsia" w:ascii="新宋体" w:hAnsi="新宋体" w:eastAsia="新宋体" w:cs="新宋体"/>
        </w:rPr>
        <w:t>多智能体的潜在收益可能来自任务分工、工具使用、额外检索或更多推理预算，必须通过实验分离。NeuroGRA 应先比较同一模型的单智能体与多角色版本，再控制知识库、病例输入、累计调用和 token 消耗。多个角色重复引用同一段指南，只构成一次来源支持；同一基础模型的多个角色意见相同，也不能自动视为独立医学共识。</w:t>
      </w:r>
    </w:p>
    <w:p w14:paraId="1E93A48A">
      <w:pPr>
        <w:pStyle w:val="4"/>
        <w:rPr>
          <w:rFonts w:hint="eastAsia" w:ascii="新宋体" w:hAnsi="新宋体" w:eastAsia="新宋体" w:cs="新宋体"/>
        </w:rPr>
      </w:pPr>
      <w:r>
        <w:rPr>
          <w:rFonts w:hint="eastAsia" w:ascii="新宋体" w:hAnsi="新宋体" w:eastAsia="新宋体" w:cs="新宋体"/>
        </w:rPr>
        <w:t>5.4 国内研究提供了图谱校正与任务化实现基础</w:t>
      </w:r>
    </w:p>
    <w:p w14:paraId="3EB91B4C">
      <w:pPr>
        <w:widowControl/>
        <w:rPr>
          <w:rFonts w:hint="eastAsia" w:ascii="新宋体" w:hAnsi="新宋体" w:eastAsia="新宋体" w:cs="新宋体"/>
        </w:rPr>
      </w:pPr>
      <w:r>
        <w:rPr>
          <w:rFonts w:hint="eastAsia" w:ascii="新宋体" w:hAnsi="新宋体" w:eastAsia="新宋体" w:cs="新宋体"/>
        </w:rPr>
        <w:t>国内相关研究已经包含检索之后的校正，而不只是图谱展示。姚行志的学位论文研究医学关系抽取、实体对齐与图谱扩充，并将向量检索生成结果与图谱子图校正结合[35]。高福财提出全局修剪检索，通过图搜索和子图连接组织外部知识，同时引入声明分解及支持、反驳论证的事实核查[36]。刘览面向病案质检，将领域适配、外部知识库与图谱关系检索结合[37]。</w:t>
      </w:r>
    </w:p>
    <w:p w14:paraId="17822E0D">
      <w:pPr>
        <w:widowControl/>
        <w:rPr>
          <w:rFonts w:hint="eastAsia" w:ascii="新宋体" w:hAnsi="新宋体" w:eastAsia="新宋体" w:cs="新宋体"/>
        </w:rPr>
      </w:pPr>
      <w:r>
        <w:rPr>
          <w:rFonts w:hint="eastAsia" w:ascii="新宋体" w:hAnsi="新宋体" w:eastAsia="新宋体" w:cs="新宋体"/>
        </w:rPr>
        <w:t>这些工作分别说明知识构建、知识获取与结果校验可以形成任务化系统，但病案质检、医学选择题和真实多病因鉴别并非同一评价任务。中文文献应依据具体研究对象与证据评价，而不宜用“国内主要处于应用阶段、国外已经进入智能阶段”一类未经系统比较的概括。NeuroGRA 可以借鉴其实现路线，但需要独立验证鉴别覆盖和状态反馈两个具体问题。</w:t>
      </w:r>
    </w:p>
    <w:p w14:paraId="34B88163">
      <w:pPr>
        <w:pStyle w:val="3"/>
        <w:rPr>
          <w:rFonts w:hint="eastAsia" w:ascii="新宋体" w:hAnsi="新宋体" w:eastAsia="新宋体" w:cs="新宋体"/>
        </w:rPr>
      </w:pPr>
      <w:r>
        <w:rPr>
          <w:rFonts w:hint="eastAsia" w:ascii="新宋体" w:hAnsi="新宋体" w:eastAsia="新宋体" w:cs="新宋体"/>
        </w:rPr>
        <w:t>6 数据与评价如何决定研究结论的边界</w:t>
      </w:r>
    </w:p>
    <w:p w14:paraId="3ECD0B35">
      <w:pPr>
        <w:pStyle w:val="4"/>
        <w:rPr>
          <w:rFonts w:hint="eastAsia" w:ascii="新宋体" w:hAnsi="新宋体" w:eastAsia="新宋体" w:cs="新宋体"/>
        </w:rPr>
      </w:pPr>
      <w:r>
        <w:rPr>
          <w:rFonts w:hint="eastAsia" w:ascii="新宋体" w:hAnsi="新宋体" w:eastAsia="新宋体" w:cs="新宋体"/>
        </w:rPr>
        <w:t>6.1 认知状态标签不能替代多病因标签</w:t>
      </w:r>
    </w:p>
    <w:p w14:paraId="4FAE61CA">
      <w:pPr>
        <w:widowControl/>
        <w:rPr>
          <w:rFonts w:hint="eastAsia" w:ascii="新宋体" w:hAnsi="新宋体" w:eastAsia="新宋体" w:cs="新宋体"/>
        </w:rPr>
      </w:pPr>
      <w:r>
        <w:rPr>
          <w:rFonts w:hint="eastAsia" w:ascii="新宋体" w:hAnsi="新宋体" w:eastAsia="新宋体" w:cs="新宋体"/>
        </w:rPr>
        <w:t>NACC 的研究者指南明确区分认知状态变量与病因诊断变量，并说明部分研究问题需要联合使用两类字段；其影像、病理及扩展模块并不意味着每名参与者都有完整记录[38]。ADNI 则提供多阶段的纵向临床、影像和生物标志物数据，适合 AD 相关问题，但数据申请、字段版本与缺失情况仍需实际确认[39]。不能因为两个数据源都包含 AD 患者，就把其任务定义和标签视为完全一致。</w:t>
      </w:r>
    </w:p>
    <w:p w14:paraId="5C0649E0">
      <w:pPr>
        <w:widowControl/>
        <w:rPr>
          <w:rFonts w:hint="eastAsia" w:ascii="新宋体" w:hAnsi="新宋体" w:eastAsia="新宋体" w:cs="新宋体"/>
        </w:rPr>
      </w:pPr>
      <w:r>
        <w:rPr>
          <w:rFonts w:hint="eastAsia" w:ascii="新宋体" w:hAnsi="新宋体" w:eastAsia="新宋体" w:cs="新宋体"/>
        </w:rPr>
        <w:t>真实病例可验证的能力应由实际获批标签决定。若只有认知正常、MCI 和 AD 等标签，就不能据此报告 DLB、FTLD 或血管性贡献的多病因性能。未记录某病因也不等于该病因阴性。患者多次访视及其派生查询应保持在同一数据划分中，并排除目标诊断结论和预测时点之后的信息，防止答案从病历文本或时间窗口泄漏。</w:t>
      </w:r>
    </w:p>
    <w:p w14:paraId="5CA632D9">
      <w:pPr>
        <w:pStyle w:val="4"/>
        <w:rPr>
          <w:rFonts w:hint="eastAsia" w:ascii="新宋体" w:hAnsi="新宋体" w:eastAsia="新宋体" w:cs="新宋体"/>
        </w:rPr>
      </w:pPr>
      <w:r>
        <w:rPr>
          <w:rFonts w:hint="eastAsia" w:ascii="新宋体" w:hAnsi="新宋体" w:eastAsia="新宋体" w:cs="新宋体"/>
        </w:rPr>
        <w:t>6.2 评价应分别覆盖检索证据与结论支持</w:t>
      </w:r>
    </w:p>
    <w:p w14:paraId="6EACC59F">
      <w:pPr>
        <w:widowControl/>
        <w:rPr>
          <w:rFonts w:hint="eastAsia" w:ascii="新宋体" w:hAnsi="新宋体" w:eastAsia="新宋体" w:cs="新宋体"/>
        </w:rPr>
      </w:pPr>
      <w:r>
        <w:rPr>
          <w:rFonts w:hint="eastAsia" w:ascii="新宋体" w:hAnsi="新宋体" w:eastAsia="新宋体" w:cs="新宋体"/>
        </w:rPr>
        <w:t>医学选择题准确率只反映给定问题的答案选择，不能独立说明系统找到了合适的临床证据。Li 等在 2026 年的证据感知 RAG 压缩研究中，观察到答案正确性与引用依据保真度可能产生明显分离；该研究基于通用问答场景，不能直接移植其数值到医疗领域，但提示上下文裁剪需要单独评价证据保留[40]。</w:t>
      </w:r>
    </w:p>
    <w:p w14:paraId="64B4A723">
      <w:pPr>
        <w:widowControl/>
        <w:rPr>
          <w:rFonts w:hint="eastAsia" w:ascii="新宋体" w:hAnsi="新宋体" w:eastAsia="新宋体" w:cs="新宋体"/>
        </w:rPr>
      </w:pPr>
      <w:r>
        <w:rPr>
          <w:rFonts w:hint="eastAsia" w:ascii="新宋体" w:hAnsi="新宋体" w:eastAsia="新宋体" w:cs="新宋体"/>
        </w:rPr>
        <w:t>因此，本课题宜分别报告检索层、结论层和病例层指标。检索层考察固定 token 预算下的鉴别条款覆盖、条件完整性与来源冗余；结论层考察引用是否支持具体表述、是否遗漏反证，以及条件未决时是否仍给出确定判断；病例层再按真实标签评价分类、多标签或风险预测。TRIPOD+AI 为临床预测模型的透明报告提供参考，但不能替代检索与生成系统专门的证据标注规范[41]。</w:t>
      </w:r>
    </w:p>
    <w:p w14:paraId="3E1186FC">
      <w:pPr>
        <w:widowControl/>
        <w:rPr>
          <w:rFonts w:hint="eastAsia" w:ascii="新宋体" w:hAnsi="新宋体" w:eastAsia="新宋体" w:cs="新宋体"/>
        </w:rPr>
      </w:pPr>
      <w:r>
        <w:rPr>
          <w:rFonts w:hint="eastAsia" w:ascii="新宋体" w:hAnsi="新宋体" w:eastAsia="新宋体" w:cs="新宋体"/>
        </w:rPr>
        <w:t>当前方案提出的 DEC@B 应明确为课题自定义指标：在预算 B 内，被检索证据正确覆盖的人工标注鉴别需求数占该查询全部适用需求的比例。判定覆盖不仅要求出现疾病名称，还需包含可定位原文及必要适用条件。该指标尚不是已经公认的临床终点，其有效性需要标注一致性、失败案例和与结论错误的关联分析支撑。</w:t>
      </w:r>
    </w:p>
    <w:p w14:paraId="41F37004">
      <w:pPr>
        <w:pStyle w:val="4"/>
        <w:rPr>
          <w:rFonts w:hint="eastAsia" w:ascii="新宋体" w:hAnsi="新宋体" w:eastAsia="新宋体" w:cs="新宋体"/>
        </w:rPr>
      </w:pPr>
      <w:r>
        <w:rPr>
          <w:rFonts w:hint="eastAsia" w:ascii="新宋体" w:hAnsi="新宋体" w:eastAsia="新宋体" w:cs="新宋体"/>
        </w:rPr>
        <w:t>6.3 安全性改善不能由增加拒答制造</w:t>
      </w:r>
    </w:p>
    <w:p w14:paraId="52459087">
      <w:pPr>
        <w:widowControl/>
        <w:rPr>
          <w:rFonts w:hint="eastAsia" w:ascii="新宋体" w:hAnsi="新宋体" w:eastAsia="新宋体" w:cs="新宋体"/>
        </w:rPr>
      </w:pPr>
      <w:r>
        <w:rPr>
          <w:rFonts w:hint="eastAsia" w:ascii="新宋体" w:hAnsi="新宋体" w:eastAsia="新宋体" w:cs="新宋体"/>
        </w:rPr>
        <w:t>证据不足时降低结论强度具有合理性，但如果系统通过大量不作答降低错误率，仍可能失去辅助价值。因此，复核评价应同时报告无依据强结论、已回答子集错误率、回答覆盖率、关键事实遗漏及新增成本。对“跨层兼容”的病例还应检查误报冲突，例如不能把 MCI 与 AD 病理支持视为互相否定。</w:t>
      </w:r>
    </w:p>
    <w:p w14:paraId="24658EAE">
      <w:pPr>
        <w:widowControl/>
        <w:rPr>
          <w:rFonts w:hint="eastAsia" w:ascii="新宋体" w:hAnsi="新宋体" w:eastAsia="新宋体" w:cs="新宋体"/>
        </w:rPr>
      </w:pPr>
      <w:r>
        <w:rPr>
          <w:rFonts w:hint="eastAsia" w:ascii="新宋体" w:hAnsi="新宋体" w:eastAsia="新宋体" w:cs="新宋体"/>
        </w:rPr>
        <w:t>数据规模较小的概念验证适合检验检索定义是否可操作、标注能否一致以及错误来自哪个环节。约 100 个鉴别查询或数十个冲突场景可以形成方法学证据，但不能证明临床有效性或患者获益。检索需求标注、规则选择与测试评价应隔离；若用语言模型预标注，仍需具备相关知识的人工复核，并报告标注资格和分歧处理方式。</w:t>
      </w:r>
    </w:p>
    <w:p w14:paraId="1D681A75">
      <w:pPr>
        <w:pStyle w:val="3"/>
        <w:rPr>
          <w:rFonts w:hint="eastAsia" w:ascii="新宋体" w:hAnsi="新宋体" w:eastAsia="新宋体" w:cs="新宋体"/>
        </w:rPr>
      </w:pPr>
      <w:r>
        <w:rPr>
          <w:rFonts w:hint="eastAsia" w:ascii="新宋体" w:hAnsi="新宋体" w:eastAsia="新宋体" w:cs="新宋体"/>
        </w:rPr>
        <w:t>7 与 NeuroGRA 课题对应的研究空间</w:t>
      </w:r>
    </w:p>
    <w:p w14:paraId="22557142">
      <w:pPr>
        <w:pStyle w:val="4"/>
        <w:rPr>
          <w:rFonts w:hint="eastAsia" w:ascii="新宋体" w:hAnsi="新宋体" w:eastAsia="新宋体" w:cs="新宋体"/>
        </w:rPr>
      </w:pPr>
      <w:r>
        <w:rPr>
          <w:rFonts w:hint="eastAsia" w:ascii="新宋体" w:hAnsi="新宋体" w:eastAsia="新宋体" w:cs="新宋体"/>
        </w:rPr>
        <w:t>7.1 鉴别检索需要从相关性提升走向条款覆盖</w:t>
      </w:r>
    </w:p>
    <w:p w14:paraId="27BA2892">
      <w:pPr>
        <w:widowControl/>
        <w:rPr>
          <w:rFonts w:hint="eastAsia" w:ascii="新宋体" w:hAnsi="新宋体" w:eastAsia="新宋体" w:cs="新宋体"/>
        </w:rPr>
      </w:pPr>
      <w:r>
        <w:rPr>
          <w:rFonts w:hint="eastAsia" w:ascii="新宋体" w:hAnsi="新宋体" w:eastAsia="新宋体" w:cs="新宋体"/>
        </w:rPr>
        <w:t>已有方法已分别研究图谱疾病差异、证据适用性和结果去冗余。NeuroGRA 可进一步将候选病因对、判断层级、检查条件和预算内集合选择联合起来，研究哪些证据能够改变候选之间的区分，而非仅增加疾病背景材料。例如，对于同样与 AD 相关的片段，涉及适用检测条件或替代病因限制的条款，可能比重复的症状概述更值得占用有限上下文。</w:t>
      </w:r>
    </w:p>
    <w:p w14:paraId="5B02C9B4">
      <w:pPr>
        <w:widowControl/>
        <w:rPr>
          <w:rFonts w:hint="eastAsia" w:ascii="新宋体" w:hAnsi="新宋体" w:eastAsia="新宋体" w:cs="新宋体"/>
        </w:rPr>
      </w:pPr>
      <w:r>
        <w:rPr>
          <w:rFonts w:hint="eastAsia" w:ascii="新宋体" w:hAnsi="新宋体" w:eastAsia="新宋体" w:cs="新宋体"/>
        </w:rPr>
        <w:t>这一切入点的关键不在于提出复杂的综合评分，而在于证明需求定义可复核、覆盖估计与人工金标准相分离，且收益并非来自语料差异。最小比较应包括强混合文本 RAG、通用图检索、同候选池 Top-k、MMR，以及适用性重排。候选对查询、条件特征和集合选择分别消融，才能判断增益出现在哪个环节。</w:t>
      </w:r>
    </w:p>
    <w:p w14:paraId="617DF1BC">
      <w:pPr>
        <w:pStyle w:val="4"/>
        <w:rPr>
          <w:rFonts w:hint="eastAsia" w:ascii="新宋体" w:hAnsi="新宋体" w:eastAsia="新宋体" w:cs="新宋体"/>
        </w:rPr>
      </w:pPr>
      <w:r>
        <w:rPr>
          <w:rFonts w:hint="eastAsia" w:ascii="新宋体" w:hAnsi="新宋体" w:eastAsia="新宋体" w:cs="新宋体"/>
        </w:rPr>
        <w:t>7.2 复核需要将未决项与受影响结论明确关联</w:t>
      </w:r>
    </w:p>
    <w:p w14:paraId="7F6FEBCB">
      <w:pPr>
        <w:widowControl/>
        <w:rPr>
          <w:rFonts w:hint="eastAsia" w:ascii="新宋体" w:hAnsi="新宋体" w:eastAsia="新宋体" w:cs="新宋体"/>
        </w:rPr>
      </w:pPr>
      <w:r>
        <w:rPr>
          <w:rFonts w:hint="eastAsia" w:ascii="新宋体" w:hAnsi="新宋体" w:eastAsia="新宋体" w:cs="新宋体"/>
        </w:rPr>
        <w:t>相对于已有的充分性反馈，NeuroGRA 的潜在差异是将“为何复核、允许做什么、哪项结论受影响”写入可审计的 ReviewRequest。请求至少关联目标候选对、触发证据、待解决问题、知识类型与受影响结论。知识缺口可以触发检索；患者缺失数据则只能补取真实记录或保留未知；来源不支持某项表述时，应修订对应结论而不只是追加一段免责声明。</w:t>
      </w:r>
    </w:p>
    <w:p w14:paraId="415FF92E">
      <w:pPr>
        <w:widowControl/>
        <w:rPr>
          <w:rFonts w:hint="eastAsia" w:ascii="新宋体" w:hAnsi="新宋体" w:eastAsia="新宋体" w:cs="新宋体"/>
        </w:rPr>
      </w:pPr>
      <w:r>
        <w:rPr>
          <w:rFonts w:hint="eastAsia" w:ascii="新宋体" w:hAnsi="新宋体" w:eastAsia="新宋体" w:cs="新宋体"/>
        </w:rPr>
        <w:t>一次有界复核有利于实现和控制预算，但减少迭代次数本身只是设计约束。要证明方法贡献，需要在相同复核次数和累计预算下，比较固定查询复核、一般充分性反馈及状态驱动复核。尤其应加入由 SEMA-RAG 代表的缺口反馈对照，并区分完整复现、受预算约束的适配与仅借鉴思想的实现，不能将简化版本冒称原论文复现。</w:t>
      </w:r>
    </w:p>
    <w:p w14:paraId="3A8DBAC3">
      <w:pPr>
        <w:pStyle w:val="4"/>
        <w:rPr>
          <w:rFonts w:hint="eastAsia" w:ascii="新宋体" w:hAnsi="新宋体" w:eastAsia="新宋体" w:cs="新宋体"/>
        </w:rPr>
      </w:pPr>
      <w:r>
        <w:rPr>
          <w:rFonts w:hint="eastAsia" w:ascii="新宋体" w:hAnsi="新宋体" w:eastAsia="新宋体" w:cs="新宋体"/>
        </w:rPr>
        <w:t>7.3 多智能体的额外作用应独立评价</w:t>
      </w:r>
    </w:p>
    <w:p w14:paraId="09B6E37B">
      <w:pPr>
        <w:widowControl/>
        <w:rPr>
          <w:rFonts w:hint="eastAsia" w:ascii="新宋体" w:hAnsi="新宋体" w:eastAsia="新宋体" w:cs="新宋体"/>
        </w:rPr>
      </w:pPr>
      <w:r>
        <w:rPr>
          <w:rFonts w:hint="eastAsia" w:ascii="新宋体" w:hAnsi="新宋体" w:eastAsia="新宋体" w:cs="新宋体"/>
        </w:rPr>
        <w:t>多智能体适合承载病史、量表、影像报告与检验的分工，但两项核心方法应能在单智能体配置下运行。将“单智能体加两项方法”与“多智能体加两项方法”直接比较，有助于识别角色组织的额外价值。若增益主要来自更好的检索和复核，而非多角色协作，应据实报告，并将系统架构贡献与算法贡献分开。</w:t>
      </w:r>
    </w:p>
    <w:p w14:paraId="5093F307">
      <w:pPr>
        <w:widowControl/>
        <w:rPr>
          <w:rFonts w:hint="eastAsia" w:ascii="新宋体" w:hAnsi="新宋体" w:eastAsia="新宋体" w:cs="新宋体"/>
        </w:rPr>
      </w:pPr>
      <w:r>
        <w:rPr>
          <w:rFonts w:hint="eastAsia" w:ascii="新宋体" w:hAnsi="新宋体" w:eastAsia="新宋体" w:cs="新宋体"/>
        </w:rPr>
        <w:t>从当前文献证据看，课题仍有开展价值，但其新颖性需要通过更细的任务定义和实验建立。最稳妥的贡献表述是：研究有限预算下适用鉴别条款的组织与选择，以及未决证据状态对复核请求和结论更新的作用。不能仅凭图谱、RAG、多模态和多智能体的组合，宣称填补整个神经退行性疾病辅助诊疗领域空白。</w:t>
      </w:r>
    </w:p>
    <w:p w14:paraId="552F503E">
      <w:pPr>
        <w:pStyle w:val="3"/>
        <w:rPr>
          <w:rFonts w:hint="eastAsia" w:ascii="新宋体" w:hAnsi="新宋体" w:eastAsia="新宋体" w:cs="新宋体"/>
        </w:rPr>
      </w:pPr>
      <w:r>
        <w:rPr>
          <w:rFonts w:hint="eastAsia" w:ascii="新宋体" w:hAnsi="新宋体" w:eastAsia="新宋体" w:cs="新宋体"/>
        </w:rPr>
        <w:t>8 结论</w:t>
      </w:r>
    </w:p>
    <w:p w14:paraId="4721490F">
      <w:pPr>
        <w:widowControl/>
        <w:rPr>
          <w:rFonts w:hint="eastAsia" w:ascii="新宋体" w:hAnsi="新宋体" w:eastAsia="新宋体" w:cs="新宋体"/>
        </w:rPr>
      </w:pPr>
      <w:r>
        <w:rPr>
          <w:rFonts w:hint="eastAsia" w:ascii="新宋体" w:hAnsi="新宋体" w:eastAsia="新宋体" w:cs="新宋体"/>
        </w:rPr>
        <w:t>截至 2026 年 9 月可核验的代表性研究，神经退行性疾病人工智能已覆盖多病因建模、纵向病历预测、缺失模态处理和指南约束的智能体诊断；医学 RAG 也已发展出疾病差异检索、证据适用性重排、充分性反馈及结构化冲突分析。相关进展使证据级研究更具现实基础，同时提高了创新论证的要求。</w:t>
      </w:r>
    </w:p>
    <w:p w14:paraId="65DCC7D6">
      <w:pPr>
        <w:widowControl/>
        <w:rPr>
          <w:rFonts w:hint="eastAsia" w:ascii="新宋体" w:hAnsi="新宋体" w:eastAsia="新宋体" w:cs="新宋体"/>
        </w:rPr>
      </w:pPr>
      <w:r>
        <w:rPr>
          <w:rFonts w:hint="eastAsia" w:ascii="新宋体" w:hAnsi="新宋体" w:eastAsia="新宋体" w:cs="新宋体"/>
        </w:rPr>
        <w:t>NeuroGRA 应以认知障碍辅助鉴别为明确场景，把研究重点落在适用证据是否被预算内检索充分覆盖，以及缺口或冲突能否转化为有效复核与适度结论。其预期价值应通过可追溯条款、同预算强基线、状态针对性消融和真实标签范围内的病例评价证明。只有当这些比较显示稳定增益，才能进一步讨论系统集成与临床协作价值。</w:t>
      </w:r>
    </w:p>
    <w:p w14:paraId="22A798EE">
      <w:pPr>
        <w:pStyle w:val="3"/>
        <w:rPr>
          <w:rFonts w:hint="eastAsia" w:ascii="新宋体" w:hAnsi="新宋体" w:eastAsia="新宋体" w:cs="新宋体"/>
        </w:rPr>
      </w:pPr>
      <w:r>
        <w:rPr>
          <w:rFonts w:hint="eastAsia" w:ascii="新宋体" w:hAnsi="新宋体" w:eastAsia="新宋体" w:cs="新宋体"/>
        </w:rPr>
        <w:t>参考文献</w:t>
      </w:r>
    </w:p>
    <w:p w14:paraId="29B19317">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 JACK C R, ANDREWS J S, BEACH T G, et al. Revised criteria for diagnosis and staging of Alzheimer's disease: Alzheimer's Association Workgroup[J]. Alzheimer's &amp; Dementia, 2024, 20(8): 5143-5169.</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"https://doi.org/10.1002/alz.13859"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33B1036C">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 DICKERSON B C, ATRI A, CLEVENGER C, et al. The Alzheimer's Association clinical practice guideline for the Diagnostic Evaluation, Testing, Counseling, and Disclosure of Suspected Alzheimer's Disease and Related Disorders (DETeCD-ADRD): Executive summary of recommendations for specialty care[J]. Alzheimer's &amp; Dementia, 2025, 21(1): e14337.</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"https://doi.org/10.1002/alz.14337"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1ED53BC2">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 中华医学会神经病学分会痴呆与认知障碍学组. 阿尔茨海默病源性轻度认知障碍诊疗中国专家共识 2024[J]. 中华神经科杂志, 2024, 57(7): 715-737.</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"https://doi.org/10.3760/cma.j.cn113694-20240320-00172"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5F1D48D1">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[4] DUBOIS B, VILLAIN N, SCHNEIDER L, et al. Alzheimer Disease as a Clinical-Biological Construct—An International Working Group Recommendation[J]. JAMA Neurology, 2024, 81(12): 1304-1311.</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"https://doi.org/10.1001/jamaneurol.2024.3770"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11BF88F4">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[5] PALMQVIST S, WHITSON H E, ALLEN L A, et al. Alzheimer's Association Clinical Practice Guideline on the use of blood-based biomarkers in the diagnostic workup of suspected Alzheimer's disease within specialized care settings[J]. Alzheimer's &amp; Dementia, 2025, 21(7): e70535.</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"https://doi.org/10.1002/alz.70535"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1B2E244D">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[6] MCKEITH I G, BOEVE B F, DICKSON D W, et al. Diagnosis and management of dementia with Lewy bodies: Fourth consensus report of the DLB Consortium[J]. Neurology, 2017, 89(1): 88-100.</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"https://doi.org/10.1212/WNL.0000000000004058"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276FFA65">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[7] RASCOVSKY K, HODGES J R, KNOPMAN D, et al. Sensitivity of revised diagnostic criteria for the behavioural variant of frontotemporal dementia[J]. Brain, 2011, 134(9): 2456-2477.</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"https://doi.org/10.1093/brain/awr179"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6ED2EF19">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[8] XUE C, KOWSHIK S S, LTEIF D, et al. AI-based differential diagnosis of dementia etiologies on multimodal data[J]. Nature Medicine, 2024, 30: 2977-2989.</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"https://doi.org/10.1038/s41591-024-03118-z"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41FD27CB">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[9] AN L, PICHET BINETTE A, HRISTOVSKA I, et al. A deep joint-learning proteomics model for diagnosis of six conditions associated with dementia[J]. Nature Medicine, 2026, 32: 1852-1864.</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"https://doi.org/10.1038/s41591-026-04303-y"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79AC8ED1">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[10] DU S, CHEN M, JIANG X, et al. Dementia Etiology Diagnosis via Collaborative Meta Knowledge Enhancement[EB/OL]. arXiv:2607.22770v1, 2026[2026-09-17].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"https://arxiv.org/abs/2607.22770v1"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336FC507">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[11] WANG C, PIAO S, CHEN Z, et al. E2AD: Enhanced and explainable Alzheimer's disease detection framework via anatomy- and relation-aware cross-modal knowledge distillation[J]. Medical Image Analysis, 2026, 112: 104099.</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"https://doi.org/10.1016/j.media.2026.104099"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4A3D405F">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[12] LI R, WANG X, BERLOWITZ D, et al. CARE-AD: a multi-agent large language model framework for Alzheimer's disease prediction using longitudinal clinical notes[J]. npj Digital Medicine, 2025, 8: 541.</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"https://doi.org/10.1038/s41746-025-01940-4"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394245A0">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[13] HOU W, YANG G, DU Y, et al. ADAgent: LLM Agent for Alzheimer's Disease Analysis with Collaborative Coordinator[EB/OL]. arXiv:2506.11150v3, 2025[2026-09-17].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"https://arxiv.org/abs/2506.11150v3"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64C9AB17">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[14] HOU W, BI S, YANG G, et al. AD-CARE: A Guideline-grounded, Modality-agnostic LLM Agent for Real-world Alzheimer's Disease Diagnosis with Multi-cohort Assessment, Fairness Analysis, and Reader Study[EB/OL]. arXiv:2603.25322v1, 2026[2026-09-17].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"https://arxiv.org/abs/2603.25322v1"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7FE14276">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[15] CHEN Q, DENG Y, YAO X, et al. AD-Reasoning: Multimodal Guideline-Guided Reasoning for Alzheimer's Disease Diagnosis[EB/OL]. arXiv:2603.24059v1, 2026[2026-09-17].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"https://arxiv.org/abs/2603.24059v1"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017756CB">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[16] LIU S, CHEN L, ZHAO Z, et al. Cerebra: A Multidisciplinary AI Board for Multimodal Dementia Characterization and Risk Assessment[EB/OL]. arXiv:2603.21597v2, 2026[2026-09-17].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"https://arxiv.org/abs/2603.21597v2"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0D213E9B">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[17] XIONG G, JIN Q, LU Z, et al. Benchmarking Retrieval-Augmented Generation for Medicine[C]//Findings of the Association for Computational Linguistics: ACL 2024. Bangkok: Association for Computational Linguistics, 2024: 6233-6251.</w:t>
      </w:r>
      <w:r>
        <w:rPr>
          <w:rFonts w:hint="eastAsia" w:ascii="新宋体" w:hAnsi="新宋体" w:eastAsia="新宋体" w:cs="新宋体"/>
        </w:rPr>
        <w:fldChar w:fldCharType="begin"/>
      </w:r>
      <w:r>
        <w:rPr>
          <w:rFonts w:hint="eastAsia" w:ascii="新宋体" w:hAnsi="新宋体" w:eastAsia="新宋体" w:cs="新宋体"/>
        </w:rPr>
        <w:instrText xml:space="preserve"> HYPERLINK "https://aclanthology.org/2024.findings-acl.372/"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174EA118">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[18] SOMAN K, ROSE P W, MORRIS J H, et al. Biomedical knowledge graph-optimized prompt generation for large language models[J]. Bioinformatics, 2024, 40(9): btae560.</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"https://doi.org/10.1093/bioinformatics/btae560"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3BA06A3C">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[19] WU J, ZHU J, QI Y, et al. Medical Graph RAG: Evidence-based Medical Large Language Model via Graph Retrieval-Augmented Generation[C]//Proceedings of the 63rd Annual Meeting of the Association for Computational Linguistics: Volume 1, Long Papers. Vienna: Association for Computational Linguistics, 2025: 28443-28467.</w:t>
      </w:r>
      <w:r>
        <w:rPr>
          <w:rFonts w:hint="eastAsia" w:ascii="新宋体" w:hAnsi="新宋体" w:eastAsia="新宋体" w:cs="新宋体"/>
        </w:rPr>
        <w:fldChar w:fldCharType="begin"/>
      </w:r>
      <w:r>
        <w:rPr>
          <w:rFonts w:hint="eastAsia" w:ascii="新宋体" w:hAnsi="新宋体" w:eastAsia="新宋体" w:cs="新宋体"/>
        </w:rPr>
        <w:instrText xml:space="preserve"> HYPERLINK "https://aclanthology.org/2025.acl-long.1381/"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5E516987">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[20] JIMÉNEZ GUTIÉRREZ B, SHU Y, QI W, et al. From RAG to Memory: Non-Parametric Continual Learning for Large Language Models[C]//Proceedings of the 42nd International Conference on Machine Learning. PMLR, 2025, 267: 21497-21515.</w:t>
      </w:r>
      <w:r>
        <w:rPr>
          <w:rFonts w:hint="eastAsia" w:ascii="新宋体" w:hAnsi="新宋体" w:eastAsia="新宋体" w:cs="新宋体"/>
        </w:rPr>
        <w:fldChar w:fldCharType="begin"/>
      </w:r>
      <w:r>
        <w:rPr>
          <w:rFonts w:hint="eastAsia" w:ascii="新宋体" w:hAnsi="新宋体" w:eastAsia="新宋体" w:cs="新宋体"/>
        </w:rPr>
        <w:instrText xml:space="preserve"> HYPERLINK "https://proceedings.mlr.press/v267/gutierrez25a.html"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7C283FC0">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[21] XIANG Z, WU C, ZHANG Q, et al. When to use Graphs in RAG: A Comprehensive Analysis for Graph Retrieval-Augmented Generation[C/OL]//International Conference on Learning Representations. 2026[2026-09-17].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"https://proceedings.iclr.cc/paper_files/paper/2026/hash/6c9e01d6cefbbf4cdd265032550e767f-Abstract-Conference.html"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64576724">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[22] ZHAO X, LIU S, YANG S Y, et al. MedRAG: Enhancing Retrieval-augmented Generation with Knowledge Graph-Elicited Reasoning for Healthcare Copilot[EB/OL]. arXiv:2502.04413v2, 2025[2026-09-17].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"https://arxiv.org/abs/2502.04413v2"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3C4C1722">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[23] SUN M, ZHAO S, CHEN J, et al. META-RAG: Meta-Analysis-Inspired Evidence-Re-Ranking Method for Retrieval-Augmented Generation in Evidence-Based Medicine[EB/OL]. arXiv:2510.24003v1, 2025[2026-09-17].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"https://arxiv.org/abs/2510.24003v1"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296E1C09">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[24] CARBONELL J, GOLDSTEIN J. The use of MMR, diversity-based reranking for reordering documents and producing summaries[C]//Proceedings of the 21st Annual International ACM SIGIR Conference on Research and Development in Information Retrieval. New York: ACM, 1998: 335-336.</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"https://doi.org/10.1145/290941.291025"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39B31044">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[25] ZHANG D, WANG Z, LI Z Z, et al. MedKGent: a large language model agent framework for constructing temporally evolving medical knowledge graph[J/OL]. npj Digital Medicine, 2026[2026-09-17].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"https://doi.org/10.1038/s41746-026-03058-7"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5B584B1E">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[26] ASAI A, WU Z, WANG Y, et al. Self-RAG: Learning to Retrieve, Generate, and Critique through Self-Reflection[C/OL]//International Conference on Learning Representations. 2024[2026-09-17].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"https://arxiv.org/abs/2310.11511"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414BC7A0">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[27] YAN S Q, GU J C, ZHU Y, et al. Corrective Retrieval Augmented Generation[EB/OL]. arXiv:2401.15884v3, 2024[2026-09-17].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"https://arxiv.org/abs/2401.15884v3"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10EF456C">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[28] SUN M, ZHAO S, CHEN J, et al. M-Eval: A Heterogeneity-Based Framework for Multi-evidence Validation in Medical RAG Systems[EB/OL]. arXiv:2510.23995v1, 2025[2026-09-17].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"https://arxiv.org/abs/2510.23995v1"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6E5D13A0">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[29] HUANG Y, CHEN R, CHENG J. SEMA-RAG: A Self-Evolving Multi-Agent Retrieval-Augmented Generation Framework for Medical Reasoning[C]//Findings of the Association for Computational Linguistics: ACL 2026. San Diego: Association for Computational Linguistics, 2026: 18423-18442.</w:t>
      </w:r>
      <w:r>
        <w:rPr>
          <w:rFonts w:hint="eastAsia" w:ascii="新宋体" w:hAnsi="新宋体" w:eastAsia="新宋体" w:cs="新宋体"/>
        </w:rPr>
        <w:fldChar w:fldCharType="begin"/>
      </w:r>
      <w:r>
        <w:rPr>
          <w:rFonts w:hint="eastAsia" w:ascii="新宋体" w:hAnsi="新宋体" w:eastAsia="新宋体" w:cs="新宋体"/>
        </w:rPr>
        <w:instrText xml:space="preserve"> HYPERLINK "https://aclanthology.org/2026.findings-acl.917/"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7A115B2B">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[30] LI X, CHEN Z, XIA J, et al. Med-SRAF: A Multi-Agent Framework for Medical Reasoning via Semantic Routing and Agentic Fusion[C]//Findings of the Association for Computational Linguistics: ACL 2026. San Diego: Association for Computational Linguistics, 2026: 38009-38029.</w:t>
      </w:r>
      <w:r>
        <w:rPr>
          <w:rFonts w:hint="eastAsia" w:ascii="新宋体" w:hAnsi="新宋体" w:eastAsia="新宋体" w:cs="新宋体"/>
        </w:rPr>
        <w:fldChar w:fldCharType="begin"/>
      </w:r>
      <w:r>
        <w:rPr>
          <w:rFonts w:hint="eastAsia" w:ascii="新宋体" w:hAnsi="新宋体" w:eastAsia="新宋体" w:cs="新宋体"/>
        </w:rPr>
        <w:instrText xml:space="preserve"> HYPERLINK "https://aclanthology.org/2026.findings-acl.1895/"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6DFD9B5D">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[31] WANG Z, WU J, CAI L, et al. MedAgent-Pro: Towards Evidence-based Multi-modal Medical Diagnosis via Reasoning Agentic Workflow[C/OL]//International Conference on Learning Representations. 2026[2026-09-17].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"https://proceedings.iclr.cc/paper_files/paper/2026/hash/ba1c5356d9164bb64c446a4b690226b0-Abstract-Conference.html"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4ABB4186">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[32] WANG Z, ZHU Y, ZHAO H, et al. ColaCare: Enhancing Electronic Health Record Modeling through Large Language Model-Driven Multi-Agent Collaboration[C]//Proceedings of the ACM on Web Conference 2025. New York: ACM, 2025: 2250-2261.</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"https://doi.org/10.1145/3696410.3714877"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4B03B800">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[33] HONG S, XIAO L, ZHANG X, et al. ArgMed-Agents: Explainable Clinical Decision Reasoning with LLM Disscusion via Argumentation Schemes[EB/OL]. arXiv:2403.06294, 2024[2026-09-17].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"https://arxiv.org/abs/2403.06294"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239E93F3">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[34] ZHAN Y, WU X, LIN T, et al. MedCollab: IBIS-Guided Multi-Agent Collaboration with Hierarchical Disease Relation Chains for Clinical Diagnosis[EB/OL]. arXiv:2603.01131v4, 2026[2026-09-17].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"https://arxiv.org/abs/2603.01131v4"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11D6FCEE">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[35] 姚行志. 基于大语言模型的医疗知识图谱扩充与应用[D]. 哈尔滨: 哈尔滨工业大学, 2025.</w:t>
      </w:r>
    </w:p>
    <w:p w14:paraId="37F667AC">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[36] 高福财. 基于知识图谱和大语言模型的医疗辅助诊断系统[D]. 兰州: 西北师范大学, 2025.</w:t>
      </w:r>
    </w:p>
    <w:p w14:paraId="0668CBAC">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[37] 刘览. 基于检索增强大语言模型的病案质检方法研究[D]. 武汉: 华中科技大学, 2025.</w:t>
      </w:r>
    </w:p>
    <w:p w14:paraId="7B12DD1E">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[38] NATIONAL ALZHEIMER'S COORDINATING CENTER. The NACC Researcher's Guide[EB/OL]. [2026-09-17].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"https://www.naccdata.org/the-nacc-researchers-guide"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4FE0277C">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[39] ALZHEIMER'S DISEASE NEUROIMAGING INITIATIVE. ADNI Data[EB/OL]. [2026-09-17].</w:t>
      </w:r>
      <w:r>
        <w:rPr>
          <w:rFonts w:hint="eastAsia" w:ascii="新宋体" w:hAnsi="新宋体" w:eastAsia="新宋体" w:cs="新宋体"/>
        </w:rPr>
        <w:fldChar w:fldCharType="begin"/>
      </w:r>
      <w:r>
        <w:rPr>
          <w:rFonts w:hint="eastAsia" w:ascii="新宋体" w:hAnsi="新宋体" w:eastAsia="新宋体" w:cs="新宋体"/>
        </w:rPr>
        <w:instrText xml:space="preserve"> HYPERLINK "https://adni.loni.usc.edu/data-samples/adni-data/"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34740871">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[40] LI A, PENG Q, CHEN B. Efficiency vs. Verifiability in Evidence-Aware RAG: Does Prompt Compression Preserve Citation Grounding?[C]//Proceedings of the Second Workshop on Customizable NLP: Progress and Challenges in Customizing NLP for a Domain, Application, Group, or Individual. San Diego: Association for Computational Linguistics, 2026: 202-215.</w:t>
      </w:r>
      <w:r>
        <w:rPr>
          <w:rFonts w:hint="eastAsia" w:ascii="新宋体" w:hAnsi="新宋体" w:eastAsia="新宋体" w:cs="新宋体"/>
        </w:rPr>
        <w:fldChar w:fldCharType="begin"/>
      </w:r>
      <w:r>
        <w:rPr>
          <w:rFonts w:hint="eastAsia" w:ascii="新宋体" w:hAnsi="新宋体" w:eastAsia="新宋体" w:cs="新宋体"/>
        </w:rPr>
        <w:instrText xml:space="preserve"> HYPERLINK "https://aclanthology.org/2026.customnlp4u-1.19/"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283B2833">
      <w:pPr>
        <w:spacing w:after="120" w:line="276" w:lineRule="auto"/>
        <w:ind w:left="369" w:hanging="369"/>
        <w:rPr>
          <w:rFonts w:hint="eastAsia" w:ascii="新宋体" w:hAnsi="新宋体" w:eastAsia="新宋体" w:cs="新宋体"/>
        </w:rPr>
      </w:pPr>
      <w:r>
        <w:rPr>
          <w:rFonts w:hint="eastAsia" w:ascii="新宋体" w:hAnsi="新宋体" w:eastAsia="新宋体" w:cs="新宋体"/>
          <w:sz w:val="20"/>
        </w:rPr>
        <w:t>[41] COLLINS G S, MOONS K G M, DHIMAN P, et al. TRIPOD+AI statement: updated guidance for reporting clinical prediction models that use regression or machine learning methods[J]. BMJ, 2024, 385: e078378.</w:t>
      </w:r>
      <w:r>
        <w:rPr>
          <w:rFonts w:hint="eastAsia" w:ascii="新宋体" w:hAnsi="新宋体" w:eastAsia="新宋体" w:cs="新宋体"/>
        </w:rPr>
        <w:fldChar w:fldCharType="begin"/>
      </w:r>
      <w:r>
        <w:rPr>
          <w:rFonts w:hint="eastAsia" w:ascii="新宋体" w:hAnsi="新宋体" w:eastAsia="新宋体" w:cs="新宋体"/>
        </w:rPr>
        <w:instrText xml:space="preserve"> HYPERLINK "https://doi.org/10.1136/bmj-2023-078378" \h </w:instrText>
      </w:r>
      <w:r>
        <w:rPr>
          <w:rFonts w:hint="eastAsia" w:ascii="新宋体" w:hAnsi="新宋体" w:eastAsia="新宋体" w:cs="新宋体"/>
        </w:rPr>
        <w:fldChar w:fldCharType="separate"/>
      </w:r>
      <w:r>
        <w:rPr>
          <w:rFonts w:hint="eastAsia" w:ascii="新宋体" w:hAnsi="新宋体" w:eastAsia="新宋体" w:cs="新宋体"/>
          <w:color w:val="245A81"/>
        </w:rPr>
        <w:t>原文链接</w:t>
      </w:r>
      <w:r>
        <w:rPr>
          <w:rFonts w:hint="eastAsia" w:ascii="新宋体" w:hAnsi="新宋体" w:eastAsia="新宋体" w:cs="新宋体"/>
          <w:color w:val="245A81"/>
        </w:rPr>
        <w:fldChar w:fldCharType="end"/>
      </w:r>
    </w:p>
    <w:p w14:paraId="5D550003">
      <w:pPr>
        <w:pStyle w:val="3"/>
        <w:rPr>
          <w:rFonts w:hint="eastAsia" w:ascii="新宋体" w:hAnsi="新宋体" w:eastAsia="新宋体" w:cs="新宋体"/>
        </w:rPr>
      </w:pPr>
      <w:r>
        <w:rPr>
          <w:rFonts w:hint="eastAsia" w:ascii="新宋体" w:hAnsi="新宋体" w:eastAsia="新宋体" w:cs="新宋体"/>
        </w:rPr>
        <w:t>附录 代表性研究与课题的比较</w:t>
      </w:r>
    </w:p>
    <w:p w14:paraId="2AC2FB19">
      <w:pPr>
        <w:ind w:firstLine="0"/>
        <w:rPr>
          <w:rFonts w:hint="eastAsia" w:ascii="新宋体" w:hAnsi="新宋体" w:eastAsia="新宋体" w:cs="新宋体"/>
        </w:rPr>
      </w:pPr>
      <w:r>
        <w:rPr>
          <w:rFonts w:hint="eastAsia" w:ascii="新宋体" w:hAnsi="新宋体" w:eastAsia="新宋体" w:cs="新宋体"/>
        </w:rPr>
        <w:t>本表概括已核验机制及其与课题的关系。“待验证”指尚需在本课题任务和预算设置下进行实验，不代表原方法无法实现相关功能。</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3061"/>
        <w:gridCol w:w="3061"/>
      </w:tblGrid>
      <w:tr w14:paraId="4491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41" w:type="dxa"/>
            <w:shd w:val="clear" w:color="auto" w:fill="EEEEEE"/>
          </w:tcPr>
          <w:p w14:paraId="7DE7F7D0">
            <w:pPr>
              <w:spacing w:before="60" w:after="60" w:line="288" w:lineRule="auto"/>
              <w:ind w:firstLine="0"/>
              <w:rPr>
                <w:rFonts w:hint="eastAsia" w:ascii="新宋体" w:hAnsi="新宋体" w:eastAsia="新宋体" w:cs="新宋体"/>
              </w:rPr>
            </w:pPr>
            <w:r>
              <w:rPr>
                <w:rFonts w:hint="eastAsia" w:ascii="新宋体" w:hAnsi="新宋体" w:eastAsia="新宋体" w:cs="新宋体"/>
                <w:b/>
                <w:sz w:val="20"/>
              </w:rPr>
              <w:t>研究</w:t>
            </w:r>
          </w:p>
        </w:tc>
        <w:tc>
          <w:tcPr>
            <w:tcW w:w="2324" w:type="dxa"/>
            <w:shd w:val="clear" w:color="auto" w:fill="EEEEEE"/>
          </w:tcPr>
          <w:p w14:paraId="1253AF69">
            <w:pPr>
              <w:spacing w:before="60" w:after="60" w:line="288" w:lineRule="auto"/>
              <w:ind w:firstLine="0"/>
              <w:rPr>
                <w:rFonts w:hint="eastAsia" w:ascii="新宋体" w:hAnsi="新宋体" w:eastAsia="新宋体" w:cs="新宋体"/>
              </w:rPr>
            </w:pPr>
            <w:r>
              <w:rPr>
                <w:rFonts w:hint="eastAsia" w:ascii="新宋体" w:hAnsi="新宋体" w:eastAsia="新宋体" w:cs="新宋体"/>
                <w:b/>
                <w:sz w:val="20"/>
              </w:rPr>
              <w:t>已有机制</w:t>
            </w:r>
          </w:p>
        </w:tc>
        <w:tc>
          <w:tcPr>
            <w:tcW w:w="4819" w:type="dxa"/>
            <w:shd w:val="clear" w:color="auto" w:fill="EEEEEE"/>
          </w:tcPr>
          <w:p w14:paraId="3AB3B698">
            <w:pPr>
              <w:spacing w:before="60" w:after="60" w:line="288" w:lineRule="auto"/>
              <w:ind w:firstLine="0"/>
              <w:rPr>
                <w:rFonts w:hint="eastAsia" w:ascii="新宋体" w:hAnsi="新宋体" w:eastAsia="新宋体" w:cs="新宋体"/>
              </w:rPr>
            </w:pPr>
            <w:r>
              <w:rPr>
                <w:rFonts w:hint="eastAsia" w:ascii="新宋体" w:hAnsi="新宋体" w:eastAsia="新宋体" w:cs="新宋体"/>
                <w:b/>
                <w:sz w:val="20"/>
              </w:rPr>
              <w:t>与 NeuroGRA 的关系</w:t>
            </w:r>
          </w:p>
        </w:tc>
      </w:tr>
      <w:tr w14:paraId="6307A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41" w:type="dxa"/>
          </w:tcPr>
          <w:p w14:paraId="7C53058F">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Xue 等 2024 [8]</w:t>
            </w:r>
          </w:p>
        </w:tc>
        <w:tc>
          <w:tcPr>
            <w:tcW w:w="2324" w:type="dxa"/>
          </w:tcPr>
          <w:p w14:paraId="3C5D3288">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多模态多病因建模</w:t>
            </w:r>
          </w:p>
        </w:tc>
        <w:tc>
          <w:tcPr>
            <w:tcW w:w="4819" w:type="dxa"/>
          </w:tcPr>
          <w:p w14:paraId="7AB9FFB5">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支持从单一 AD 分类转向多病因鉴别；预测性能不能替代检索证据覆盖评价。</w:t>
            </w:r>
          </w:p>
        </w:tc>
      </w:tr>
      <w:tr w14:paraId="6EAF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41" w:type="dxa"/>
          </w:tcPr>
          <w:p w14:paraId="0EEBFA01">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AD-CARE 2026 [14]</w:t>
            </w:r>
          </w:p>
        </w:tc>
        <w:tc>
          <w:tcPr>
            <w:tcW w:w="2324" w:type="dxa"/>
          </w:tcPr>
          <w:p w14:paraId="25AD393C">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指南约束与缺失模态处理</w:t>
            </w:r>
          </w:p>
        </w:tc>
        <w:tc>
          <w:tcPr>
            <w:tcW w:w="4819" w:type="dxa"/>
          </w:tcPr>
          <w:p w14:paraId="51A0C2A0">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患者未知信息须保留未知；其标签范围不能直接支持全部非 AD 病因结论。</w:t>
            </w:r>
          </w:p>
        </w:tc>
      </w:tr>
      <w:tr w14:paraId="7891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41" w:type="dxa"/>
          </w:tcPr>
          <w:p w14:paraId="472EF6BE">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MedRAG 2025 [22]</w:t>
            </w:r>
          </w:p>
        </w:tc>
        <w:tc>
          <w:tcPr>
            <w:tcW w:w="2324" w:type="dxa"/>
          </w:tcPr>
          <w:p w14:paraId="7B6DE400">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图谱疾病差异与相似病例检索</w:t>
            </w:r>
          </w:p>
        </w:tc>
        <w:tc>
          <w:tcPr>
            <w:tcW w:w="4819" w:type="dxa"/>
          </w:tcPr>
          <w:p w14:paraId="4FFF9209">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方法一的相关比较对象；需检验候选病因对、适用条件与集合覆盖选择的增量。</w:t>
            </w:r>
          </w:p>
        </w:tc>
      </w:tr>
      <w:tr w14:paraId="0628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41" w:type="dxa"/>
          </w:tcPr>
          <w:p w14:paraId="743F22B6">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META-RAG 2025 [23]</w:t>
            </w:r>
          </w:p>
        </w:tc>
        <w:tc>
          <w:tcPr>
            <w:tcW w:w="2324" w:type="dxa"/>
          </w:tcPr>
          <w:p w14:paraId="4E8A8E50">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证据适用性及异质性建模</w:t>
            </w:r>
          </w:p>
        </w:tc>
        <w:tc>
          <w:tcPr>
            <w:tcW w:w="4819" w:type="dxa"/>
          </w:tcPr>
          <w:p w14:paraId="12B01596">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适用性重排已被研究；应比较条件特征与预算内覆盖选择各自的贡献。</w:t>
            </w:r>
          </w:p>
        </w:tc>
      </w:tr>
      <w:tr w14:paraId="020A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41" w:type="dxa"/>
          </w:tcPr>
          <w:p w14:paraId="1CBE1033">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MedGraphRAG 2025 [19]</w:t>
            </w:r>
          </w:p>
        </w:tc>
        <w:tc>
          <w:tcPr>
            <w:tcW w:w="2324" w:type="dxa"/>
          </w:tcPr>
          <w:p w14:paraId="405367A9">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医学图结构与来源关联</w:t>
            </w:r>
          </w:p>
        </w:tc>
        <w:tc>
          <w:tcPr>
            <w:tcW w:w="4819" w:type="dxa"/>
          </w:tcPr>
          <w:p w14:paraId="047C674D">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提供通用医学图检索参照；统一知识源、模型和累计 token 预算。</w:t>
            </w:r>
          </w:p>
        </w:tc>
      </w:tr>
      <w:tr w14:paraId="3C5B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41" w:type="dxa"/>
          </w:tcPr>
          <w:p w14:paraId="41AC59C8">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HippoRAG 2 2025 [20]</w:t>
            </w:r>
          </w:p>
        </w:tc>
        <w:tc>
          <w:tcPr>
            <w:tcW w:w="2324" w:type="dxa"/>
          </w:tcPr>
          <w:p w14:paraId="640E0AC5">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关联式图检索与记忆</w:t>
            </w:r>
          </w:p>
        </w:tc>
        <w:tc>
          <w:tcPr>
            <w:tcW w:w="4819" w:type="dxa"/>
          </w:tcPr>
          <w:p w14:paraId="5AAD5E9D">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可作通用图检索基线；医学适用条件及鉴别条款覆盖仍须专项验证。</w:t>
            </w:r>
          </w:p>
        </w:tc>
      </w:tr>
      <w:tr w14:paraId="2E32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41" w:type="dxa"/>
          </w:tcPr>
          <w:p w14:paraId="42C9655E">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SEMA-RAG 2026 [29]</w:t>
            </w:r>
          </w:p>
        </w:tc>
        <w:tc>
          <w:tcPr>
            <w:tcW w:w="2324" w:type="dxa"/>
          </w:tcPr>
          <w:p w14:paraId="139406A1">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充分性判断与缺口反馈</w:t>
            </w:r>
          </w:p>
        </w:tc>
        <w:tc>
          <w:tcPr>
            <w:tcW w:w="4819" w:type="dxa"/>
          </w:tcPr>
          <w:p w14:paraId="30BEA0D8">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方法二的直接竞争方法；应在相同复核次数下比较状态、请求及结论更新。</w:t>
            </w:r>
          </w:p>
        </w:tc>
      </w:tr>
      <w:tr w14:paraId="02CB9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41" w:type="dxa"/>
          </w:tcPr>
          <w:p w14:paraId="1879D8B7">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Med-SRAF 2026 [30]</w:t>
            </w:r>
          </w:p>
        </w:tc>
        <w:tc>
          <w:tcPr>
            <w:tcW w:w="2324" w:type="dxa"/>
          </w:tcPr>
          <w:p w14:paraId="098CC3A6">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医学语义关系增强与证据融合</w:t>
            </w:r>
          </w:p>
        </w:tc>
        <w:tc>
          <w:tcPr>
            <w:tcW w:w="4819" w:type="dxa"/>
          </w:tcPr>
          <w:p w14:paraId="5DAE35CF">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为语义组织提供对照；需区分检索改善与复核策略的作用。</w:t>
            </w:r>
          </w:p>
        </w:tc>
      </w:tr>
      <w:tr w14:paraId="03AF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41" w:type="dxa"/>
          </w:tcPr>
          <w:p w14:paraId="7560D7EB">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MedAgent-Pro 2026 [31]</w:t>
            </w:r>
          </w:p>
        </w:tc>
        <w:tc>
          <w:tcPr>
            <w:tcW w:w="2324" w:type="dxa"/>
          </w:tcPr>
          <w:p w14:paraId="759B66C8">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专家协作与反思机制</w:t>
            </w:r>
          </w:p>
        </w:tc>
        <w:tc>
          <w:tcPr>
            <w:tcW w:w="4819" w:type="dxa"/>
          </w:tcPr>
          <w:p w14:paraId="30174491">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多角色与反思本身不足以构成新颖性；单智能体和多智能体配置需独立比较。</w:t>
            </w:r>
          </w:p>
        </w:tc>
      </w:tr>
      <w:tr w14:paraId="4DC2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41" w:type="dxa"/>
          </w:tcPr>
          <w:p w14:paraId="16A0FA09">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MedKGent 2026 [25]</w:t>
            </w:r>
          </w:p>
        </w:tc>
        <w:tc>
          <w:tcPr>
            <w:tcW w:w="2324" w:type="dxa"/>
          </w:tcPr>
          <w:p w14:paraId="3BEA704E">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文献驱动的图谱构建</w:t>
            </w:r>
          </w:p>
        </w:tc>
        <w:tc>
          <w:tcPr>
            <w:tcW w:w="4819" w:type="dxa"/>
          </w:tcPr>
          <w:p w14:paraId="09AECD5C">
            <w:pPr>
              <w:spacing w:before="60" w:after="60" w:line="288" w:lineRule="auto"/>
              <w:ind w:firstLine="0"/>
              <w:rPr>
                <w:rFonts w:hint="eastAsia" w:ascii="新宋体" w:hAnsi="新宋体" w:eastAsia="新宋体" w:cs="新宋体"/>
              </w:rPr>
            </w:pPr>
            <w:r>
              <w:rPr>
                <w:rFonts w:hint="eastAsia" w:ascii="新宋体" w:hAnsi="新宋体" w:eastAsia="新宋体" w:cs="新宋体"/>
                <w:sz w:val="20"/>
              </w:rPr>
              <w:t>出版于 2026 年不等于语料更新至 2026 年；需登记来源和更新截止时间。</w:t>
            </w:r>
          </w:p>
        </w:tc>
      </w:tr>
    </w:tbl>
    <w:p w14:paraId="2EAC7CB5">
      <w:pPr>
        <w:rPr>
          <w:rFonts w:hint="eastAsia" w:ascii="新宋体" w:hAnsi="新宋体" w:eastAsia="新宋体" w:cs="新宋体"/>
        </w:rPr>
      </w:pPr>
    </w:p>
    <w:bookmarkEnd w:id="0"/>
    <w:sectPr>
      <w:footerReference r:id="rId5" w:type="default"/>
      <w:pgSz w:w="11906" w:h="16838"/>
      <w:pgMar w:top="1276" w:right="1361" w:bottom="1191" w:left="1361" w:header="720"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A273C">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DA29B3"/>
    <w:rsid w:val="685F59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24" w:lineRule="auto"/>
      <w:ind w:firstLine="440"/>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240" w:after="120"/>
      <w:ind w:firstLine="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40" w:after="120"/>
      <w:ind w:firstLine="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spacing w:after="100"/>
    </w:pPr>
    <w:rPr>
      <w:rFonts w:asciiTheme="majorHAnsi" w:hAnsiTheme="majorHAnsi" w:eastAsiaTheme="majorEastAsia" w:cstheme="majorBidi"/>
      <w:iCs/>
      <w:color w:val="000000"/>
      <w:spacing w:val="15"/>
      <w:sz w:val="22"/>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100" w:line="240" w:lineRule="auto"/>
      <w:contextualSpacing/>
    </w:pPr>
    <w:rPr>
      <w:rFonts w:asciiTheme="majorHAnsi" w:hAnsiTheme="majorHAnsi" w:eastAsiaTheme="majorEastAsia" w:cstheme="majorBidi"/>
      <w:color w:val="000000"/>
      <w:spacing w:val="5"/>
      <w:kern w:val="28"/>
      <w:sz w:val="3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10672</Words>
  <Characters>17515</Characters>
  <Lines>0</Lines>
  <Paragraphs>0</Paragraphs>
  <TotalTime>0</TotalTime>
  <ScaleCrop>false</ScaleCrop>
  <LinksUpToDate>false</LinksUpToDate>
  <CharactersWithSpaces>18875</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吴鹏昊</dc:creator>
  <dc:description>generated by python-docx</dc:description>
  <cp:lastModifiedBy>吴鹏昊</cp:lastModifiedBy>
  <dcterms:modified xsi:type="dcterms:W3CDTF">2026-09-17T09:22:04Z</dcterms:modified>
  <dc:subject>NeuroGRA 课题研究现状综述</dc:subject>
  <dc:title>图谱增强检索与证据复核驱动的神经退行性疾病辅助诊疗研究综述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eyJoZGlkIjoiNWVlMTQ5MmQyMWQyZTVjOGI1NGE4NWRiNmQ2MTMwOWEiLCJ1c2VySWQiOiIxODIwMjc2MDA1In0=</vt:lpwstr>
  </property>
  <property fmtid="{D5CDD505-2E9C-101B-9397-08002B2CF9AE}" pid="3" name="KSOProductBuildVer">
    <vt:lpwstr>2052-12.1.0.28488</vt:lpwstr>
  </property>
  <property fmtid="{D5CDD505-2E9C-101B-9397-08002B2CF9AE}" pid="4" name="ICV">
    <vt:lpwstr>B239F71F4B9347108C191F300BFC1111_12</vt:lpwstr>
  </property>
</Properties>
</file>