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f5"/>
        <w:spacing w:before="1300" w:after="960"/>
        <w:jc w:val="center"/>
        <w:snapToGrid w:val="0"/>
      </w:pPr>
      <w:r>
        <w:rPr>
          <w:rFonts w:ascii="Arial" w:hAnsi="Arial" w:eastAsia="黑体" w:cs="Arial"/>
          <w:sz w:val="48"/>
        </w:rPr>
        <w:t>开题报告</w:t>
      </w:r>
    </w:p>
    <w:p>
      <w:pPr>
        <w:pStyle w:val="af5"/>
        <w:spacing w:after="960"/>
        <w:jc w:val="center"/>
        <w:snapToGrid w:val="0"/>
      </w:pPr>
      <w:r>
        <w:rPr>
          <w:rFonts w:ascii="Arial" w:hAnsi="Arial" w:eastAsia="黑体" w:cs="Arial"/>
          <w:b/>
          <w:sz w:val="44"/>
        </w:rPr>
        <w:t>面向神经退行性疾病的分层知识图谱构建与证据驱动问答研究</w:t>
      </w:r>
    </w:p>
    <w:p>
      <w:pPr>
        <w:pStyle w:val="af5"/>
        <w:jc w:val="center"/>
        <w:snapToGrid w:val="0"/>
      </w:pPr>
      <w:r>
        <w:rPr>
          <w:rFonts w:ascii="Arial" w:hAnsi="Arial" w:eastAsia="黑体" w:cs="Arial"/>
          <w:sz w:val="32"/>
        </w:rPr>
        <w:t>NeuroGRA</w:t>
      </w:r>
    </w:p>
    <w:p>
      <w:pPr>
        <w:pStyle w:val="af5"/>
        <w:spacing w:before="1280"/>
        <w:jc w:val="center"/>
        <w:snapToGrid w:val="0"/>
      </w:pPr>
      <w:r>
        <w:rPr>
          <w:rFonts w:ascii="Times New Roman" w:hAnsi="Times New Roman" w:eastAsia="宋体" w:cs="Times New Roman"/>
          <w:sz w:val="24"/>
        </w:rPr>
        <w:t>2026年10月3日</w:t>
      </w:r>
    </w:p>
    <w:p>
      <w:pPr>
        <w:sectPr>
          <w:headerReference w:type="default" r:id="rId9"/>
          <w:footerReference w:type="default" r:id="rId10"/>
          <w:pgSz w:w="11906" w:h="16838" w:code="9"/>
          <w:pgMar w:top="2552" w:right="1588" w:bottom="1588" w:left="1588" w:header="851" w:footer="964" w:gutter="0"/>
          <w:cols w:space="425"/>
          <w:docGrid w:linePitch="312" w:type="linesAndChars"/>
          <w:pgNumType w:start="1" w:fmt="upperRoman"/>
        </w:sectPr>
        <w:snapToGrid w:val="0"/>
      </w:pPr>
    </w:p>
    <w:p>
      <w:pPr>
        <w:pStyle w:val="aff2"/>
        <w:snapToGrid w:val="0"/>
      </w:pPr>
      <w:r>
        <w:t>目录</w:t>
      </w:r>
    </w:p>
    <w:p>
      <w:pPr>
        <w:pStyle w:val="TOC1"/>
        <w:tabs>
          <w:tab w:val="right" w:leader="middleDot" w:pos="8720"/>
        </w:tabs>
        <w:snapToGrid w:val="0"/>
        <w:spacing w:before="0" w:after="0" w:line="320" w:lineRule="exact"/>
      </w:pPr>
      <w:r>
        <w:fldChar w:fldCharType="begin" w:dirty="true"/>
      </w:r>
      <w:r>
        <w:instrText xml:space="preserve"> TOC \o "1-2" \h \z \u </w:instrText>
      </w:r>
      <w:r>
        <w:fldChar w:fldCharType="separate"/>
      </w:r>
      <w:r>
        <w:rPr>
          <w:noProof/>
          <w:sz w:val="21"/>
        </w:rPr>
        <w:t>1 研究背景与意义</w:t>
      </w:r>
      <w:r>
        <w:tab/>
      </w:r>
      <w:r>
        <w:rPr>
          <w:noProof/>
          <w:sz w:val="21"/>
        </w:rPr>
        <w:t>1</w:t>
      </w:r>
    </w:p>
    <w:p>
      <w:pPr>
        <w:pStyle w:val="TOC2"/>
        <w:tabs>
          <w:tab w:val="left" w:pos="840"/>
          <w:tab w:val="right" w:leader="middleDot" w:pos="8720"/>
        </w:tabs>
        <w:snapToGrid w:val="0"/>
        <w:spacing w:before="0" w:after="0" w:line="320" w:lineRule="exact"/>
      </w:pPr>
      <w:r>
        <w:rPr>
          <w:noProof/>
          <w:sz w:val="21"/>
        </w:rPr>
        <w:tab/>
        <w:t>1.1 研究背景</w:t>
      </w:r>
      <w:r>
        <w:tab/>
      </w:r>
      <w:r>
        <w:rPr>
          <w:noProof/>
          <w:sz w:val="21"/>
        </w:rPr>
        <w:t>1</w:t>
      </w:r>
    </w:p>
    <w:p>
      <w:pPr>
        <w:pStyle w:val="TOC2"/>
        <w:tabs>
          <w:tab w:val="left" w:pos="840"/>
          <w:tab w:val="right" w:leader="middleDot" w:pos="8720"/>
        </w:tabs>
        <w:snapToGrid w:val="0"/>
        <w:spacing w:before="0" w:after="0" w:line="320" w:lineRule="exact"/>
      </w:pPr>
      <w:r>
        <w:rPr>
          <w:noProof/>
          <w:sz w:val="21"/>
        </w:rPr>
        <w:tab/>
        <w:t>1.2 当前任务中的主要困难</w:t>
      </w:r>
      <w:r>
        <w:tab/>
      </w:r>
      <w:r>
        <w:rPr>
          <w:noProof/>
          <w:sz w:val="21"/>
        </w:rPr>
        <w:t>1</w:t>
      </w:r>
    </w:p>
    <w:p>
      <w:pPr>
        <w:pStyle w:val="TOC2"/>
        <w:tabs>
          <w:tab w:val="left" w:pos="840"/>
          <w:tab w:val="right" w:leader="middleDot" w:pos="8720"/>
        </w:tabs>
        <w:snapToGrid w:val="0"/>
        <w:spacing w:before="0" w:after="0" w:line="320" w:lineRule="exact"/>
      </w:pPr>
      <w:r>
        <w:rPr>
          <w:noProof/>
          <w:sz w:val="21"/>
        </w:rPr>
        <w:tab/>
        <w:t>1.3 研究意义</w:t>
      </w:r>
      <w:r>
        <w:tab/>
      </w:r>
      <w:r>
        <w:rPr>
          <w:noProof/>
          <w:sz w:val="21"/>
        </w:rPr>
        <w:t>2</w:t>
      </w:r>
    </w:p>
    <w:p>
      <w:pPr>
        <w:pStyle w:val="TOC2"/>
        <w:tabs>
          <w:tab w:val="left" w:pos="840"/>
          <w:tab w:val="right" w:leader="middleDot" w:pos="8720"/>
        </w:tabs>
        <w:snapToGrid w:val="0"/>
        <w:spacing w:before="0" w:after="0" w:line="320" w:lineRule="exact"/>
      </w:pPr>
      <w:r>
        <w:rPr>
          <w:noProof/>
          <w:sz w:val="21"/>
        </w:rPr>
        <w:tab/>
        <w:t>1.4 研究范围与课题定位</w:t>
      </w:r>
      <w:r>
        <w:tab/>
      </w:r>
      <w:r>
        <w:rPr>
          <w:noProof/>
          <w:sz w:val="21"/>
        </w:rPr>
        <w:t>3</w:t>
      </w:r>
    </w:p>
    <w:p>
      <w:pPr>
        <w:pStyle w:val="TOC1"/>
        <w:tabs>
          <w:tab w:val="right" w:leader="middleDot" w:pos="8720"/>
        </w:tabs>
        <w:snapToGrid w:val="0"/>
        <w:spacing w:before="0" w:after="0" w:line="320" w:lineRule="exact"/>
      </w:pPr>
      <w:r>
        <w:rPr>
          <w:noProof/>
          <w:sz w:val="21"/>
        </w:rPr>
        <w:t>2 研究现状</w:t>
      </w:r>
      <w:r>
        <w:tab/>
      </w:r>
      <w:r>
        <w:rPr>
          <w:noProof/>
          <w:sz w:val="21"/>
        </w:rPr>
        <w:t>4</w:t>
      </w:r>
    </w:p>
    <w:p>
      <w:pPr>
        <w:pStyle w:val="TOC2"/>
        <w:tabs>
          <w:tab w:val="left" w:pos="840"/>
          <w:tab w:val="right" w:leader="middleDot" w:pos="8720"/>
        </w:tabs>
        <w:snapToGrid w:val="0"/>
        <w:spacing w:before="0" w:after="0" w:line="320" w:lineRule="exact"/>
      </w:pPr>
      <w:r>
        <w:rPr>
          <w:noProof/>
          <w:sz w:val="21"/>
        </w:rPr>
        <w:tab/>
        <w:t>2.1 神经退行性疾病智能分析研究</w:t>
      </w:r>
      <w:r>
        <w:tab/>
      </w:r>
      <w:r>
        <w:rPr>
          <w:noProof/>
          <w:sz w:val="21"/>
        </w:rPr>
        <w:t>4</w:t>
      </w:r>
    </w:p>
    <w:p>
      <w:pPr>
        <w:pStyle w:val="TOC2"/>
        <w:tabs>
          <w:tab w:val="left" w:pos="840"/>
          <w:tab w:val="right" w:leader="middleDot" w:pos="8720"/>
        </w:tabs>
        <w:snapToGrid w:val="0"/>
        <w:spacing w:before="0" w:after="0" w:line="320" w:lineRule="exact"/>
      </w:pPr>
      <w:r>
        <w:rPr>
          <w:noProof/>
          <w:sz w:val="21"/>
        </w:rPr>
        <w:tab/>
        <w:t>2.2 生物医学知识图谱与领域本体研究</w:t>
      </w:r>
      <w:r>
        <w:tab/>
      </w:r>
      <w:r>
        <w:rPr>
          <w:noProof/>
          <w:sz w:val="21"/>
        </w:rPr>
        <w:t>4</w:t>
      </w:r>
    </w:p>
    <w:p>
      <w:pPr>
        <w:pStyle w:val="TOC2"/>
        <w:tabs>
          <w:tab w:val="left" w:pos="840"/>
          <w:tab w:val="right" w:leader="middleDot" w:pos="8720"/>
        </w:tabs>
        <w:snapToGrid w:val="0"/>
        <w:spacing w:before="0" w:after="0" w:line="320" w:lineRule="exact"/>
      </w:pPr>
      <w:r>
        <w:rPr>
          <w:noProof/>
          <w:sz w:val="21"/>
        </w:rPr>
        <w:tab/>
        <w:t>2.3 医学检索增强生成与图谱检索研究</w:t>
      </w:r>
      <w:r>
        <w:tab/>
      </w:r>
      <w:r>
        <w:rPr>
          <w:noProof/>
          <w:sz w:val="21"/>
        </w:rPr>
        <w:t>5</w:t>
      </w:r>
    </w:p>
    <w:p>
      <w:pPr>
        <w:pStyle w:val="TOC2"/>
        <w:tabs>
          <w:tab w:val="left" w:pos="840"/>
          <w:tab w:val="right" w:leader="middleDot" w:pos="8720"/>
        </w:tabs>
        <w:snapToGrid w:val="0"/>
        <w:spacing w:before="0" w:after="0" w:line="320" w:lineRule="exact"/>
      </w:pPr>
      <w:r>
        <w:rPr>
          <w:noProof/>
          <w:sz w:val="21"/>
        </w:rPr>
        <w:tab/>
        <w:t>2.4 自适应检索与证据充分性研究</w:t>
      </w:r>
      <w:r>
        <w:tab/>
      </w:r>
      <w:r>
        <w:rPr>
          <w:noProof/>
          <w:sz w:val="21"/>
        </w:rPr>
        <w:t>5</w:t>
      </w:r>
    </w:p>
    <w:p>
      <w:pPr>
        <w:pStyle w:val="TOC2"/>
        <w:tabs>
          <w:tab w:val="left" w:pos="840"/>
          <w:tab w:val="right" w:leader="middleDot" w:pos="8720"/>
        </w:tabs>
        <w:snapToGrid w:val="0"/>
        <w:spacing w:before="0" w:after="0" w:line="320" w:lineRule="exact"/>
      </w:pPr>
      <w:r>
        <w:rPr>
          <w:noProof/>
          <w:sz w:val="21"/>
        </w:rPr>
        <w:tab/>
        <w:t>2.5 现有研究与本课题的关系</w:t>
      </w:r>
      <w:r>
        <w:tab/>
      </w:r>
      <w:r>
        <w:rPr>
          <w:noProof/>
          <w:sz w:val="21"/>
        </w:rPr>
        <w:t>6</w:t>
      </w:r>
    </w:p>
    <w:p>
      <w:pPr>
        <w:pStyle w:val="TOC1"/>
        <w:tabs>
          <w:tab w:val="right" w:leader="middleDot" w:pos="8720"/>
        </w:tabs>
        <w:snapToGrid w:val="0"/>
        <w:spacing w:before="0" w:after="0" w:line="320" w:lineRule="exact"/>
      </w:pPr>
      <w:r>
        <w:rPr>
          <w:noProof/>
          <w:sz w:val="21"/>
        </w:rPr>
        <w:t>3 总体设计</w:t>
      </w:r>
      <w:r>
        <w:tab/>
      </w:r>
      <w:r>
        <w:rPr>
          <w:noProof/>
          <w:sz w:val="21"/>
        </w:rPr>
        <w:t>8</w:t>
      </w:r>
    </w:p>
    <w:p>
      <w:pPr>
        <w:pStyle w:val="TOC2"/>
        <w:tabs>
          <w:tab w:val="left" w:pos="840"/>
          <w:tab w:val="right" w:leader="middleDot" w:pos="8720"/>
        </w:tabs>
        <w:snapToGrid w:val="0"/>
        <w:spacing w:before="0" w:after="0" w:line="320" w:lineRule="exact"/>
      </w:pPr>
      <w:r>
        <w:rPr>
          <w:noProof/>
          <w:sz w:val="21"/>
        </w:rPr>
        <w:tab/>
        <w:t>3.1 研究目标与研究内容</w:t>
      </w:r>
      <w:r>
        <w:tab/>
      </w:r>
      <w:r>
        <w:rPr>
          <w:noProof/>
          <w:sz w:val="21"/>
        </w:rPr>
        <w:t>8</w:t>
      </w:r>
    </w:p>
    <w:p>
      <w:pPr>
        <w:pStyle w:val="TOC2"/>
        <w:tabs>
          <w:tab w:val="left" w:pos="840"/>
          <w:tab w:val="right" w:leader="middleDot" w:pos="8720"/>
        </w:tabs>
        <w:snapToGrid w:val="0"/>
        <w:spacing w:before="0" w:after="0" w:line="320" w:lineRule="exact"/>
      </w:pPr>
      <w:r>
        <w:rPr>
          <w:noProof/>
          <w:sz w:val="21"/>
        </w:rPr>
        <w:tab/>
        <w:t>3.2 总体架构与存储分工</w:t>
      </w:r>
      <w:r>
        <w:tab/>
      </w:r>
      <w:r>
        <w:rPr>
          <w:noProof/>
          <w:sz w:val="21"/>
        </w:rPr>
        <w:t>8</w:t>
      </w:r>
    </w:p>
    <w:p>
      <w:pPr>
        <w:pStyle w:val="TOC2"/>
        <w:tabs>
          <w:tab w:val="left" w:pos="840"/>
          <w:tab w:val="right" w:leader="middleDot" w:pos="8720"/>
        </w:tabs>
        <w:snapToGrid w:val="0"/>
        <w:spacing w:before="0" w:after="0" w:line="320" w:lineRule="exact"/>
      </w:pPr>
      <w:r>
        <w:rPr>
          <w:noProof/>
          <w:sz w:val="21"/>
        </w:rPr>
        <w:tab/>
        <w:t>3.3 问题需求与证据状态</w:t>
      </w:r>
      <w:r>
        <w:tab/>
      </w:r>
      <w:r>
        <w:rPr>
          <w:noProof/>
          <w:sz w:val="21"/>
        </w:rPr>
        <w:t>9</w:t>
      </w:r>
    </w:p>
    <w:p>
      <w:pPr>
        <w:pStyle w:val="TOC2"/>
        <w:tabs>
          <w:tab w:val="left" w:pos="840"/>
          <w:tab w:val="right" w:leader="middleDot" w:pos="8720"/>
        </w:tabs>
        <w:snapToGrid w:val="0"/>
        <w:spacing w:before="0" w:after="0" w:line="320" w:lineRule="exact"/>
      </w:pPr>
      <w:r>
        <w:rPr>
          <w:noProof/>
          <w:sz w:val="21"/>
        </w:rPr>
        <w:tab/>
        <w:t>3.4 自适应检索与回答生成</w:t>
      </w:r>
      <w:r>
        <w:tab/>
      </w:r>
      <w:r>
        <w:rPr>
          <w:noProof/>
          <w:sz w:val="21"/>
        </w:rPr>
        <w:t>10</w:t>
      </w:r>
    </w:p>
    <w:p>
      <w:pPr>
        <w:pStyle w:val="TOC2"/>
        <w:tabs>
          <w:tab w:val="left" w:pos="840"/>
          <w:tab w:val="right" w:leader="middleDot" w:pos="8720"/>
        </w:tabs>
        <w:snapToGrid w:val="0"/>
        <w:spacing w:before="0" w:after="0" w:line="320" w:lineRule="exact"/>
      </w:pPr>
      <w:r>
        <w:rPr>
          <w:noProof/>
          <w:sz w:val="21"/>
        </w:rPr>
        <w:tab/>
        <w:t>3.5 实验设计与评价方法</w:t>
      </w:r>
      <w:r>
        <w:tab/>
      </w:r>
      <w:r>
        <w:rPr>
          <w:noProof/>
          <w:sz w:val="21"/>
        </w:rPr>
        <w:t>10</w:t>
      </w:r>
    </w:p>
    <w:p>
      <w:pPr>
        <w:pStyle w:val="TOC2"/>
        <w:tabs>
          <w:tab w:val="left" w:pos="840"/>
          <w:tab w:val="right" w:leader="middleDot" w:pos="8720"/>
        </w:tabs>
        <w:snapToGrid w:val="0"/>
        <w:spacing w:before="0" w:after="0" w:line="320" w:lineRule="exact"/>
      </w:pPr>
      <w:r>
        <w:rPr>
          <w:noProof/>
          <w:sz w:val="21"/>
        </w:rPr>
        <w:tab/>
        <w:t>3.6 前期基础与可行性</w:t>
      </w:r>
      <w:r>
        <w:tab/>
      </w:r>
      <w:r>
        <w:rPr>
          <w:noProof/>
          <w:sz w:val="21"/>
        </w:rPr>
        <w:t>11</w:t>
      </w:r>
    </w:p>
    <w:p>
      <w:pPr>
        <w:pStyle w:val="TOC2"/>
        <w:tabs>
          <w:tab w:val="left" w:pos="840"/>
          <w:tab w:val="right" w:leader="middleDot" w:pos="8720"/>
        </w:tabs>
        <w:snapToGrid w:val="0"/>
        <w:spacing w:before="0" w:after="0" w:line="320" w:lineRule="exact"/>
      </w:pPr>
      <w:r>
        <w:rPr>
          <w:noProof/>
          <w:sz w:val="21"/>
        </w:rPr>
        <w:tab/>
        <w:t>3.7 实施阶段与预期成果</w:t>
      </w:r>
      <w:r>
        <w:tab/>
      </w:r>
      <w:r>
        <w:rPr>
          <w:noProof/>
          <w:sz w:val="21"/>
        </w:rPr>
        <w:t>12</w:t>
      </w:r>
    </w:p>
    <w:p>
      <w:pPr>
        <w:pStyle w:val="TOC1"/>
        <w:tabs>
          <w:tab w:val="right" w:leader="middleDot" w:pos="8720"/>
        </w:tabs>
        <w:snapToGrid w:val="0"/>
        <w:spacing w:before="0" w:after="0" w:line="320" w:lineRule="exact"/>
      </w:pPr>
      <w:r>
        <w:rPr>
          <w:noProof/>
          <w:sz w:val="21"/>
        </w:rPr>
        <w:t>4 图谱结构</w:t>
      </w:r>
      <w:r>
        <w:tab/>
      </w:r>
      <w:r>
        <w:rPr>
          <w:noProof/>
          <w:sz w:val="21"/>
        </w:rPr>
        <w:t>13</w:t>
      </w:r>
    </w:p>
    <w:p>
      <w:pPr>
        <w:pStyle w:val="TOC2"/>
        <w:tabs>
          <w:tab w:val="left" w:pos="840"/>
          <w:tab w:val="right" w:leader="middleDot" w:pos="8720"/>
        </w:tabs>
        <w:snapToGrid w:val="0"/>
        <w:spacing w:before="0" w:after="0" w:line="320" w:lineRule="exact"/>
      </w:pPr>
      <w:r>
        <w:rPr>
          <w:noProof/>
          <w:sz w:val="21"/>
        </w:rPr>
        <w:tab/>
        <w:t>4.1 三层图谱的总体结构</w:t>
      </w:r>
      <w:r>
        <w:tab/>
      </w:r>
      <w:r>
        <w:rPr>
          <w:noProof/>
          <w:sz w:val="21"/>
        </w:rPr>
        <w:t>13</w:t>
      </w:r>
    </w:p>
    <w:p>
      <w:pPr>
        <w:pStyle w:val="TOC2"/>
        <w:tabs>
          <w:tab w:val="left" w:pos="840"/>
          <w:tab w:val="right" w:leader="middleDot" w:pos="8720"/>
        </w:tabs>
        <w:snapToGrid w:val="0"/>
        <w:spacing w:before="0" w:after="0" w:line="320" w:lineRule="exact"/>
      </w:pPr>
      <w:r>
        <w:rPr>
          <w:noProof/>
          <w:sz w:val="21"/>
        </w:rPr>
        <w:tab/>
        <w:t>4.2 核心节点类型</w:t>
      </w:r>
      <w:r>
        <w:tab/>
      </w:r>
      <w:r>
        <w:rPr>
          <w:noProof/>
          <w:sz w:val="21"/>
        </w:rPr>
        <w:t>14</w:t>
      </w:r>
    </w:p>
    <w:p>
      <w:pPr>
        <w:pStyle w:val="TOC2"/>
        <w:tabs>
          <w:tab w:val="left" w:pos="840"/>
          <w:tab w:val="right" w:leader="middleDot" w:pos="8720"/>
        </w:tabs>
        <w:snapToGrid w:val="0"/>
        <w:spacing w:before="0" w:after="0" w:line="320" w:lineRule="exact"/>
      </w:pPr>
      <w:r>
        <w:rPr>
          <w:noProof/>
          <w:sz w:val="21"/>
        </w:rPr>
        <w:tab/>
        <w:t>4.3 关系类型与可寻址知识边</w:t>
      </w:r>
      <w:r>
        <w:tab/>
      </w:r>
      <w:r>
        <w:rPr>
          <w:noProof/>
          <w:sz w:val="21"/>
        </w:rPr>
        <w:t>15</w:t>
      </w:r>
    </w:p>
    <w:p>
      <w:pPr>
        <w:pStyle w:val="TOC2"/>
        <w:tabs>
          <w:tab w:val="left" w:pos="840"/>
          <w:tab w:val="right" w:leader="middleDot" w:pos="8720"/>
        </w:tabs>
        <w:snapToGrid w:val="0"/>
        <w:spacing w:before="0" w:after="0" w:line="320" w:lineRule="exact"/>
      </w:pPr>
      <w:r>
        <w:rPr>
          <w:noProof/>
          <w:sz w:val="21"/>
        </w:rPr>
        <w:tab/>
        <w:t>4.4 适用范围与条件表达</w:t>
      </w:r>
      <w:r>
        <w:tab/>
      </w:r>
      <w:r>
        <w:rPr>
          <w:noProof/>
          <w:sz w:val="21"/>
        </w:rPr>
        <w:t>16</w:t>
      </w:r>
    </w:p>
    <w:p>
      <w:pPr>
        <w:pStyle w:val="TOC2"/>
        <w:tabs>
          <w:tab w:val="left" w:pos="840"/>
          <w:tab w:val="right" w:leader="middleDot" w:pos="8720"/>
        </w:tabs>
        <w:snapToGrid w:val="0"/>
        <w:spacing w:before="0" w:after="0" w:line="320" w:lineRule="exact"/>
      </w:pPr>
      <w:r>
        <w:rPr>
          <w:noProof/>
          <w:sz w:val="21"/>
        </w:rPr>
        <w:tab/>
        <w:t>4.5 逐字段来源与版本管理</w:t>
      </w:r>
      <w:r>
        <w:tab/>
      </w:r>
      <w:r>
        <w:rPr>
          <w:noProof/>
          <w:sz w:val="21"/>
        </w:rPr>
        <w:t>16</w:t>
      </w:r>
    </w:p>
    <w:p>
      <w:pPr>
        <w:pStyle w:val="TOC2"/>
        <w:tabs>
          <w:tab w:val="left" w:pos="840"/>
          <w:tab w:val="right" w:leader="middleDot" w:pos="8720"/>
        </w:tabs>
        <w:snapToGrid w:val="0"/>
        <w:spacing w:before="0" w:after="0" w:line="320" w:lineRule="exact"/>
      </w:pPr>
      <w:r>
        <w:rPr>
          <w:noProof/>
          <w:sz w:val="21"/>
        </w:rPr>
        <w:tab/>
        <w:t>4.6 诊断规则与依赖闭包示例</w:t>
      </w:r>
      <w:r>
        <w:tab/>
      </w:r>
      <w:r>
        <w:rPr>
          <w:noProof/>
          <w:sz w:val="21"/>
        </w:rPr>
        <w:t>17</w:t>
      </w:r>
    </w:p>
    <w:p>
      <w:pPr>
        <w:pStyle w:val="TOC1"/>
        <w:tabs>
          <w:tab w:val="right" w:leader="middleDot" w:pos="8720"/>
        </w:tabs>
        <w:snapToGrid w:val="0"/>
        <w:spacing w:before="0" w:after="0" w:line="320" w:lineRule="exact"/>
      </w:pPr>
      <w:r>
        <w:rPr>
          <w:noProof/>
          <w:sz w:val="21"/>
        </w:rPr>
        <w:t>5 图谱构建方式</w:t>
      </w:r>
      <w:r>
        <w:tab/>
      </w:r>
      <w:r>
        <w:rPr>
          <w:noProof/>
          <w:sz w:val="21"/>
        </w:rPr>
        <w:t>18</w:t>
      </w:r>
    </w:p>
    <w:p>
      <w:pPr>
        <w:pStyle w:val="TOC2"/>
        <w:tabs>
          <w:tab w:val="left" w:pos="840"/>
          <w:tab w:val="right" w:leader="middleDot" w:pos="8720"/>
        </w:tabs>
        <w:snapToGrid w:val="0"/>
        <w:spacing w:before="0" w:after="0" w:line="320" w:lineRule="exact"/>
      </w:pPr>
      <w:r>
        <w:rPr>
          <w:noProof/>
          <w:sz w:val="21"/>
        </w:rPr>
        <w:tab/>
        <w:t>5.1 有效输入与来源分类</w:t>
      </w:r>
      <w:r>
        <w:tab/>
      </w:r>
      <w:r>
        <w:rPr>
          <w:noProof/>
          <w:sz w:val="21"/>
        </w:rPr>
        <w:t>18</w:t>
      </w:r>
    </w:p>
    <w:p>
      <w:pPr>
        <w:pStyle w:val="TOC2"/>
        <w:tabs>
          <w:tab w:val="left" w:pos="840"/>
          <w:tab w:val="right" w:leader="middleDot" w:pos="8720"/>
        </w:tabs>
        <w:snapToGrid w:val="0"/>
        <w:spacing w:before="0" w:after="0" w:line="320" w:lineRule="exact"/>
      </w:pPr>
      <w:r>
        <w:rPr>
          <w:noProof/>
          <w:sz w:val="21"/>
        </w:rPr>
        <w:tab/>
        <w:t>5.2 构建流程概览</w:t>
      </w:r>
      <w:r>
        <w:tab/>
      </w:r>
      <w:r>
        <w:rPr>
          <w:noProof/>
          <w:sz w:val="21"/>
        </w:rPr>
        <w:t>18</w:t>
      </w:r>
    </w:p>
    <w:p>
      <w:pPr>
        <w:pStyle w:val="TOC2"/>
        <w:tabs>
          <w:tab w:val="left" w:pos="840"/>
          <w:tab w:val="right" w:leader="middleDot" w:pos="8720"/>
        </w:tabs>
        <w:snapToGrid w:val="0"/>
        <w:spacing w:before="0" w:after="0" w:line="320" w:lineRule="exact"/>
      </w:pPr>
      <w:r>
        <w:rPr>
          <w:noProof/>
          <w:sz w:val="21"/>
        </w:rPr>
        <w:tab/>
        <w:t>5.3 来源冻结与版面结构恢复</w:t>
      </w:r>
      <w:r>
        <w:tab/>
      </w:r>
      <w:r>
        <w:rPr>
          <w:noProof/>
          <w:sz w:val="21"/>
        </w:rPr>
        <w:t>19</w:t>
      </w:r>
    </w:p>
    <w:p>
      <w:pPr>
        <w:pStyle w:val="TOC2"/>
        <w:tabs>
          <w:tab w:val="left" w:pos="840"/>
          <w:tab w:val="right" w:leader="middleDot" w:pos="8720"/>
        </w:tabs>
        <w:snapToGrid w:val="0"/>
        <w:spacing w:before="0" w:after="0" w:line="320" w:lineRule="exact"/>
      </w:pPr>
      <w:r>
        <w:rPr>
          <w:noProof/>
          <w:sz w:val="21"/>
        </w:rPr>
        <w:tab/>
        <w:t>5.4 语义单元与两阶段抽取</w:t>
      </w:r>
      <w:r>
        <w:tab/>
      </w:r>
      <w:r>
        <w:rPr>
          <w:noProof/>
          <w:sz w:val="21"/>
        </w:rPr>
        <w:t>20</w:t>
      </w:r>
    </w:p>
    <w:p>
      <w:pPr>
        <w:pStyle w:val="TOC2"/>
        <w:tabs>
          <w:tab w:val="left" w:pos="840"/>
          <w:tab w:val="right" w:leader="middleDot" w:pos="8720"/>
        </w:tabs>
        <w:snapToGrid w:val="0"/>
        <w:spacing w:before="0" w:after="0" w:line="320" w:lineRule="exact"/>
      </w:pPr>
      <w:r>
        <w:rPr>
          <w:noProof/>
          <w:sz w:val="21"/>
        </w:rPr>
        <w:tab/>
        <w:t>5.5 规范化与关系生成</w:t>
      </w:r>
      <w:r>
        <w:tab/>
      </w:r>
      <w:r>
        <w:rPr>
          <w:noProof/>
          <w:sz w:val="21"/>
        </w:rPr>
        <w:t>20</w:t>
      </w:r>
    </w:p>
    <w:p>
      <w:pPr>
        <w:pStyle w:val="TOC2"/>
        <w:tabs>
          <w:tab w:val="left" w:pos="840"/>
          <w:tab w:val="right" w:leader="middleDot" w:pos="8720"/>
        </w:tabs>
        <w:snapToGrid w:val="0"/>
        <w:spacing w:before="0" w:after="0" w:line="320" w:lineRule="exact"/>
      </w:pPr>
      <w:r>
        <w:rPr>
          <w:noProof/>
          <w:sz w:val="21"/>
        </w:rPr>
        <w:tab/>
        <w:t>5.6 诊断逻辑与重点错误处理</w:t>
      </w:r>
      <w:r>
        <w:tab/>
      </w:r>
      <w:r>
        <w:rPr>
          <w:noProof/>
          <w:sz w:val="21"/>
        </w:rPr>
        <w:t>21</w:t>
      </w:r>
    </w:p>
    <w:p>
      <w:pPr>
        <w:pStyle w:val="TOC2"/>
        <w:tabs>
          <w:tab w:val="left" w:pos="840"/>
          <w:tab w:val="right" w:leader="middleDot" w:pos="8720"/>
        </w:tabs>
        <w:snapToGrid w:val="0"/>
        <w:spacing w:before="0" w:after="0" w:line="320" w:lineRule="exact"/>
      </w:pPr>
      <w:r>
        <w:rPr>
          <w:noProof/>
          <w:sz w:val="21"/>
        </w:rPr>
        <w:tab/>
        <w:t>5.7 校验审核与发布</w:t>
      </w:r>
      <w:r>
        <w:tab/>
      </w:r>
      <w:r>
        <w:rPr>
          <w:noProof/>
          <w:sz w:val="21"/>
        </w:rPr>
        <w:t>21</w:t>
      </w:r>
    </w:p>
    <w:p>
      <w:pPr>
        <w:pStyle w:val="TOC2"/>
        <w:tabs>
          <w:tab w:val="left" w:pos="840"/>
          <w:tab w:val="right" w:leader="middleDot" w:pos="8720"/>
        </w:tabs>
        <w:snapToGrid w:val="0"/>
        <w:spacing w:before="0" w:after="0" w:line="320" w:lineRule="exact"/>
      </w:pPr>
      <w:r>
        <w:rPr>
          <w:noProof/>
          <w:sz w:val="21"/>
        </w:rPr>
        <w:tab/>
        <w:t>5.8 试点扩展与增量维护</w:t>
      </w:r>
      <w:r>
        <w:tab/>
      </w:r>
      <w:r>
        <w:rPr>
          <w:noProof/>
          <w:sz w:val="21"/>
        </w:rPr>
        <w:t>22</w:t>
      </w:r>
      <w:r>
        <w:fldChar w:fldCharType="end"/>
      </w:r>
    </w:p>
    <w:p>
      <w:pPr>
        <w:sectPr>
          <w:headerReference w:type="default" r:id="rId11"/>
          <w:footerReference w:type="default" r:id="rId12"/>
          <w:pgSz w:w="11906" w:h="16838"/>
          <w:pgMar w:top="2552" w:right="1588" w:bottom="1588" w:left="1588" w:header="851" w:footer="964" w:gutter="0"/>
          <w:cols w:space="720"/>
          <w:docGrid w:linePitch="312" w:type="linesAndChars"/>
          <w:pgNumType w:start="1" w:fmt="upperRoman"/>
        </w:sectPr>
        <w:snapToGrid w:val="0"/>
      </w:pPr>
    </w:p>
    <w:p>
      <w:pPr>
        <w:pStyle w:val="10"/>
      </w:pPr>
      <w:r>
        <w:t>研究背景与意义</w:t>
      </w:r>
    </w:p>
    <w:p>
      <w:pPr>
        <w:pStyle w:val="2"/>
      </w:pPr>
      <w:r>
        <w:t>研究背景</w:t>
      </w:r>
    </w:p>
    <w:p>
      <w:pPr>
        <w:pStyle w:val="aff1"/>
        <w:snapToGrid w:val="0"/>
        <w:widowControl w:val="1"/>
      </w:pPr>
      <w:r>
        <w:t>神经退行性疾病是一组涉及认知、运动、行为及自主神经功能持续损害的疾病，其诊断需要综合症状组合、病程演变、检查结果和病因证据。认知障碍是其中的重要应用场景。世界卫生组织资料显示，2021 年全球约有 5700 万人患有痴呆，每年新增病例接近 1000 万。不同痴呆病因的临床边界并不总是清晰，混合类型也可共存。这些特点使医学知识的获取与解释成为辅助诊疗中的重要环节。上述规模反映痴呆负担，不能直接作为全部神经退行性疾病的患病人数。</w:t>
      </w:r>
      <w:r>
        <w:rPr>
          <w:color w:val="080000"/>
          <w:kern w:val="0"/>
          <w:sz w:val="24"/>
          <w:vertAlign w:val="superscript"/>
        </w:rPr>
        <w:t>⁠[1]</w:t>
      </w:r>
    </w:p>
    <w:p>
      <w:pPr>
        <w:pStyle w:val="aff1"/>
        <w:snapToGrid w:val="0"/>
        <w:widowControl w:val="1"/>
      </w:pPr>
      <w:r>
        <w:t>诊断知识本身具有较强的结构性。同一表现可能出现在不同疾病中，但其诊断作用取决于标准版本、出现时间、受累区域、检查方法和其他条件。疾病身份、临床综合征、诊断类别与严重程度也属于不同层次。例如，阿尔茨海默病 2024 年修订框架分别讨论生物学诊断和分期；路易体痴呆 2017 年共识明确区分核心临床特征与不同类别的生物标志物；ALS 的 Gold Coast 标准及其应用说明则强调运动障碍的进展性、上下运动神经元证据和区域分布。仅保存疾病与表现的关联，难以完整解释这些标准。</w:t>
      </w:r>
      <w:r>
        <w:rPr>
          <w:color w:val="080000"/>
          <w:kern w:val="0"/>
          <w:sz w:val="24"/>
          <w:vertAlign w:val="superscript"/>
        </w:rPr>
        <w:t>⁠[2]</w:t>
      </w:r>
      <w:r>
        <w:rPr>
          <w:color w:val="080000"/>
          <w:kern w:val="0"/>
          <w:sz w:val="24"/>
          <w:vertAlign w:val="superscript"/>
        </w:rPr>
        <w:t>⁠[3]</w:t>
      </w:r>
      <w:r>
        <w:rPr>
          <w:color w:val="080000"/>
          <w:kern w:val="0"/>
          <w:sz w:val="24"/>
          <w:vertAlign w:val="superscript"/>
        </w:rPr>
        <w:t>⁠[4]</w:t>
      </w:r>
    </w:p>
    <w:p>
      <w:pPr>
        <w:pStyle w:val="aff1"/>
        <w:snapToGrid w:val="0"/>
        <w:widowControl w:val="1"/>
      </w:pPr>
      <w:r>
        <w:t>大语言模型能够理解自然语言问题并组织医学文本，但其参数知识难以替代明确的文献依据。检索增强生成通过调用外部资料为回答提供上下文，知识图谱则通过概念与关系组织分散知识。将两者结合，为神经退行性疾病文献问答和后续辅助鉴别提供了技术基础。关键问题在于：检索到的段落是否覆盖了回答所需的前提、例外和限制，以及图上的关系是否具有可核查的来源。</w:t>
      </w:r>
      <w:r>
        <w:rPr>
          <w:color w:val="080000"/>
          <w:kern w:val="0"/>
          <w:sz w:val="24"/>
          <w:vertAlign w:val="superscript"/>
        </w:rPr>
        <w:t>⁠[5]</w:t>
      </w:r>
      <w:r>
        <w:rPr>
          <w:color w:val="080000"/>
          <w:kern w:val="0"/>
          <w:sz w:val="24"/>
          <w:vertAlign w:val="superscript"/>
        </w:rPr>
        <w:t>⁠[6]</w:t>
      </w:r>
    </w:p>
    <w:p>
      <w:pPr>
        <w:pStyle w:val="2"/>
      </w:pPr>
      <w:r>
        <w:t>当前任务中的主要困难</w:t>
      </w:r>
    </w:p>
    <w:p>
      <w:pPr>
        <w:pStyle w:val="aff1"/>
        <w:snapToGrid w:val="0"/>
        <w:widowControl w:val="1"/>
      </w:pPr>
      <w:r>
        <w:t>第一，诊断规则容易在文本解析和切分中失去完整性。诊断表的列标题、编号条款、脚注和操作定义共同决定规则含义，固定长度切块可能将“至少满足几项”“仅研究用途”或某个排除条件与主结论分开。PSP 的标准将特征编码、操作定义与诊断组合分别组织，规则解释需要跨表获取依赖，不能只召回相关句子。</w:t>
      </w:r>
      <w:r>
        <w:rPr>
          <w:color w:val="080000"/>
          <w:kern w:val="0"/>
          <w:sz w:val="24"/>
          <w:vertAlign w:val="superscript"/>
        </w:rPr>
        <w:t>⁠[7]</w:t>
      </w:r>
    </w:p>
    <w:p>
      <w:pPr>
        <w:pStyle w:val="aff1"/>
        <w:snapToGrid w:val="0"/>
        <w:widowControl w:val="1"/>
      </w:pPr>
      <w:r>
        <w:t>第二，文本相关性不等于证据充分性。一个问题可能同时要求标准定义、适用人群、方法条件和与另一来源的比较。即使返回若干主题相近的段落，也可能遗漏关键要素。图检索若只按固定邻域扩展，同样可能增加大量相关但无法补齐缺口的信息。</w:t>
      </w:r>
    </w:p>
    <w:p>
      <w:pPr>
        <w:pStyle w:val="aff1"/>
        <w:snapToGrid w:val="0"/>
        <w:widowControl w:val="1"/>
      </w:pPr>
      <w:r>
        <w:t>第三，知识内容与来源陈述需要区分。一篇文献可以提出多项主张，同一知识也可由多篇文献分别支持。不同来源的表述可能适用范围不同，也可能存在可比条件下的分歧。把多来源结果合并为一条无条件关系，会掩盖这些差异；把文献数量当作独立证据数量，也可能重复计算转述或同一研究的多份报告。</w:t>
      </w:r>
    </w:p>
    <w:p>
      <w:pPr>
        <w:pStyle w:val="aff1"/>
        <w:snapToGrid w:val="0"/>
        <w:widowControl w:val="1"/>
      </w:pPr>
      <w:r>
        <w:t>第四，原型流程的完成状态与研究效果需要分别评价。能够接入患者资料、调用模型并生成报告，说明工程链路具有可运行基础；它不能直接证明图谱结构提高了问答质量，更不能代替临床诊断准确率评价。因此，本课题需要将结构表示、抽取质量、检索质量和最终回答质量分别验证。</w:t>
      </w:r>
    </w:p>
    <w:p>
      <w:pPr>
        <w:pStyle w:val="2"/>
      </w:pPr>
      <w:r>
        <w:t>研究意义</w:t>
      </w:r>
    </w:p>
    <w:p>
      <w:pPr>
        <w:pStyle w:val="aff1"/>
        <w:snapToGrid w:val="0"/>
        <w:widowControl w:val="1"/>
      </w:pPr>
      <w:r>
        <w:t>在知识表示层面，本研究拟构建知识内容、来源主张与原文文档相互关联的分层图谱，显式保存临床模式、标准角色、组合规则及时间和区域约束。研究价值在于减少规则限定的丢失，使知识节点、关系和重要字段均能回到原文核查，为后续标准更新和知识复用提供依据。</w:t>
      </w:r>
    </w:p>
    <w:p>
      <w:pPr>
        <w:pStyle w:val="aff1"/>
        <w:snapToGrid w:val="0"/>
        <w:widowControl w:val="1"/>
      </w:pPr>
      <w:r>
        <w:t>在检索方法层面，本研究拟将问题所需证据、条件可比性和来源依赖共同用于搜索决策及证据选择。评价将关注必要证据是否齐全、结论是否正确引用原文，以及缺失条件是否被如实保留，从而检验图谱组织对医学文献问答的实际增量。</w:t>
      </w:r>
    </w:p>
    <w:p>
      <w:pPr>
        <w:pStyle w:val="aff1"/>
        <w:snapToGrid w:val="0"/>
        <w:widowControl w:val="1"/>
      </w:pPr>
      <w:r>
        <w:t>在应用层面，本研究拟形成面向神经退行性疾病知识查询和标准解释的原型，为查阅指南、比较框架与核对检查用途提供可追溯的回答。已有病例多智能体系统可作为后续接入场景，但患者判断仍需独立的数据、规则与专业评价，不能由文献问答效果直接推定临床收益。</w:t>
      </w:r>
    </w:p>
    <w:p>
      <w:pPr>
        <w:pStyle w:val="2"/>
      </w:pPr>
      <w:r>
        <w:t>研究范围与课题定位</w:t>
      </w:r>
    </w:p>
    <w:p>
      <w:pPr>
        <w:pStyle w:val="aff1"/>
        <w:snapToGrid w:val="0"/>
        <w:widowControl w:val="1"/>
      </w:pPr>
      <w:r>
        <w:t>本课题拟题为“面向神经退行性疾病的分层知识图谱构建与证据驱动问答研究”，以 NeuroGRA 为实现载体。核心研究任务是构建可追溯知识底座，并在固定文献范围内完成无需训练模型的医学文献证据问答。输入为自然语言问题、冻结的知识库版本和检索预算；输出为有出处的回答、适用条件、来源差异、未解决问题和执行记录。</w:t>
      </w:r>
    </w:p>
    <w:p>
      <w:pPr>
        <w:pStyle w:val="aff1"/>
        <w:snapToGrid w:val="0"/>
        <w:widowControl w:val="1"/>
      </w:pPr>
      <w:r>
        <w:t>领域结构覆盖 AD、PD、DLB、bvFTD、ALS、MSA、PSP 和 HD。首轮构建从已有诊断资料中选择具有代表性的规则与检查用途，分阶段扩展。治疗管理、药物发现和广泛分子机制不作为首期核心抽取任务；需要时保留为文本背景或后续扩展。跨文献比较作为本报告拟定的重点问答类型，与单篇事实定位、标准解释和证据不足问题共同评价。</w:t>
      </w:r>
    </w:p>
    <w:p>
      <w:pPr>
        <w:pStyle w:val="aff1"/>
        <w:snapToGrid w:val="0"/>
        <w:widowControl w:val="1"/>
      </w:pPr>
      <w:r>
        <w:t>“无需训练”指使用固定的大语言模型和预训练检索模型，不微调语言模型，不训练图神经网络、动作策略或评分器。知识抽取、人工审核和数据标注仍需投入成本。预期效果属于待验证假设，报告不预设图方法必然优于保存同等信息的文本方法。</w:t>
      </w:r>
    </w:p>
    <w:p>
      <w:pPr>
        <w:pStyle w:val="10"/>
      </w:pPr>
      <w:r>
        <w:t>研究现状</w:t>
      </w:r>
    </w:p>
    <w:p>
      <w:pPr>
        <w:pStyle w:val="2"/>
      </w:pPr>
      <w:r>
        <w:t>神经退行性疾病智能分析研究</w:t>
      </w:r>
    </w:p>
    <w:p>
      <w:pPr>
        <w:pStyle w:val="aff1"/>
        <w:snapToGrid w:val="0"/>
        <w:widowControl w:val="1"/>
      </w:pPr>
      <w:r>
        <w:t>神经退行性疾病的人工智能研究已从单一模态分类扩展到多源资料整合与多病因分析。Xue 等利用人口学资料、病史、神经心理与功能评估、影像等信息，在 9 个数据集中开展多病因痴呆鉴别研究，并处理输入不完整和混合病因问题。其成果说明多模态分析已有直接研究基础；本课题所关注的文献规则解释与可追溯证据组织，需要采用相应任务单独评价。</w:t>
      </w:r>
      <w:r>
        <w:rPr>
          <w:color w:val="080000"/>
          <w:kern w:val="0"/>
          <w:sz w:val="24"/>
          <w:vertAlign w:val="superscript"/>
        </w:rPr>
        <w:t>⁠[8]</w:t>
      </w:r>
    </w:p>
    <w:p>
      <w:pPr>
        <w:pStyle w:val="aff1"/>
        <w:snapToGrid w:val="0"/>
        <w:widowControl w:val="1"/>
      </w:pPr>
      <w:r>
        <w:t>基于大语言模型的智能体进一步发展了资料与工具的协同。ADAgent 将推理引擎、专用医学工具与结果协调机制结合，用于 AD 诊断与预后任务。CARE-AD 从纵向临床记录提取相关表现并预测 AD 风险，其目标是相对首次诊断编码的风险预测。AD-CARE 则以指南为依据处理不完整的异质输入并生成诊断报告。ADAgent 与 AD-CARE 在此按已核实的预印本版本引用。已有工作覆盖工具调用、缺失资料处理和报告生成，不能将这些能力单独作为本课题的研究空白。</w:t>
      </w:r>
      <w:r>
        <w:rPr>
          <w:color w:val="080000"/>
          <w:kern w:val="0"/>
          <w:sz w:val="24"/>
          <w:vertAlign w:val="superscript"/>
        </w:rPr>
        <w:t>⁠[9]</w:t>
      </w:r>
      <w:r>
        <w:rPr>
          <w:color w:val="080000"/>
          <w:kern w:val="0"/>
          <w:sz w:val="24"/>
          <w:vertAlign w:val="superscript"/>
        </w:rPr>
        <w:t>⁠[10]</w:t>
      </w:r>
      <w:r>
        <w:rPr>
          <w:color w:val="080000"/>
          <w:kern w:val="0"/>
          <w:sz w:val="24"/>
          <w:vertAlign w:val="superscript"/>
        </w:rPr>
        <w:t>⁠[11]</w:t>
      </w:r>
    </w:p>
    <w:p>
      <w:pPr>
        <w:pStyle w:val="aff1"/>
        <w:snapToGrid w:val="0"/>
        <w:widowControl w:val="1"/>
      </w:pPr>
      <w:r>
        <w:t>这些方法为 NeuroGRA 的后续病例应用提供了参考，但疾病预测、风险评估和文献问答的输入及评价目标不同。本课题首先研究知识与证据的组织，避免将前期病例流程验收直接转化为问答算法或临床性能结论。</w:t>
      </w:r>
    </w:p>
    <w:p>
      <w:pPr>
        <w:pStyle w:val="2"/>
      </w:pPr>
      <w:r>
        <w:t>生物医学知识图谱与领域本体研究</w:t>
      </w:r>
    </w:p>
    <w:p>
      <w:pPr>
        <w:pStyle w:val="aff1"/>
        <w:snapToGrid w:val="0"/>
        <w:widowControl w:val="1"/>
      </w:pPr>
      <w:r>
        <w:t>生物医学知识图谱通常融合疾病、基因、药物、表型和文献等多源知识，为信息关联、机制分析及知识发现提供结构化基础。领域本体则进一步规定概念类型、层级和关系语义。本课题可借鉴已有项目的来源登记、标识归一、关系映射及可重建投影机制，但应围绕诊断标准解释所需的信息选择结构。</w:t>
      </w:r>
    </w:p>
    <w:p>
      <w:pPr>
        <w:pStyle w:val="aff1"/>
        <w:snapToGrid w:val="0"/>
        <w:widowControl w:val="1"/>
      </w:pPr>
      <w:r>
        <w:t>神经退行性疾病的领域知识组织已有代表性研究。AlzKB 使用 OWL 2 本体组织 AD 病因及候选治疗相关知识，主要服务于药物发现与再利用；PDON 则将帕金森病的分子至临床知识组织为可计算的多视角本体。因此，使用本体、覆盖 AD 或 PD、增加临床概念均不是新的研究方向。</w:t>
      </w:r>
      <w:r>
        <w:rPr>
          <w:color w:val="080000"/>
          <w:kern w:val="0"/>
          <w:sz w:val="24"/>
          <w:vertAlign w:val="superscript"/>
        </w:rPr>
        <w:t>⁠[12]</w:t>
      </w:r>
      <w:r>
        <w:rPr>
          <w:color w:val="080000"/>
          <w:kern w:val="0"/>
          <w:sz w:val="24"/>
          <w:vertAlign w:val="superscript"/>
        </w:rPr>
        <w:t>⁠[13]</w:t>
      </w:r>
    </w:p>
    <w:p>
      <w:pPr>
        <w:pStyle w:val="aff1"/>
        <w:snapToGrid w:val="0"/>
        <w:widowControl w:val="1"/>
      </w:pPr>
      <w:r>
        <w:t>NeuroGRA 的拟研究重点是，将框架版本、条目角色、时间和区域约束、规则依赖与逐字段来源组成可检索的结构，并检验这种组织是否有利于完整获取证据。通用属性图和 RDF 均可扩展表达这些信息，不能将数据模型差异表述为其他技术在原理上无法表示。</w:t>
      </w:r>
    </w:p>
    <w:p>
      <w:pPr>
        <w:pStyle w:val="aff1"/>
        <w:snapToGrid w:val="0"/>
        <w:widowControl w:val="1"/>
      </w:pPr>
      <w:r>
        <w:t>本地 OptimusKG 与 RTX-KG2 仓库及项目解读可提供工程参考。其中的实体整合和关系组织经验可用于构建流程设计；来源合并、否定处理与通用关联关系则需要重新审视。本报告只采纳已检查的实现思想，不把外部仓库存在视为已经完成全量构建或复现实验。</w:t>
      </w:r>
    </w:p>
    <w:p>
      <w:pPr>
        <w:pStyle w:val="2"/>
      </w:pPr>
      <w:r>
        <w:t>医学检索增强生成与图谱检索研究</w:t>
      </w:r>
    </w:p>
    <w:p>
      <w:pPr>
        <w:pStyle w:val="aff1"/>
        <w:snapToGrid w:val="0"/>
        <w:widowControl w:val="1"/>
      </w:pPr>
      <w:r>
        <w:t>Lewis 等提出的 RAG 将参数模型与外部检索记忆结合，为知识密集型生成提供了基础框架。医学任务在此基础上进一步关注语料来源、检索器组合与引用可靠性。Xiong 等提出 MIRAGE 基准和 MedRAG 工具包，系统比较医学语料、检索器与语言模型的组合，为本课题设置混合文本检索基线提供依据。</w:t>
      </w:r>
      <w:r>
        <w:rPr>
          <w:color w:val="080000"/>
          <w:kern w:val="0"/>
          <w:sz w:val="24"/>
          <w:vertAlign w:val="superscript"/>
        </w:rPr>
        <w:t>⁠[5]</w:t>
      </w:r>
      <w:r>
        <w:rPr>
          <w:color w:val="080000"/>
          <w:kern w:val="0"/>
          <w:sz w:val="24"/>
          <w:vertAlign w:val="superscript"/>
        </w:rPr>
        <w:t>⁠[14]</w:t>
      </w:r>
    </w:p>
    <w:p>
      <w:pPr>
        <w:pStyle w:val="aff1"/>
        <w:snapToGrid w:val="0"/>
        <w:widowControl w:val="1"/>
      </w:pPr>
      <w:r>
        <w:t>Medical Graph RAG 通过图结构关联用户文档与医学来源，结合自上而下的检索和自下而上的回答优化，强调回答的来源依据。它表明医学图谱可以承担证据组织功能，本课题需要在其基础上具体检验诊断标准限定、字段来源和规则依赖的作用。</w:t>
      </w:r>
      <w:r>
        <w:rPr>
          <w:color w:val="080000"/>
          <w:kern w:val="0"/>
          <w:sz w:val="24"/>
          <w:vertAlign w:val="superscript"/>
        </w:rPr>
        <w:t>⁠[6]</w:t>
      </w:r>
    </w:p>
    <w:p>
      <w:pPr>
        <w:pStyle w:val="aff1"/>
        <w:snapToGrid w:val="0"/>
        <w:widowControl w:val="1"/>
      </w:pPr>
      <w:r>
        <w:t>MedCoRAG 将 UMLS 图路径、临床指南与多专科迭代分析结合，在证据不足时触发定向再检索。该工作与 NeuroGRA 的历史病例方案较为接近，本报告按 2026 年预印本引用。它的肝病病例任务与本课题的神经退行性疾病文献问答不同，但已说明“图文联合检索加多智能体”本身不能充分说明方法增量。</w:t>
      </w:r>
      <w:r>
        <w:rPr>
          <w:color w:val="080000"/>
          <w:kern w:val="0"/>
          <w:sz w:val="24"/>
          <w:vertAlign w:val="superscript"/>
        </w:rPr>
        <w:t>⁠[15]</w:t>
      </w:r>
    </w:p>
    <w:p>
      <w:pPr>
        <w:pStyle w:val="2"/>
      </w:pPr>
      <w:r>
        <w:t>自适应检索与证据充分性研究</w:t>
      </w:r>
    </w:p>
    <w:p>
      <w:pPr>
        <w:pStyle w:val="aff1"/>
        <w:snapToGrid w:val="0"/>
        <w:widowControl w:val="1"/>
      </w:pPr>
      <w:r>
        <w:t>针对一次检索难以完成多步问答的问题，IRCoT 将检索与中间推理交替进行，使后续检索利用前序获取的信息。AdaKG-RAG 进一步以证据充分性驱动假设与验证循环，结合图扩展和路径组织补回桥接事实。已有方法已研究“缺少证据则继续检索”，本课题不能把迭代机制本身作为独立创新。</w:t>
      </w:r>
      <w:r>
        <w:rPr>
          <w:color w:val="080000"/>
          <w:kern w:val="0"/>
          <w:sz w:val="24"/>
          <w:vertAlign w:val="superscript"/>
        </w:rPr>
        <w:t>⁠[16]</w:t>
      </w:r>
      <w:r>
        <w:rPr>
          <w:color w:val="080000"/>
          <w:kern w:val="0"/>
          <w:sz w:val="24"/>
          <w:vertAlign w:val="superscript"/>
        </w:rPr>
        <w:t>⁠[17]</w:t>
      </w:r>
    </w:p>
    <w:p>
      <w:pPr>
        <w:pStyle w:val="aff1"/>
        <w:snapToGrid w:val="0"/>
        <w:widowControl w:val="1"/>
      </w:pPr>
      <w:r>
        <w:t>医学场景中的 KnowGuard 采用先调查再拒答的思路，通过图扩展和直接检索寻找外部证据，再据患者语境与对话历史评估信息充分性。其任务是多轮临床推理，本课题拟在固定文献问答中显式区分逐项缺口、范围未知、来源依赖与可比条件下的分歧。</w:t>
      </w:r>
      <w:r>
        <w:rPr>
          <w:color w:val="080000"/>
          <w:kern w:val="0"/>
          <w:sz w:val="24"/>
          <w:vertAlign w:val="superscript"/>
        </w:rPr>
        <w:t>⁠[18]</w:t>
      </w:r>
    </w:p>
    <w:p>
      <w:pPr>
        <w:pStyle w:val="aff1"/>
        <w:snapToGrid w:val="0"/>
        <w:widowControl w:val="1"/>
      </w:pPr>
      <w:r>
        <w:t>Sufficient Context 将上下文本身不足与模型未能利用充分上下文区分，为本课题按证据状态分析错误提供参考。PAGE-RAG 将图视为原文知识的组织与导航投影，并采用自适应检索和证据边界控制。本报告按其 2026 年预印本引用，因此“沿图回到原文”同样不是独立创新，需进一步检验诊断限定与来源依赖的联合机制。</w:t>
      </w:r>
      <w:r>
        <w:rPr>
          <w:color w:val="080000"/>
          <w:kern w:val="0"/>
          <w:sz w:val="24"/>
          <w:vertAlign w:val="superscript"/>
        </w:rPr>
        <w:t>⁠[19]</w:t>
      </w:r>
      <w:r>
        <w:rPr>
          <w:color w:val="080000"/>
          <w:kern w:val="0"/>
          <w:sz w:val="24"/>
          <w:vertAlign w:val="superscript"/>
        </w:rPr>
        <w:t>⁠[20]</w:t>
      </w:r>
    </w:p>
    <w:p>
      <w:pPr>
        <w:pStyle w:val="aff1"/>
        <w:snapToGrid w:val="0"/>
        <w:widowControl w:val="1"/>
      </w:pPr>
      <w:r>
        <w:t>上述研究推动了检索控制从固定召回转向反馈循环。仍需在本课题任务中验证的问题，是怎样让结构化诊断限定和来源关系实际影响下一步动作及最终证据集合，而非仅作为展示字段。只有通过同信息文本基线、去除图导航的对照和条件机制消融，才能判断增量来自何处。</w:t>
      </w:r>
    </w:p>
    <w:p>
      <w:pPr>
        <w:pStyle w:val="2"/>
      </w:pPr>
      <w:r>
        <w:t>现有研究与本课题的关系</w:t>
      </w:r>
    </w:p>
    <w:p>
      <w:pPr>
        <w:pStyle w:val="aff1"/>
        <w:snapToGrid w:val="0"/>
        <w:widowControl w:val="1"/>
      </w:pPr>
      <w:r>
        <w:t>下表归纳本报告采用的代表性研究及其与本课题的联系。评价重点限定在已核实的任务和方法范围，不作穷尽性能力判断。</w:t>
      </w:r>
    </w:p>
    <w:tbl>
      <w:tblPr>
        <w:tblW w:type="dxa" w:w="8730"/>
        <w:jc w:val="center"/>
        <w:tblLayout w:type="fixed"/>
        <w:tblLook w:firstColumn="1" w:firstRow="1" w:lastColumn="0" w:lastRow="0" w:noHBand="0" w:noVBand="1" w:val="04A0"/>
        <w:tblLayout w:type="fixed"/>
        <w:tblBorders>
          <w:top w:val="single" w:sz="12" w:color="000000"/>
          <w:bottom w:val="single" w:sz="12" w:color="000000"/>
          <w:left w:val="nil" w:color="000000"/>
          <w:right w:val="nil" w:color="000000"/>
          <w:insideV w:val="nil" w:color="000000"/>
          <w:insideH w:val="nil" w:color="000000"/>
        </w:tblBorders>
      </w:tblPr>
      <w:tblGrid>
        <w:gridCol w:w="2182"/>
        <w:gridCol w:w="2182"/>
        <w:gridCol w:w="2182"/>
        <w:gridCol w:w="2184"/>
      </w:tblGrid>
      <w:tr>
        <w:trPr>
          <w:tblHeader w:val="true"/>
          <w:cantSplit/>
        </w:trPr>
        <w:tc>
          <w:tcPr>
            <w:tcW w:type="dxa" w:w="2182"/>
            <w:tcBorders>
              <w:bottom w:val="single" w:sz="6" w:color="000000"/>
            </w:tcBorders>
            <w:vAlign w:val="center"/>
          </w:tcPr>
          <w:p>
            <w:pPr>
              <w:jc w:val="center"/>
              <w:snapToGrid w:val="0"/>
              <w:keepNext/>
            </w:pPr>
            <w:r>
              <w:rPr>
                <w:rFonts w:ascii="Times New Roman" w:hAnsi="Times New Roman" w:eastAsia="宋体" w:cs="Times New Roman"/>
                <w:b/>
                <w:sz w:val="21"/>
              </w:rPr>
              <w:t>研究方向</w:t>
            </w:r>
          </w:p>
        </w:tc>
        <w:tc>
          <w:tcPr>
            <w:tcW w:type="dxa" w:w="2182"/>
            <w:tcBorders>
              <w:bottom w:val="single" w:sz="6" w:color="000000"/>
            </w:tcBorders>
            <w:vAlign w:val="center"/>
          </w:tcPr>
          <w:p>
            <w:pPr>
              <w:jc w:val="center"/>
              <w:snapToGrid w:val="0"/>
              <w:keepNext/>
            </w:pPr>
            <w:r>
              <w:rPr>
                <w:rFonts w:ascii="Times New Roman" w:hAnsi="Times New Roman" w:eastAsia="宋体" w:cs="Times New Roman"/>
                <w:b/>
                <w:sz w:val="21"/>
              </w:rPr>
              <w:t>代表工作</w:t>
            </w:r>
          </w:p>
        </w:tc>
        <w:tc>
          <w:tcPr>
            <w:tcW w:type="dxa" w:w="2182"/>
            <w:tcBorders>
              <w:bottom w:val="single" w:sz="6" w:color="000000"/>
            </w:tcBorders>
            <w:vAlign w:val="center"/>
          </w:tcPr>
          <w:p>
            <w:pPr>
              <w:jc w:val="center"/>
              <w:snapToGrid w:val="0"/>
              <w:keepNext/>
            </w:pPr>
            <w:r>
              <w:rPr>
                <w:rFonts w:ascii="Times New Roman" w:hAnsi="Times New Roman" w:eastAsia="宋体" w:cs="Times New Roman"/>
                <w:b/>
                <w:sz w:val="21"/>
              </w:rPr>
              <w:t>已有能力</w:t>
            </w:r>
          </w:p>
        </w:tc>
        <w:tc>
          <w:tcPr>
            <w:tcW w:type="dxa" w:w="2184"/>
            <w:tcBorders>
              <w:bottom w:val="single" w:sz="6" w:color="000000"/>
            </w:tcBorders>
            <w:vAlign w:val="center"/>
          </w:tcPr>
          <w:p>
            <w:pPr>
              <w:jc w:val="center"/>
              <w:snapToGrid w:val="0"/>
              <w:keepNext/>
            </w:pPr>
            <w:r>
              <w:rPr>
                <w:rFonts w:ascii="Times New Roman" w:hAnsi="Times New Roman" w:eastAsia="宋体" w:cs="Times New Roman"/>
                <w:b/>
                <w:sz w:val="21"/>
              </w:rPr>
              <w:t>本课题拟检验的内容</w:t>
            </w:r>
          </w:p>
        </w:tc>
      </w:tr>
      <w:tr>
        <w:trPr>
          <w:cantSplit/>
        </w:trPr>
        <w:tc>
          <w:tcPr>
            <w:tcW w:type="dxa" w:w="2182"/>
            <w:vAlign w:val="center"/>
          </w:tcPr>
          <w:p>
            <w:pPr>
              <w:jc w:val="center"/>
              <w:snapToGrid w:val="0"/>
              <w:keepNext/>
            </w:pPr>
            <w:r>
              <w:rPr>
                <w:rFonts w:ascii="Times New Roman" w:hAnsi="Times New Roman" w:eastAsia="宋体" w:cs="Times New Roman"/>
                <w:sz w:val="21"/>
              </w:rPr>
              <w:t>多病因智能分析</w:t>
            </w:r>
          </w:p>
        </w:tc>
        <w:tc>
          <w:tcPr>
            <w:tcW w:type="dxa" w:w="2182"/>
            <w:vAlign w:val="center"/>
          </w:tcPr>
          <w:p>
            <w:pPr>
              <w:jc w:val="center"/>
              <w:snapToGrid w:val="0"/>
              <w:keepNext/>
            </w:pPr>
            <w:r>
              <w:rPr>
                <w:rFonts w:ascii="Times New Roman" w:hAnsi="Times New Roman" w:eastAsia="宋体" w:cs="Times New Roman"/>
                <w:sz w:val="21"/>
              </w:rPr>
              <w:t>Xue 等</w:t>
            </w:r>
          </w:p>
        </w:tc>
        <w:tc>
          <w:tcPr>
            <w:tcW w:type="dxa" w:w="2182"/>
            <w:vAlign w:val="center"/>
          </w:tcPr>
          <w:p>
            <w:pPr>
              <w:jc w:val="center"/>
              <w:snapToGrid w:val="0"/>
              <w:keepNext/>
            </w:pPr>
            <w:r>
              <w:rPr>
                <w:rFonts w:ascii="Times New Roman" w:hAnsi="Times New Roman" w:eastAsia="宋体" w:cs="Times New Roman"/>
                <w:sz w:val="21"/>
              </w:rPr>
              <w:t>多源输入与痴呆病因分析</w:t>
            </w:r>
          </w:p>
        </w:tc>
        <w:tc>
          <w:tcPr>
            <w:tcW w:type="dxa" w:w="2184"/>
            <w:vAlign w:val="center"/>
          </w:tcPr>
          <w:p>
            <w:pPr>
              <w:jc w:val="center"/>
              <w:snapToGrid w:val="0"/>
              <w:keepNext/>
            </w:pPr>
            <w:r>
              <w:rPr>
                <w:rFonts w:ascii="Times New Roman" w:hAnsi="Times New Roman" w:eastAsia="宋体" w:cs="Times New Roman"/>
                <w:sz w:val="21"/>
              </w:rPr>
              <w:t>文献知识和规则能否被完整解释</w:t>
            </w:r>
          </w:p>
        </w:tc>
      </w:tr>
      <w:tr>
        <w:trPr>
          <w:cantSplit/>
        </w:trPr>
        <w:tc>
          <w:tcPr>
            <w:tcW w:type="dxa" w:w="2182"/>
            <w:vAlign w:val="center"/>
          </w:tcPr>
          <w:p>
            <w:pPr>
              <w:jc w:val="center"/>
              <w:snapToGrid w:val="0"/>
              <w:keepNext/>
            </w:pPr>
            <w:r>
              <w:rPr>
                <w:rFonts w:ascii="Times New Roman" w:hAnsi="Times New Roman" w:eastAsia="宋体" w:cs="Times New Roman"/>
                <w:sz w:val="21"/>
              </w:rPr>
              <w:t>AD 智能体</w:t>
            </w:r>
          </w:p>
        </w:tc>
        <w:tc>
          <w:tcPr>
            <w:tcW w:type="dxa" w:w="2182"/>
            <w:vAlign w:val="center"/>
          </w:tcPr>
          <w:p>
            <w:pPr>
              <w:jc w:val="left"/>
              <w:snapToGrid w:val="0"/>
              <w:keepNext/>
            </w:pPr>
            <w:r>
              <w:rPr>
                <w:rFonts w:ascii="Times New Roman" w:hAnsi="Times New Roman" w:eastAsia="宋体" w:cs="Times New Roman"/>
                <w:sz w:val="21"/>
              </w:rPr>
              <w:t>ADAgent 与 AD-CARE</w:t>
            </w:r>
          </w:p>
        </w:tc>
        <w:tc>
          <w:tcPr>
            <w:tcW w:type="dxa" w:w="2182"/>
            <w:vAlign w:val="center"/>
          </w:tcPr>
          <w:p>
            <w:pPr>
              <w:jc w:val="center"/>
              <w:snapToGrid w:val="0"/>
              <w:keepNext/>
            </w:pPr>
            <w:r>
              <w:rPr>
                <w:rFonts w:ascii="Times New Roman" w:hAnsi="Times New Roman" w:eastAsia="宋体" w:cs="Times New Roman"/>
                <w:sz w:val="21"/>
              </w:rPr>
              <w:t>工具协同与报告生成</w:t>
            </w:r>
          </w:p>
        </w:tc>
        <w:tc>
          <w:tcPr>
            <w:tcW w:type="dxa" w:w="2184"/>
            <w:vAlign w:val="center"/>
          </w:tcPr>
          <w:p>
            <w:pPr>
              <w:jc w:val="center"/>
              <w:snapToGrid w:val="0"/>
              <w:keepNext/>
            </w:pPr>
            <w:r>
              <w:rPr>
                <w:rFonts w:ascii="Times New Roman" w:hAnsi="Times New Roman" w:eastAsia="宋体" w:cs="Times New Roman"/>
                <w:sz w:val="21"/>
              </w:rPr>
              <w:t>来源与条件约束如何进入证据流程</w:t>
            </w:r>
          </w:p>
        </w:tc>
      </w:tr>
      <w:tr>
        <w:trPr>
          <w:cantSplit/>
        </w:trPr>
        <w:tc>
          <w:tcPr>
            <w:tcW w:type="dxa" w:w="2182"/>
            <w:vAlign w:val="center"/>
          </w:tcPr>
          <w:p>
            <w:pPr>
              <w:jc w:val="center"/>
              <w:snapToGrid w:val="0"/>
              <w:keepNext/>
            </w:pPr>
            <w:r>
              <w:rPr>
                <w:rFonts w:ascii="Times New Roman" w:hAnsi="Times New Roman" w:eastAsia="宋体" w:cs="Times New Roman"/>
                <w:sz w:val="21"/>
              </w:rPr>
              <w:t>纵向风险评估</w:t>
            </w:r>
          </w:p>
        </w:tc>
        <w:tc>
          <w:tcPr>
            <w:tcW w:type="dxa" w:w="2182"/>
            <w:vAlign w:val="center"/>
          </w:tcPr>
          <w:p>
            <w:pPr>
              <w:jc w:val="center"/>
              <w:snapToGrid w:val="0"/>
              <w:keepNext/>
            </w:pPr>
            <w:r>
              <w:rPr>
                <w:rFonts w:ascii="Times New Roman" w:hAnsi="Times New Roman" w:eastAsia="宋体" w:cs="Times New Roman"/>
                <w:sz w:val="21"/>
              </w:rPr>
              <w:t>CARE-AD</w:t>
            </w:r>
          </w:p>
        </w:tc>
        <w:tc>
          <w:tcPr>
            <w:tcW w:type="dxa" w:w="2182"/>
            <w:vAlign w:val="center"/>
          </w:tcPr>
          <w:p>
            <w:pPr>
              <w:jc w:val="center"/>
              <w:snapToGrid w:val="0"/>
              <w:keepNext/>
            </w:pPr>
            <w:r>
              <w:rPr>
                <w:rFonts w:ascii="Times New Roman" w:hAnsi="Times New Roman" w:eastAsia="宋体" w:cs="Times New Roman"/>
                <w:sz w:val="21"/>
              </w:rPr>
              <w:t>临床记录驱动的风险预测</w:t>
            </w:r>
          </w:p>
        </w:tc>
        <w:tc>
          <w:tcPr>
            <w:tcW w:type="dxa" w:w="2184"/>
            <w:vAlign w:val="center"/>
          </w:tcPr>
          <w:p>
            <w:pPr>
              <w:jc w:val="center"/>
              <w:snapToGrid w:val="0"/>
              <w:keepNext/>
            </w:pPr>
            <w:r>
              <w:rPr>
                <w:rFonts w:ascii="Times New Roman" w:hAnsi="Times New Roman" w:eastAsia="宋体" w:cs="Times New Roman"/>
                <w:sz w:val="21"/>
              </w:rPr>
              <w:t>与文献问答分别定义和评价</w:t>
            </w:r>
          </w:p>
        </w:tc>
      </w:tr>
      <w:tr>
        <w:trPr>
          <w:cantSplit/>
        </w:trPr>
        <w:tc>
          <w:tcPr>
            <w:tcW w:type="dxa" w:w="2182"/>
            <w:vAlign w:val="center"/>
          </w:tcPr>
          <w:p>
            <w:pPr>
              <w:jc w:val="center"/>
              <w:snapToGrid w:val="0"/>
              <w:keepNext/>
            </w:pPr>
            <w:r>
              <w:rPr>
                <w:rFonts w:ascii="Times New Roman" w:hAnsi="Times New Roman" w:eastAsia="宋体" w:cs="Times New Roman"/>
                <w:sz w:val="21"/>
              </w:rPr>
              <w:t>领域知识组织</w:t>
            </w:r>
          </w:p>
        </w:tc>
        <w:tc>
          <w:tcPr>
            <w:tcW w:type="dxa" w:w="2182"/>
            <w:vAlign w:val="center"/>
          </w:tcPr>
          <w:p>
            <w:pPr>
              <w:jc w:val="center"/>
              <w:snapToGrid w:val="0"/>
              <w:keepNext/>
            </w:pPr>
            <w:r>
              <w:rPr>
                <w:rFonts w:ascii="Times New Roman" w:hAnsi="Times New Roman" w:eastAsia="宋体" w:cs="Times New Roman"/>
                <w:sz w:val="21"/>
              </w:rPr>
              <w:t>AlzKB 与 PDON</w:t>
            </w:r>
          </w:p>
        </w:tc>
        <w:tc>
          <w:tcPr>
            <w:tcW w:type="dxa" w:w="2182"/>
            <w:vAlign w:val="center"/>
          </w:tcPr>
          <w:p>
            <w:pPr>
              <w:jc w:val="center"/>
              <w:snapToGrid w:val="0"/>
              <w:keepNext/>
            </w:pPr>
            <w:r>
              <w:rPr>
                <w:rFonts w:ascii="Times New Roman" w:hAnsi="Times New Roman" w:eastAsia="宋体" w:cs="Times New Roman"/>
                <w:sz w:val="21"/>
              </w:rPr>
              <w:t>疾病知识的语义组织</w:t>
            </w:r>
          </w:p>
        </w:tc>
        <w:tc>
          <w:tcPr>
            <w:tcW w:type="dxa" w:w="2184"/>
            <w:vAlign w:val="center"/>
          </w:tcPr>
          <w:p>
            <w:pPr>
              <w:jc w:val="center"/>
              <w:snapToGrid w:val="0"/>
              <w:keepNext/>
            </w:pPr>
            <w:r>
              <w:rPr>
                <w:rFonts w:ascii="Times New Roman" w:hAnsi="Times New Roman" w:eastAsia="宋体" w:cs="Times New Roman"/>
                <w:sz w:val="21"/>
              </w:rPr>
              <w:t>框架角色和依赖闭包的检索价值</w:t>
            </w:r>
          </w:p>
        </w:tc>
      </w:tr>
      <w:tr>
        <w:trPr>
          <w:cantSplit/>
        </w:trPr>
        <w:tc>
          <w:tcPr>
            <w:tcW w:type="dxa" w:w="2182"/>
            <w:vAlign w:val="center"/>
          </w:tcPr>
          <w:p>
            <w:pPr>
              <w:jc w:val="center"/>
              <w:snapToGrid w:val="0"/>
              <w:keepNext/>
            </w:pPr>
            <w:r>
              <w:rPr>
                <w:rFonts w:ascii="Times New Roman" w:hAnsi="Times New Roman" w:eastAsia="宋体" w:cs="Times New Roman"/>
                <w:sz w:val="21"/>
              </w:rPr>
              <w:t>医学文本 RAG</w:t>
            </w:r>
          </w:p>
        </w:tc>
        <w:tc>
          <w:tcPr>
            <w:tcW w:type="dxa" w:w="2182"/>
            <w:vAlign w:val="center"/>
          </w:tcPr>
          <w:p>
            <w:pPr>
              <w:jc w:val="center"/>
              <w:snapToGrid w:val="0"/>
              <w:keepNext/>
            </w:pPr>
            <w:r>
              <w:rPr>
                <w:rFonts w:ascii="Times New Roman" w:hAnsi="Times New Roman" w:eastAsia="宋体" w:cs="Times New Roman"/>
                <w:sz w:val="21"/>
              </w:rPr>
              <w:t>MIRAGE 与 MedRAG</w:t>
            </w:r>
          </w:p>
        </w:tc>
        <w:tc>
          <w:tcPr>
            <w:tcW w:type="dxa" w:w="2182"/>
            <w:vAlign w:val="center"/>
          </w:tcPr>
          <w:p>
            <w:pPr>
              <w:jc w:val="center"/>
              <w:snapToGrid w:val="0"/>
              <w:keepNext/>
            </w:pPr>
            <w:r>
              <w:rPr>
                <w:rFonts w:ascii="Times New Roman" w:hAnsi="Times New Roman" w:eastAsia="宋体" w:cs="Times New Roman"/>
                <w:sz w:val="21"/>
              </w:rPr>
              <w:t>检索配置的系统比较</w:t>
            </w:r>
          </w:p>
        </w:tc>
        <w:tc>
          <w:tcPr>
            <w:tcW w:type="dxa" w:w="2184"/>
            <w:vAlign w:val="center"/>
          </w:tcPr>
          <w:p>
            <w:pPr>
              <w:jc w:val="center"/>
              <w:snapToGrid w:val="0"/>
              <w:keepNext/>
            </w:pPr>
            <w:r>
              <w:rPr>
                <w:rFonts w:ascii="Times New Roman" w:hAnsi="Times New Roman" w:eastAsia="宋体" w:cs="Times New Roman"/>
                <w:sz w:val="21"/>
              </w:rPr>
              <w:t>同信息强文本基线</w:t>
            </w:r>
          </w:p>
        </w:tc>
      </w:tr>
      <w:tr>
        <w:trPr>
          <w:cantSplit/>
        </w:trPr>
        <w:tc>
          <w:tcPr>
            <w:tcW w:type="dxa" w:w="2182"/>
            <w:vAlign w:val="center"/>
          </w:tcPr>
          <w:p>
            <w:pPr>
              <w:jc w:val="center"/>
              <w:snapToGrid w:val="0"/>
              <w:keepNext/>
            </w:pPr>
            <w:r>
              <w:rPr>
                <w:rFonts w:ascii="Times New Roman" w:hAnsi="Times New Roman" w:eastAsia="宋体" w:cs="Times New Roman"/>
                <w:sz w:val="21"/>
              </w:rPr>
              <w:t>医学图谱 RAG</w:t>
            </w:r>
          </w:p>
        </w:tc>
        <w:tc>
          <w:tcPr>
            <w:tcW w:type="dxa" w:w="2182"/>
            <w:vAlign w:val="center"/>
          </w:tcPr>
          <w:p>
            <w:pPr>
              <w:jc w:val="left"/>
              <w:snapToGrid w:val="0"/>
              <w:keepNext/>
            </w:pPr>
            <w:r>
              <w:rPr>
                <w:rFonts w:ascii="Times New Roman" w:hAnsi="Times New Roman" w:eastAsia="宋体" w:cs="Times New Roman"/>
                <w:sz w:val="21"/>
              </w:rPr>
              <w:t>Medical Graph RAG</w:t>
            </w:r>
          </w:p>
        </w:tc>
        <w:tc>
          <w:tcPr>
            <w:tcW w:type="dxa" w:w="2182"/>
            <w:vAlign w:val="center"/>
          </w:tcPr>
          <w:p>
            <w:pPr>
              <w:jc w:val="center"/>
              <w:snapToGrid w:val="0"/>
              <w:keepNext/>
            </w:pPr>
            <w:r>
              <w:rPr>
                <w:rFonts w:ascii="Times New Roman" w:hAnsi="Times New Roman" w:eastAsia="宋体" w:cs="Times New Roman"/>
                <w:sz w:val="21"/>
              </w:rPr>
              <w:t>图结构与可信来源关联</w:t>
            </w:r>
          </w:p>
        </w:tc>
        <w:tc>
          <w:tcPr>
            <w:tcW w:type="dxa" w:w="2184"/>
            <w:vAlign w:val="center"/>
          </w:tcPr>
          <w:p>
            <w:pPr>
              <w:jc w:val="center"/>
              <w:snapToGrid w:val="0"/>
              <w:keepNext/>
            </w:pPr>
            <w:r>
              <w:rPr>
                <w:rFonts w:ascii="Times New Roman" w:hAnsi="Times New Roman" w:eastAsia="宋体" w:cs="Times New Roman"/>
                <w:sz w:val="21"/>
              </w:rPr>
              <w:t>字段限定和规则依赖完整性</w:t>
            </w:r>
          </w:p>
        </w:tc>
      </w:tr>
      <w:tr>
        <w:trPr>
          <w:cantSplit/>
        </w:trPr>
        <w:tc>
          <w:tcPr>
            <w:tcW w:type="dxa" w:w="2182"/>
            <w:vAlign w:val="center"/>
          </w:tcPr>
          <w:p>
            <w:pPr>
              <w:jc w:val="center"/>
              <w:snapToGrid w:val="0"/>
            </w:pPr>
            <w:r>
              <w:rPr>
                <w:rFonts w:ascii="Times New Roman" w:hAnsi="Times New Roman" w:eastAsia="宋体" w:cs="Times New Roman"/>
                <w:sz w:val="21"/>
              </w:rPr>
              <w:t>自适应图检索</w:t>
            </w:r>
          </w:p>
        </w:tc>
        <w:tc>
          <w:tcPr>
            <w:tcW w:type="dxa" w:w="2182"/>
            <w:vAlign w:val="center"/>
          </w:tcPr>
          <w:p>
            <w:pPr>
              <w:jc w:val="left"/>
              <w:snapToGrid w:val="0"/>
            </w:pPr>
            <w:r>
              <w:rPr>
                <w:rFonts w:ascii="Times New Roman" w:hAnsi="Times New Roman" w:eastAsia="宋体" w:cs="Times New Roman"/>
                <w:sz w:val="21"/>
              </w:rPr>
              <w:t>AdaKG-RAG 与 KnowGuard</w:t>
            </w:r>
          </w:p>
        </w:tc>
        <w:tc>
          <w:tcPr>
            <w:tcW w:type="dxa" w:w="2182"/>
            <w:vAlign w:val="center"/>
          </w:tcPr>
          <w:p>
            <w:pPr>
              <w:jc w:val="center"/>
              <w:snapToGrid w:val="0"/>
            </w:pPr>
            <w:r>
              <w:rPr>
                <w:rFonts w:ascii="Times New Roman" w:hAnsi="Times New Roman" w:eastAsia="宋体" w:cs="Times New Roman"/>
                <w:sz w:val="21"/>
              </w:rPr>
              <w:t>充分性反馈与图探索</w:t>
            </w:r>
          </w:p>
        </w:tc>
        <w:tc>
          <w:tcPr>
            <w:tcW w:type="dxa" w:w="2184"/>
            <w:vAlign w:val="center"/>
          </w:tcPr>
          <w:p>
            <w:pPr>
              <w:jc w:val="center"/>
              <w:snapToGrid w:val="0"/>
            </w:pPr>
            <w:r>
              <w:rPr>
                <w:rFonts w:ascii="Times New Roman" w:hAnsi="Times New Roman" w:eastAsia="宋体" w:cs="Times New Roman"/>
                <w:sz w:val="21"/>
              </w:rPr>
              <w:t>条件和来源依赖的联合控制</w:t>
            </w:r>
          </w:p>
        </w:tc>
      </w:tr>
    </w:tbl>
    <w:p>
      <w:pPr>
        <w:pStyle w:val="aff1"/>
        <w:snapToGrid w:val="0"/>
        <w:widowControl w:val="1"/>
      </w:pPr>
      <w:r>
        <w:t>本课题拟检验三项假设。其一，保存标准角色与限定依赖的图谱，相比丢失这些信息的关联图，能够减少规则解释遗漏。其二，在同等信息条件下，需求驱动的图导航能否补齐文本检索遗漏的互补证据。其三，条件核对、来源去重与成对分歧保留能否减少误判并降低无效上下文成本。若第二项假设未获得支持，研究结论应收敛到知识表示和证据组织的价值。</w:t>
      </w:r>
    </w:p>
    <w:p>
      <w:pPr>
        <w:pStyle w:val="10"/>
      </w:pPr>
      <w:r>
        <w:t>总体设计</w:t>
      </w:r>
    </w:p>
    <w:p>
      <w:pPr>
        <w:pStyle w:val="2"/>
      </w:pPr>
      <w:r>
        <w:t>研究目标与研究内容</w:t>
      </w:r>
    </w:p>
    <w:p>
      <w:pPr>
        <w:pStyle w:val="aff1"/>
        <w:snapToGrid w:val="0"/>
        <w:widowControl w:val="1"/>
      </w:pPr>
      <w:r>
        <w:t>本研究拟建立一个可追溯、可版本化的神经退行性疾病知识与文本服务，并构建基于证据缺口的问答流程。系统应能够解释某一诊断框架的定义与组合要求，查找检查用途和限制，比较不同来源的适用范围，并在资料不足时明确说明尚缺什么依据。</w:t>
      </w:r>
    </w:p>
    <w:p>
      <w:pPr>
        <w:pStyle w:val="aff1"/>
        <w:snapToGrid w:val="0"/>
        <w:widowControl w:val="1"/>
      </w:pPr>
      <w:r>
        <w:t>研究内容包括三个相互衔接的部分。第一，设计知识与来源分层模型，形成概念、模式、框架、规则及来源的统一契约。第二，研究从诊断文献到结构化知识的构建流程，保留版面语义、逐字段证据与审核记录。第三，研究需求驱动的混合检索和证据组织方法，在有限预算内形成条件完整、来源可查的回答。</w:t>
      </w:r>
    </w:p>
    <w:p>
      <w:pPr>
        <w:pStyle w:val="2"/>
      </w:pPr>
      <w:r>
        <w:t>总体架构与存储分工</w:t>
      </w:r>
    </w:p>
    <w:p>
      <w:pPr>
        <w:pStyle w:val="aff1"/>
        <w:snapToGrid w:val="0"/>
        <w:widowControl w:val="1"/>
      </w:pPr>
      <w:r>
        <w:t>系统分为离线知识构建、共享检索服务和在线证据问答三部分。离线阶段从冻结文献中解析原文、抽取来源主张并规范化知识，审核后生成发布版本。共享服务提供文本检索、图导航和原文补读。在线阶段根据问题构造证据需求，评估缺口并选择下一步动作，最终依据经核对的证据生成回答。总体架构如图所示。</w:t>
      </w:r>
    </w:p>
    <w:p>
      <w:pPr>
        <w:pStyle w:val="aff6"/>
        <w:snapToGrid w:val="0"/>
        <w:keepNext/>
      </w:pPr>
      <w:r>
        <w:drawing>
          <wp:inline xmlns:a="http://schemas.openxmlformats.org/drawingml/2006/main" xmlns:pic="http://schemas.openxmlformats.org/drawingml/2006/picture">
            <wp:extent cx="5400000" cy="3348000"/>
            <wp:docPr id="1" name="Picture 1" descr="NeuroGRA 离线知识构建与在线证据问答总体架构" title="NeuroGRA 离线知识构建与在线证据问答总体架构"/>
            <wp:cNvGraphicFramePr>
              <a:graphicFrameLocks noChangeAspect="1"/>
            </wp:cNvGraphicFramePr>
            <a:graphic>
              <a:graphicData uri="http://schemas.openxmlformats.org/drawingml/2006/picture">
                <pic:pic>
                  <pic:nvPicPr>
                    <pic:cNvPr id="0" name="NeuroGRA_开题报告_总体架构.png"/>
                    <pic:cNvPicPr/>
                  </pic:nvPicPr>
                  <pic:blipFill>
                    <a:blip r:embed="rId13"/>
                    <a:stretch>
                      <a:fillRect/>
                    </a:stretch>
                  </pic:blipFill>
                  <pic:spPr>
                    <a:xfrm>
                      <a:off x="0" y="0"/>
                      <a:ext cx="5400000" cy="3348000"/>
                    </a:xfrm>
                    <a:prstGeom prst="rect"/>
                  </pic:spPr>
                </pic:pic>
              </a:graphicData>
            </a:graphic>
          </wp:inline>
        </w:drawing>
      </w:r>
    </w:p>
    <w:p>
      <w:pPr>
        <w:pStyle w:val="aff3"/>
        <w:snapToGrid w:val="0"/>
        <w:keepNext w:val="0"/>
        <w:keepLines/>
      </w:pPr>
      <w:r>
        <w:t xml:space="preserve">图 </w:t>
      </w:r>
      <w:r>
        <w:fldChar w:fldCharType="begin" w:fldLock="true"/>
      </w:r>
      <w:r>
        <w:instrText xml:space="preserve"> STYLEREF 1 \n </w:instrText>
      </w:r>
      <w:r>
        <w:fldChar w:fldCharType="separate"/>
      </w:r>
      <w:r>
        <w:t>3</w:t>
      </w:r>
      <w:r>
        <w:fldChar w:fldCharType="end"/>
      </w:r>
      <w:r>
        <w:t>-</w:t>
      </w:r>
      <w:r>
        <w:fldChar w:fldCharType="begin" w:fldLock="true"/>
      </w:r>
      <w:r>
        <w:instrText xml:space="preserve"> SEQ 图 \* ARABIC \s 1 </w:instrText>
      </w:r>
      <w:r>
        <w:fldChar w:fldCharType="separate"/>
      </w:r>
      <w:r>
        <w:t>1</w:t>
      </w:r>
      <w:r>
        <w:fldChar w:fldCharType="end"/>
      </w:r>
      <w:r>
        <w:t xml:space="preserve"> NeuroGRA 离线知识构建与在线证据问答总体架构</w:t>
      </w:r>
    </w:p>
    <w:p>
      <w:pPr>
        <w:pStyle w:val="aff1"/>
        <w:snapToGrid w:val="0"/>
        <w:widowControl w:val="1"/>
      </w:pPr>
      <w:r>
        <w:t>SQLite 保存知识对象、来源、不可变修订、审核记录和发布成员，作为权威记录。Neo4j 保存可重建图投影，服务类型约束的关系遍历；BM25 和向量索引服务原文召回。文档文件与原文片段保留冻结内容，模型调用和工具轨迹单独保存。文本块是检索工件，不作为独立医学知识或文献身份。</w:t>
      </w:r>
    </w:p>
    <w:p>
      <w:pPr>
        <w:pStyle w:val="aff1"/>
        <w:snapToGrid w:val="0"/>
        <w:widowControl w:val="1"/>
      </w:pPr>
      <w:r>
        <w:t>一次问答固定一个 release，所有知识对象、原文及索引均应对应这一版本。图服务不可用时，可回退文本检索并记录后端限制；不能把后端失败解释为没有医学证据。发布切换不得混用不同版本的规则、条目和来源。</w:t>
      </w:r>
    </w:p>
    <w:p>
      <w:pPr>
        <w:pStyle w:val="2"/>
      </w:pPr>
      <w:r>
        <w:t>问题需求与证据状态</w:t>
      </w:r>
    </w:p>
    <w:p>
      <w:pPr>
        <w:pStyle w:val="aff1"/>
        <w:snapToGrid w:val="0"/>
        <w:widowControl w:val="1"/>
      </w:pPr>
      <w:r>
        <w:t>问题首先被拆解为若干 Need，每项记录要回答的要素、必要字段、适用条件和依赖。原问题要求在拆解后保留，不能通过删除难以回答的要素提高覆盖率。事实定位可以只需要一个明确来源；跨文献比较则需覆盖题目指定的来源或比较两侧，并说明来源独立性是否核实。</w:t>
      </w:r>
    </w:p>
    <w:p>
      <w:pPr>
        <w:pStyle w:val="aff1"/>
        <w:snapToGrid w:val="0"/>
        <w:widowControl w:val="1"/>
      </w:pPr>
      <w:r>
        <w:t>证据状态包括缺失、部分满足、已覆盖、存在分歧和范围未知。已覆盖表示当前回答上下文对该问题要素具有可用依据，不能解释为医学结论已被绝对证明。不同范围的结果分开呈现；必要范围字段未知时，先补读或限定回答。只有同一具体命题在可比条件下方向相反，才进入候选分歧核验。</w:t>
      </w:r>
    </w:p>
    <w:p>
      <w:pPr>
        <w:pStyle w:val="aff1"/>
        <w:snapToGrid w:val="0"/>
        <w:widowControl w:val="1"/>
      </w:pPr>
      <w:r>
        <w:t>证据包由知识或主张、必要条件、原文和定位组成。解释某条规则时，证据包还应包括引用的定义、角色绑定、时间和区域条件，以及例外。缺少任一必要依赖时，系统保留缺口，不能只凭根规则摘要形成完整判断。</w:t>
      </w:r>
    </w:p>
    <w:p>
      <w:pPr>
        <w:pStyle w:val="2"/>
      </w:pPr>
      <w:r>
        <w:t>自适应检索与回答生成</w:t>
      </w:r>
    </w:p>
    <w:p>
      <w:pPr>
        <w:pStyle w:val="aff1"/>
        <w:snapToGrid w:val="0"/>
        <w:widowControl w:val="1"/>
      </w:pPr>
      <w:r>
        <w:t>初始检索采用 BM25 与向量召回并按 RRF 融合。后续动作包括针对缺口再次检索文本、沿允许的类型扩展图谱、补读上下文，以及查找比较来源或限制性证据。大语言模型负责理解问题和提出结构化候选，程序负责 ID 合法性、关系约束、去重、缓存与预算。</w:t>
      </w:r>
    </w:p>
    <w:p>
      <w:pPr>
        <w:pStyle w:val="aff1"/>
        <w:snapToGrid w:val="0"/>
        <w:widowControl w:val="1"/>
      </w:pPr>
      <w:r>
        <w:t>调度优先处理会改变结论用途的条件缺口。例如，否定上下文缺失时补读原文；已有实体且缺少规则定义时沿依赖扩展；比较侧缺失时定向检索。图动作连续无新增有效要素时回到全局文本检索，避免困在局部邻域。来源条件和主张关系随新增信息更新，但不由模型自由生成永久医学事实。</w:t>
      </w:r>
    </w:p>
    <w:p>
      <w:pPr>
        <w:pStyle w:val="aff1"/>
        <w:snapToGrid w:val="0"/>
        <w:widowControl w:val="1"/>
      </w:pPr>
      <w:r>
        <w:t>证据选择拟采用单位新增文本成本的覆盖增益进行启发式排序，同时满足必要依赖、来源要求和分歧配对约束。同一研究的重复转述对同一要素不增加覆盖；已发现的可比分歧应保留双方。无法在上下文预算内装入完整证据时，输出有限回答并说明缺口。该选择器不预先宣称具有经典贪心算法的近似保证。</w:t>
      </w:r>
    </w:p>
    <w:p>
      <w:pPr>
        <w:pStyle w:val="aff1"/>
        <w:snapToGrid w:val="0"/>
        <w:widowControl w:val="1"/>
      </w:pPr>
      <w:r>
        <w:t>停止原因分别记录为必要要素已覆盖、预算耗尽、连续无进展、无合法动作或后端失败。覆盖状态按实际装入最终上下文的证据重新计算。回答按结论、原文引用、条件及差异组织，生成后核对关键主张与引用；无法核验的结论删除或降低表述强度。</w:t>
      </w:r>
    </w:p>
    <w:p>
      <w:pPr>
        <w:pStyle w:val="2"/>
      </w:pPr>
      <w:r>
        <w:t>实验设计与评价方法</w:t>
      </w:r>
    </w:p>
    <w:p>
      <w:pPr>
        <w:pStyle w:val="aff1"/>
        <w:snapToGrid w:val="0"/>
        <w:widowControl w:val="1"/>
      </w:pPr>
      <w:r>
        <w:t>实验分为知识构建评价和问答评价。构建评价考察抽取精确率与召回率、条件树与角色绑定正确性、范围和例外保留率、引文定位以及人工审核成本。问答评价包含原文定义与标准解释、跨框架或来源比较、证据不足问题和受控合成反例。合成反例用于检验逻辑，不作为真实病例性能证据。</w:t>
      </w:r>
    </w:p>
    <w:p>
      <w:pPr>
        <w:pStyle w:val="aff1"/>
        <w:snapToGrid w:val="0"/>
        <w:widowControl w:val="1"/>
      </w:pPr>
      <w:r>
        <w:t>为区分信息保存与图组织的作用，所有主要对照访问相同文献和相同的审核知识。强文本基线将图中概念定义、规则、限定及来源完整序列化，并允许多轮检索。其上下文和调用预算与图方法一致，避免把额外知识或更多模型调用误认为图结构收益。</w:t>
      </w:r>
    </w:p>
    <w:tbl>
      <w:tblPr>
        <w:tblW w:type="dxa" w:w="8730"/>
        <w:jc w:val="center"/>
        <w:tblLayout w:type="fixed"/>
        <w:tblLook w:firstColumn="1" w:firstRow="1" w:lastColumn="0" w:lastRow="0" w:noHBand="0" w:noVBand="1" w:val="04A0"/>
        <w:tblLayout w:type="fixed"/>
        <w:tblBorders>
          <w:top w:val="single" w:sz="12" w:color="000000"/>
          <w:bottom w:val="single" w:sz="12" w:color="000000"/>
          <w:left w:val="nil" w:color="000000"/>
          <w:right w:val="nil" w:color="000000"/>
          <w:insideV w:val="nil" w:color="000000"/>
          <w:insideH w:val="nil" w:color="000000"/>
        </w:tblBorders>
      </w:tblPr>
      <w:tblGrid>
        <w:gridCol w:w="2910"/>
        <w:gridCol w:w="2910"/>
        <w:gridCol w:w="2910"/>
      </w:tblGrid>
      <w:tr>
        <w:trPr>
          <w:tblHeader w:val="true"/>
          <w:cantSplit/>
        </w:trPr>
        <w:tc>
          <w:tcPr>
            <w:tcW w:type="dxa" w:w="2910"/>
            <w:tcBorders>
              <w:bottom w:val="single" w:sz="6" w:color="000000"/>
            </w:tcBorders>
            <w:vAlign w:val="center"/>
          </w:tcPr>
          <w:p>
            <w:pPr>
              <w:jc w:val="center"/>
              <w:snapToGrid w:val="0"/>
              <w:keepNext/>
            </w:pPr>
            <w:r>
              <w:rPr>
                <w:rFonts w:ascii="Times New Roman" w:hAnsi="Times New Roman" w:eastAsia="宋体" w:cs="Times New Roman"/>
                <w:b/>
                <w:sz w:val="21"/>
              </w:rPr>
              <w:t>对照设置</w:t>
            </w:r>
          </w:p>
        </w:tc>
        <w:tc>
          <w:tcPr>
            <w:tcW w:type="dxa" w:w="2910"/>
            <w:tcBorders>
              <w:bottom w:val="single" w:sz="6" w:color="000000"/>
            </w:tcBorders>
            <w:vAlign w:val="center"/>
          </w:tcPr>
          <w:p>
            <w:pPr>
              <w:jc w:val="center"/>
              <w:snapToGrid w:val="0"/>
              <w:keepNext/>
            </w:pPr>
            <w:r>
              <w:rPr>
                <w:rFonts w:ascii="Times New Roman" w:hAnsi="Times New Roman" w:eastAsia="宋体" w:cs="Times New Roman"/>
                <w:b/>
                <w:sz w:val="21"/>
              </w:rPr>
              <w:t>主要变化</w:t>
            </w:r>
          </w:p>
        </w:tc>
        <w:tc>
          <w:tcPr>
            <w:tcW w:type="dxa" w:w="2910"/>
            <w:tcBorders>
              <w:bottom w:val="single" w:sz="6" w:color="000000"/>
            </w:tcBorders>
            <w:vAlign w:val="center"/>
          </w:tcPr>
          <w:p>
            <w:pPr>
              <w:jc w:val="center"/>
              <w:snapToGrid w:val="0"/>
              <w:keepNext/>
            </w:pPr>
            <w:r>
              <w:rPr>
                <w:rFonts w:ascii="Times New Roman" w:hAnsi="Times New Roman" w:eastAsia="宋体" w:cs="Times New Roman"/>
                <w:b/>
                <w:sz w:val="21"/>
              </w:rPr>
              <w:t>回答的实验问题</w:t>
            </w:r>
          </w:p>
        </w:tc>
      </w:tr>
      <w:tr>
        <w:trPr>
          <w:cantSplit/>
        </w:trPr>
        <w:tc>
          <w:tcPr>
            <w:tcW w:type="dxa" w:w="2910"/>
            <w:vAlign w:val="center"/>
          </w:tcPr>
          <w:p>
            <w:pPr>
              <w:jc w:val="center"/>
              <w:snapToGrid w:val="0"/>
              <w:keepNext/>
            </w:pPr>
            <w:r>
              <w:rPr>
                <w:rFonts w:ascii="Times New Roman" w:hAnsi="Times New Roman" w:eastAsia="宋体" w:cs="Times New Roman"/>
                <w:sz w:val="21"/>
              </w:rPr>
              <w:t>普通混合文本检索</w:t>
            </w:r>
          </w:p>
        </w:tc>
        <w:tc>
          <w:tcPr>
            <w:tcW w:type="dxa" w:w="2910"/>
            <w:vAlign w:val="center"/>
          </w:tcPr>
          <w:p>
            <w:pPr>
              <w:jc w:val="center"/>
              <w:snapToGrid w:val="0"/>
              <w:keepNext/>
            </w:pPr>
            <w:r>
              <w:rPr>
                <w:rFonts w:ascii="Times New Roman" w:hAnsi="Times New Roman" w:eastAsia="宋体" w:cs="Times New Roman"/>
                <w:sz w:val="21"/>
              </w:rPr>
              <w:t>不显式维护逐需求状态</w:t>
            </w:r>
          </w:p>
        </w:tc>
        <w:tc>
          <w:tcPr>
            <w:tcW w:type="dxa" w:w="2910"/>
            <w:vAlign w:val="center"/>
          </w:tcPr>
          <w:p>
            <w:pPr>
              <w:jc w:val="center"/>
              <w:snapToGrid w:val="0"/>
              <w:keepNext/>
            </w:pPr>
            <w:r>
              <w:rPr>
                <w:rFonts w:ascii="Times New Roman" w:hAnsi="Times New Roman" w:eastAsia="宋体" w:cs="Times New Roman"/>
                <w:sz w:val="21"/>
              </w:rPr>
              <w:t>需求拆解是否改善必要证据获取</w:t>
            </w:r>
          </w:p>
        </w:tc>
      </w:tr>
      <w:tr>
        <w:trPr>
          <w:cantSplit/>
        </w:trPr>
        <w:tc>
          <w:tcPr>
            <w:tcW w:type="dxa" w:w="2910"/>
            <w:vAlign w:val="center"/>
          </w:tcPr>
          <w:p>
            <w:pPr>
              <w:jc w:val="center"/>
              <w:snapToGrid w:val="0"/>
              <w:keepNext/>
            </w:pPr>
            <w:r>
              <w:rPr>
                <w:rFonts w:ascii="Times New Roman" w:hAnsi="Times New Roman" w:eastAsia="宋体" w:cs="Times New Roman"/>
                <w:sz w:val="21"/>
              </w:rPr>
              <w:t>同信息需求驱动文本检索</w:t>
            </w:r>
          </w:p>
        </w:tc>
        <w:tc>
          <w:tcPr>
            <w:tcW w:type="dxa" w:w="2910"/>
            <w:vAlign w:val="center"/>
          </w:tcPr>
          <w:p>
            <w:pPr>
              <w:jc w:val="center"/>
              <w:snapToGrid w:val="0"/>
              <w:keepNext/>
            </w:pPr>
            <w:r>
              <w:rPr>
                <w:rFonts w:ascii="Times New Roman" w:hAnsi="Times New Roman" w:eastAsia="宋体" w:cs="Times New Roman"/>
                <w:sz w:val="21"/>
              </w:rPr>
              <w:t>保存全部知识与限定，去除图导航</w:t>
            </w:r>
          </w:p>
        </w:tc>
        <w:tc>
          <w:tcPr>
            <w:tcW w:type="dxa" w:w="2910"/>
            <w:vAlign w:val="center"/>
          </w:tcPr>
          <w:p>
            <w:pPr>
              <w:jc w:val="center"/>
              <w:snapToGrid w:val="0"/>
              <w:keepNext/>
            </w:pPr>
            <w:r>
              <w:rPr>
                <w:rFonts w:ascii="Times New Roman" w:hAnsi="Times New Roman" w:eastAsia="宋体" w:cs="Times New Roman"/>
                <w:sz w:val="21"/>
              </w:rPr>
              <w:t>图组织是否具有额外收益</w:t>
            </w:r>
          </w:p>
        </w:tc>
      </w:tr>
      <w:tr>
        <w:trPr>
          <w:cantSplit/>
        </w:trPr>
        <w:tc>
          <w:tcPr>
            <w:tcW w:type="dxa" w:w="2910"/>
            <w:vAlign w:val="center"/>
          </w:tcPr>
          <w:p>
            <w:pPr>
              <w:jc w:val="center"/>
              <w:snapToGrid w:val="0"/>
              <w:keepNext/>
            </w:pPr>
            <w:r>
              <w:rPr>
                <w:rFonts w:ascii="Times New Roman" w:hAnsi="Times New Roman" w:eastAsia="宋体" w:cs="Times New Roman"/>
                <w:sz w:val="21"/>
              </w:rPr>
              <w:t>固定图扩展</w:t>
            </w:r>
          </w:p>
        </w:tc>
        <w:tc>
          <w:tcPr>
            <w:tcW w:type="dxa" w:w="2910"/>
            <w:vAlign w:val="center"/>
          </w:tcPr>
          <w:p>
            <w:pPr>
              <w:jc w:val="center"/>
              <w:snapToGrid w:val="0"/>
              <w:keepNext/>
            </w:pPr>
            <w:r>
              <w:rPr>
                <w:rFonts w:ascii="Times New Roman" w:hAnsi="Times New Roman" w:eastAsia="宋体" w:cs="Times New Roman"/>
                <w:sz w:val="21"/>
              </w:rPr>
              <w:t>相同图，使用固定扩展策略</w:t>
            </w:r>
          </w:p>
        </w:tc>
        <w:tc>
          <w:tcPr>
            <w:tcW w:type="dxa" w:w="2910"/>
            <w:vAlign w:val="center"/>
          </w:tcPr>
          <w:p>
            <w:pPr>
              <w:jc w:val="center"/>
              <w:snapToGrid w:val="0"/>
              <w:keepNext/>
            </w:pPr>
            <w:r>
              <w:rPr>
                <w:rFonts w:ascii="Times New Roman" w:hAnsi="Times New Roman" w:eastAsia="宋体" w:cs="Times New Roman"/>
                <w:sz w:val="21"/>
              </w:rPr>
              <w:t>自适应动作是否有效</w:t>
            </w:r>
          </w:p>
        </w:tc>
      </w:tr>
      <w:tr>
        <w:trPr>
          <w:cantSplit/>
        </w:trPr>
        <w:tc>
          <w:tcPr>
            <w:tcW w:type="dxa" w:w="2910"/>
            <w:vAlign w:val="center"/>
          </w:tcPr>
          <w:p>
            <w:pPr>
              <w:jc w:val="center"/>
              <w:snapToGrid w:val="0"/>
              <w:keepNext/>
            </w:pPr>
            <w:r>
              <w:rPr>
                <w:rFonts w:ascii="Times New Roman" w:hAnsi="Times New Roman" w:eastAsia="宋体" w:cs="Times New Roman"/>
                <w:sz w:val="21"/>
              </w:rPr>
              <w:t>完整方法</w:t>
            </w:r>
          </w:p>
        </w:tc>
        <w:tc>
          <w:tcPr>
            <w:tcW w:type="dxa" w:w="2910"/>
            <w:vAlign w:val="center"/>
          </w:tcPr>
          <w:p>
            <w:pPr>
              <w:jc w:val="left"/>
              <w:snapToGrid w:val="0"/>
              <w:keepNext/>
            </w:pPr>
            <w:r>
              <w:rPr>
                <w:rFonts w:ascii="Times New Roman" w:hAnsi="Times New Roman" w:eastAsia="宋体" w:cs="Times New Roman"/>
                <w:sz w:val="21"/>
              </w:rPr>
              <w:t>需求、图导航、条件和来源共同控制</w:t>
            </w:r>
          </w:p>
        </w:tc>
        <w:tc>
          <w:tcPr>
            <w:tcW w:type="dxa" w:w="2910"/>
            <w:vAlign w:val="center"/>
          </w:tcPr>
          <w:p>
            <w:pPr>
              <w:jc w:val="center"/>
              <w:snapToGrid w:val="0"/>
              <w:keepNext/>
            </w:pPr>
            <w:r>
              <w:rPr>
                <w:rFonts w:ascii="Times New Roman" w:hAnsi="Times New Roman" w:eastAsia="宋体" w:cs="Times New Roman"/>
                <w:sz w:val="21"/>
              </w:rPr>
              <w:t>端到端问答效果与成本</w:t>
            </w:r>
          </w:p>
        </w:tc>
      </w:tr>
      <w:tr>
        <w:trPr>
          <w:cantSplit/>
        </w:trPr>
        <w:tc>
          <w:tcPr>
            <w:tcW w:type="dxa" w:w="2910"/>
            <w:vAlign w:val="center"/>
          </w:tcPr>
          <w:p>
            <w:pPr>
              <w:jc w:val="center"/>
              <w:snapToGrid w:val="0"/>
            </w:pPr>
            <w:r>
              <w:rPr>
                <w:rFonts w:ascii="Times New Roman" w:hAnsi="Times New Roman" w:eastAsia="宋体" w:cs="Times New Roman"/>
                <w:sz w:val="21"/>
              </w:rPr>
              <w:t>机制消融</w:t>
            </w:r>
          </w:p>
        </w:tc>
        <w:tc>
          <w:tcPr>
            <w:tcW w:type="dxa" w:w="2910"/>
            <w:vAlign w:val="center"/>
          </w:tcPr>
          <w:p>
            <w:pPr>
              <w:jc w:val="left"/>
              <w:snapToGrid w:val="0"/>
            </w:pPr>
            <w:r>
              <w:rPr>
                <w:rFonts w:ascii="Times New Roman" w:hAnsi="Times New Roman" w:eastAsia="宋体" w:cs="Times New Roman"/>
                <w:sz w:val="21"/>
              </w:rPr>
              <w:t>分别去除条件核对、来源去重或闭包</w:t>
            </w:r>
          </w:p>
        </w:tc>
        <w:tc>
          <w:tcPr>
            <w:tcW w:type="dxa" w:w="2910"/>
            <w:vAlign w:val="center"/>
          </w:tcPr>
          <w:p>
            <w:pPr>
              <w:jc w:val="center"/>
              <w:snapToGrid w:val="0"/>
            </w:pPr>
            <w:r>
              <w:rPr>
                <w:rFonts w:ascii="Times New Roman" w:hAnsi="Times New Roman" w:eastAsia="宋体" w:cs="Times New Roman"/>
                <w:sz w:val="21"/>
              </w:rPr>
              <w:t>各机制是否减少对应错误</w:t>
            </w:r>
          </w:p>
        </w:tc>
      </w:tr>
    </w:tbl>
    <w:p>
      <w:pPr>
        <w:pStyle w:val="aff1"/>
        <w:snapToGrid w:val="0"/>
        <w:widowControl w:val="1"/>
      </w:pPr>
      <w:r>
        <w:t>主要指标拟设为必要证据覆盖率与限定条件正确率，辅以引用正确率、框架及角色绑定正确率、未知与缺口识别正确率、分歧判断错误率、回答正确性和调用成本。必要依赖集合由人工标注确定，不能用系统返回集合定义覆盖率分母。既有“至少命中一条相关片段”的命中率不得命名为完整证据召回率。</w:t>
      </w:r>
    </w:p>
    <w:p>
      <w:pPr>
        <w:pStyle w:val="aff1"/>
        <w:snapToGrid w:val="0"/>
        <w:widowControl w:val="1"/>
      </w:pPr>
      <w:r>
        <w:t>语料构建不使用测试问题和答案，人工金标准不回填测试图。开发与测试按框架或规则家族分组，近似条款、同源转述和改写问题不跨组泄漏。参数在开发集选择后冻结；模型、提示词、语料 release 和预算均记录。结果按病种与题型报告，并进行配对比较和不确定性区间估计。当前尚无完成的金标准集或效果结果。</w:t>
      </w:r>
    </w:p>
    <w:p>
      <w:pPr>
        <w:pStyle w:val="2"/>
      </w:pPr>
      <w:r>
        <w:t>前期基础与可行性</w:t>
      </w:r>
    </w:p>
    <w:p>
      <w:pPr>
        <w:pStyle w:val="aff1"/>
        <w:snapToGrid w:val="0"/>
        <w:widowControl w:val="1"/>
      </w:pPr>
      <w:r>
        <w:t>当前代码已有文献登记、SourceSpan 与引文定位、实体和条款对象、审核发布、文本检索及图存储适配。病例流程已有病史、认知、检验和影像报告任务编排，以及调用预算、依赖版本和报告溯源机制。这些组件为本课题复用提供工程基础。</w:t>
      </w:r>
    </w:p>
    <w:p>
      <w:pPr>
        <w:pStyle w:val="aff1"/>
        <w:snapToGrid w:val="0"/>
        <w:widowControl w:val="1"/>
      </w:pPr>
      <w:r>
        <w:t>源码核对显示，现有规则抽取器主要根据术语共现生成 associated_with；现有图检索主要匹配断言和证据文本，尚不能等同于 v0.3 的类型约束导航与规则闭包检索。2026 年 9 月 28 日的 RWE 验收记录证明了患者接入和事实报告流程，但该记录中图检索为空，判断状态仍为资料不足，且未验证临床诊断性能。报告据此仅认定工程可行性，不转述为算法效果。</w:t>
      </w:r>
    </w:p>
    <w:tbl>
      <w:tblPr>
        <w:tblW w:type="dxa" w:w="8730"/>
        <w:jc w:val="center"/>
        <w:tblLayout w:type="fixed"/>
        <w:tblLook w:firstColumn="1" w:firstRow="1" w:lastColumn="0" w:lastRow="0" w:noHBand="0" w:noVBand="1" w:val="04A0"/>
        <w:tblLayout w:type="fixed"/>
        <w:tblBorders>
          <w:top w:val="single" w:sz="12" w:color="000000"/>
          <w:bottom w:val="single" w:sz="12" w:color="000000"/>
          <w:left w:val="nil" w:color="000000"/>
          <w:right w:val="nil" w:color="000000"/>
          <w:insideV w:val="nil" w:color="000000"/>
          <w:insideH w:val="nil" w:color="000000"/>
        </w:tblBorders>
      </w:tblPr>
      <w:tblGrid>
        <w:gridCol w:w="2910"/>
        <w:gridCol w:w="2910"/>
        <w:gridCol w:w="2910"/>
      </w:tblGrid>
      <w:tr>
        <w:trPr>
          <w:tblHeader w:val="true"/>
          <w:cantSplit/>
        </w:trPr>
        <w:tc>
          <w:tcPr>
            <w:tcW w:type="dxa" w:w="2910"/>
            <w:tcBorders>
              <w:bottom w:val="single" w:sz="6" w:color="000000"/>
            </w:tcBorders>
            <w:vAlign w:val="center"/>
          </w:tcPr>
          <w:p>
            <w:pPr>
              <w:jc w:val="center"/>
              <w:snapToGrid w:val="0"/>
              <w:keepNext/>
            </w:pPr>
            <w:r>
              <w:rPr>
                <w:rFonts w:ascii="Times New Roman" w:hAnsi="Times New Roman" w:eastAsia="宋体" w:cs="Times New Roman"/>
                <w:b/>
                <w:sz w:val="21"/>
              </w:rPr>
              <w:t>部分</w:t>
            </w:r>
          </w:p>
        </w:tc>
        <w:tc>
          <w:tcPr>
            <w:tcW w:type="dxa" w:w="2910"/>
            <w:tcBorders>
              <w:bottom w:val="single" w:sz="6" w:color="000000"/>
            </w:tcBorders>
            <w:vAlign w:val="center"/>
          </w:tcPr>
          <w:p>
            <w:pPr>
              <w:jc w:val="center"/>
              <w:snapToGrid w:val="0"/>
              <w:keepNext/>
            </w:pPr>
            <w:r>
              <w:rPr>
                <w:rFonts w:ascii="Times New Roman" w:hAnsi="Times New Roman" w:eastAsia="宋体" w:cs="Times New Roman"/>
                <w:b/>
                <w:sz w:val="21"/>
              </w:rPr>
              <w:t>已有基础</w:t>
            </w:r>
          </w:p>
        </w:tc>
        <w:tc>
          <w:tcPr>
            <w:tcW w:type="dxa" w:w="2910"/>
            <w:tcBorders>
              <w:bottom w:val="single" w:sz="6" w:color="000000"/>
            </w:tcBorders>
            <w:vAlign w:val="center"/>
          </w:tcPr>
          <w:p>
            <w:pPr>
              <w:jc w:val="center"/>
              <w:snapToGrid w:val="0"/>
              <w:keepNext/>
            </w:pPr>
            <w:r>
              <w:rPr>
                <w:rFonts w:ascii="Times New Roman" w:hAnsi="Times New Roman" w:eastAsia="宋体" w:cs="Times New Roman"/>
                <w:b/>
                <w:sz w:val="21"/>
              </w:rPr>
              <w:t>本课题尚需完成</w:t>
            </w:r>
          </w:p>
        </w:tc>
      </w:tr>
      <w:tr>
        <w:trPr>
          <w:cantSplit/>
        </w:trPr>
        <w:tc>
          <w:tcPr>
            <w:tcW w:type="dxa" w:w="2910"/>
            <w:vAlign w:val="center"/>
          </w:tcPr>
          <w:p>
            <w:pPr>
              <w:jc w:val="center"/>
              <w:snapToGrid w:val="0"/>
              <w:keepNext/>
            </w:pPr>
            <w:r>
              <w:rPr>
                <w:rFonts w:ascii="Times New Roman" w:hAnsi="Times New Roman" w:eastAsia="宋体" w:cs="Times New Roman"/>
                <w:sz w:val="21"/>
              </w:rPr>
              <w:t>来源与文本</w:t>
            </w:r>
          </w:p>
        </w:tc>
        <w:tc>
          <w:tcPr>
            <w:tcW w:type="dxa" w:w="2910"/>
            <w:vAlign w:val="center"/>
          </w:tcPr>
          <w:p>
            <w:pPr>
              <w:jc w:val="center"/>
              <w:snapToGrid w:val="0"/>
              <w:keepNext/>
            </w:pPr>
            <w:r>
              <w:rPr>
                <w:rFonts w:ascii="Times New Roman" w:hAnsi="Times New Roman" w:eastAsia="宋体" w:cs="Times New Roman"/>
                <w:sz w:val="21"/>
              </w:rPr>
              <w:t>文献登记、原文定位和发布机制</w:t>
            </w:r>
          </w:p>
        </w:tc>
        <w:tc>
          <w:tcPr>
            <w:tcW w:type="dxa" w:w="2910"/>
            <w:vAlign w:val="center"/>
          </w:tcPr>
          <w:p>
            <w:pPr>
              <w:jc w:val="center"/>
              <w:snapToGrid w:val="0"/>
              <w:keepNext/>
            </w:pPr>
            <w:r>
              <w:rPr>
                <w:rFonts w:ascii="Times New Roman" w:hAnsi="Times New Roman" w:eastAsia="宋体" w:cs="Times New Roman"/>
                <w:sz w:val="21"/>
              </w:rPr>
              <w:t>新文献批次的版面恢复及完整审核</w:t>
            </w:r>
          </w:p>
        </w:tc>
      </w:tr>
      <w:tr>
        <w:trPr>
          <w:cantSplit/>
        </w:trPr>
        <w:tc>
          <w:tcPr>
            <w:tcW w:type="dxa" w:w="2910"/>
            <w:vAlign w:val="center"/>
          </w:tcPr>
          <w:p>
            <w:pPr>
              <w:jc w:val="center"/>
              <w:snapToGrid w:val="0"/>
              <w:keepNext/>
            </w:pPr>
            <w:r>
              <w:rPr>
                <w:rFonts w:ascii="Times New Roman" w:hAnsi="Times New Roman" w:eastAsia="宋体" w:cs="Times New Roman"/>
                <w:sz w:val="21"/>
              </w:rPr>
              <w:t>知识抽取</w:t>
            </w:r>
          </w:p>
        </w:tc>
        <w:tc>
          <w:tcPr>
            <w:tcW w:type="dxa" w:w="2910"/>
            <w:vAlign w:val="center"/>
          </w:tcPr>
          <w:p>
            <w:pPr>
              <w:jc w:val="left"/>
              <w:snapToGrid w:val="0"/>
              <w:keepNext/>
            </w:pPr>
            <w:r>
              <w:rPr>
                <w:rFonts w:ascii="Times New Roman" w:hAnsi="Times New Roman" w:eastAsia="宋体" w:cs="Times New Roman"/>
                <w:sz w:val="21"/>
              </w:rPr>
              <w:t>共现候选及部分条件 schema</w:t>
            </w:r>
          </w:p>
        </w:tc>
        <w:tc>
          <w:tcPr>
            <w:tcW w:type="dxa" w:w="2910"/>
            <w:vAlign w:val="center"/>
          </w:tcPr>
          <w:p>
            <w:pPr>
              <w:jc w:val="left"/>
              <w:snapToGrid w:val="0"/>
              <w:keepNext/>
            </w:pPr>
            <w:r>
              <w:rPr>
                <w:rFonts w:ascii="Times New Roman" w:hAnsi="Times New Roman" w:eastAsia="宋体" w:cs="Times New Roman"/>
                <w:sz w:val="21"/>
              </w:rPr>
              <w:t>来源主张抽取、规则组装与字段依据</w:t>
            </w:r>
          </w:p>
        </w:tc>
      </w:tr>
      <w:tr>
        <w:trPr>
          <w:cantSplit/>
        </w:trPr>
        <w:tc>
          <w:tcPr>
            <w:tcW w:type="dxa" w:w="2910"/>
            <w:vAlign w:val="center"/>
          </w:tcPr>
          <w:p>
            <w:pPr>
              <w:jc w:val="center"/>
              <w:snapToGrid w:val="0"/>
              <w:keepNext/>
            </w:pPr>
            <w:r>
              <w:rPr>
                <w:rFonts w:ascii="Times New Roman" w:hAnsi="Times New Roman" w:eastAsia="宋体" w:cs="Times New Roman"/>
                <w:sz w:val="21"/>
              </w:rPr>
              <w:t>图谱结构</w:t>
            </w:r>
          </w:p>
        </w:tc>
        <w:tc>
          <w:tcPr>
            <w:tcW w:type="dxa" w:w="2910"/>
            <w:vAlign w:val="center"/>
          </w:tcPr>
          <w:p>
            <w:pPr>
              <w:jc w:val="center"/>
              <w:snapToGrid w:val="0"/>
              <w:keepNext/>
            </w:pPr>
            <w:r>
              <w:rPr>
                <w:rFonts w:ascii="Times New Roman" w:hAnsi="Times New Roman" w:eastAsia="宋体" w:cs="Times New Roman"/>
                <w:sz w:val="21"/>
              </w:rPr>
              <w:t>基础实体与断言图存储</w:t>
            </w:r>
          </w:p>
        </w:tc>
        <w:tc>
          <w:tcPr>
            <w:tcW w:type="dxa" w:w="2910"/>
            <w:vAlign w:val="center"/>
          </w:tcPr>
          <w:p>
            <w:pPr>
              <w:jc w:val="left"/>
              <w:snapToGrid w:val="0"/>
              <w:keepNext/>
            </w:pPr>
            <w:r>
              <w:rPr>
                <w:rFonts w:ascii="Times New Roman" w:hAnsi="Times New Roman" w:eastAsia="宋体" w:cs="Times New Roman"/>
                <w:sz w:val="21"/>
              </w:rPr>
              <w:t>v0.3 三层对象和注册关系迁移</w:t>
            </w:r>
          </w:p>
        </w:tc>
      </w:tr>
      <w:tr>
        <w:trPr>
          <w:cantSplit/>
        </w:trPr>
        <w:tc>
          <w:tcPr>
            <w:tcW w:type="dxa" w:w="2910"/>
            <w:vAlign w:val="center"/>
          </w:tcPr>
          <w:p>
            <w:pPr>
              <w:jc w:val="center"/>
              <w:snapToGrid w:val="0"/>
              <w:keepNext/>
            </w:pPr>
            <w:r>
              <w:rPr>
                <w:rFonts w:ascii="Times New Roman" w:hAnsi="Times New Roman" w:eastAsia="宋体" w:cs="Times New Roman"/>
                <w:sz w:val="21"/>
              </w:rPr>
              <w:t>在线检索</w:t>
            </w:r>
          </w:p>
        </w:tc>
        <w:tc>
          <w:tcPr>
            <w:tcW w:type="dxa" w:w="2910"/>
            <w:vAlign w:val="center"/>
          </w:tcPr>
          <w:p>
            <w:pPr>
              <w:jc w:val="center"/>
              <w:snapToGrid w:val="0"/>
              <w:keepNext/>
            </w:pPr>
            <w:r>
              <w:rPr>
                <w:rFonts w:ascii="Times New Roman" w:hAnsi="Times New Roman" w:eastAsia="宋体" w:cs="Times New Roman"/>
                <w:sz w:val="21"/>
              </w:rPr>
              <w:t>BM25、向量及图接口</w:t>
            </w:r>
          </w:p>
        </w:tc>
        <w:tc>
          <w:tcPr>
            <w:tcW w:type="dxa" w:w="2910"/>
            <w:vAlign w:val="center"/>
          </w:tcPr>
          <w:p>
            <w:pPr>
              <w:jc w:val="center"/>
              <w:snapToGrid w:val="0"/>
              <w:keepNext/>
            </w:pPr>
            <w:r>
              <w:rPr>
                <w:rFonts w:ascii="Times New Roman" w:hAnsi="Times New Roman" w:eastAsia="宋体" w:cs="Times New Roman"/>
                <w:sz w:val="21"/>
              </w:rPr>
              <w:t>逐需求状态、类型导航与依赖闭包</w:t>
            </w:r>
          </w:p>
        </w:tc>
      </w:tr>
      <w:tr>
        <w:trPr>
          <w:cantSplit/>
        </w:trPr>
        <w:tc>
          <w:tcPr>
            <w:tcW w:type="dxa" w:w="2910"/>
            <w:vAlign w:val="center"/>
          </w:tcPr>
          <w:p>
            <w:pPr>
              <w:jc w:val="center"/>
              <w:snapToGrid w:val="0"/>
            </w:pPr>
            <w:r>
              <w:rPr>
                <w:rFonts w:ascii="Times New Roman" w:hAnsi="Times New Roman" w:eastAsia="宋体" w:cs="Times New Roman"/>
                <w:sz w:val="21"/>
              </w:rPr>
              <w:t>工程验证</w:t>
            </w:r>
          </w:p>
        </w:tc>
        <w:tc>
          <w:tcPr>
            <w:tcW w:type="dxa" w:w="2910"/>
            <w:vAlign w:val="center"/>
          </w:tcPr>
          <w:p>
            <w:pPr>
              <w:jc w:val="center"/>
              <w:snapToGrid w:val="0"/>
            </w:pPr>
            <w:r>
              <w:rPr>
                <w:rFonts w:ascii="Times New Roman" w:hAnsi="Times New Roman" w:eastAsia="宋体" w:cs="Times New Roman"/>
                <w:sz w:val="21"/>
              </w:rPr>
              <w:t>历史运行与代码验收记录</w:t>
            </w:r>
          </w:p>
        </w:tc>
        <w:tc>
          <w:tcPr>
            <w:tcW w:type="dxa" w:w="2910"/>
            <w:vAlign w:val="center"/>
          </w:tcPr>
          <w:p>
            <w:pPr>
              <w:jc w:val="center"/>
              <w:snapToGrid w:val="0"/>
            </w:pPr>
            <w:r>
              <w:rPr>
                <w:rFonts w:ascii="Times New Roman" w:hAnsi="Times New Roman" w:eastAsia="宋体" w:cs="Times New Roman"/>
                <w:sz w:val="21"/>
              </w:rPr>
              <w:t>独立问答实验和错误分析</w:t>
            </w:r>
          </w:p>
        </w:tc>
      </w:tr>
    </w:tbl>
    <w:p>
      <w:pPr>
        <w:pStyle w:val="aff1"/>
        <w:snapToGrid w:val="0"/>
        <w:widowControl w:val="1"/>
      </w:pPr>
      <w:r>
        <w:t>DiaMond 原始影像分类仍受既有验证阻断约束，不作为本课题核心问答实验的依赖。病例复核与经验库保留为后续研究方向，与本文献任务的结论分别评价。</w:t>
      </w:r>
    </w:p>
    <w:p>
      <w:pPr>
        <w:pStyle w:val="2"/>
      </w:pPr>
      <w:r>
        <w:t>实施阶段与预期成果</w:t>
      </w:r>
    </w:p>
    <w:p>
      <w:pPr>
        <w:pStyle w:val="aff1"/>
        <w:snapToGrid w:val="0"/>
        <w:widowControl w:val="1"/>
      </w:pPr>
      <w:r>
        <w:t>第一阶段明确类型、关系和发布契约，落地知识与来源分层的最小对象链，并建立原文覆盖清单。第二阶段完成 DLB、AD 血液标志物指南和 ALS 资料的试点抽取与人工审核，检验计数、用途条件及区域逻辑。第三阶段扩展模式、框架和规则对象，开展 PD、bvFTD、MSA 与 PSP 的复杂结构压力检验。第四阶段实现在线问答、建立分组评测并完成对照与消融。</w:t>
      </w:r>
    </w:p>
    <w:p>
      <w:pPr>
        <w:pStyle w:val="aff1"/>
        <w:snapToGrid w:val="0"/>
        <w:widowControl w:val="1"/>
      </w:pPr>
      <w:r>
        <w:t>预期形成分层图谱契约、可追溯的审核知识集、抽取与检索原型、问答评测集和实验报告。节点规模、效果提升幅度与具体实验样本量在试点后确定，不在开题阶段承诺未经验证的准确率或领先性。若图检索未显示额外增益，仍应保留结构与审核方面的结果，并据实验收敛研究结论。</w:t>
      </w:r>
    </w:p>
    <w:p>
      <w:pPr>
        <w:pStyle w:val="10"/>
      </w:pPr>
      <w:r>
        <w:t>图谱结构</w:t>
      </w:r>
    </w:p>
    <w:p>
      <w:pPr>
        <w:pStyle w:val="2"/>
      </w:pPr>
      <w:r>
        <w:t>三层图谱的总体结构</w:t>
      </w:r>
    </w:p>
    <w:p>
      <w:pPr>
        <w:pStyle w:val="aff1"/>
        <w:snapToGrid w:val="0"/>
        <w:widowControl w:val="1"/>
      </w:pPr>
      <w:r>
        <w:t>本研究采用当前 v0.3 结构，将领域知识组织为知识内容层、来源主张层和文档与原文层。知识主图先回答“知识是什么、怎样连接”，展开来源后回答“哪些字段或关系由哪篇文献的哪段原文支撑”。展示时来源可折叠，构建时来源映射须同步保留。</w:t>
      </w:r>
    </w:p>
    <w:p>
      <w:pPr>
        <w:pStyle w:val="aff6"/>
        <w:snapToGrid w:val="0"/>
        <w:keepNext/>
      </w:pPr>
      <w:r>
        <w:drawing>
          <wp:inline xmlns:a="http://schemas.openxmlformats.org/drawingml/2006/main" xmlns:pic="http://schemas.openxmlformats.org/drawingml/2006/picture">
            <wp:extent cx="5400000" cy="3780000"/>
            <wp:docPr id="2" name="Picture 2" descr="知识内容 来源主张与原文三层结构示意" title="知识内容 来源主张与原文三层结构示意"/>
            <wp:cNvGraphicFramePr>
              <a:graphicFrameLocks noChangeAspect="1"/>
            </wp:cNvGraphicFramePr>
            <a:graphic>
              <a:graphicData uri="http://schemas.openxmlformats.org/drawingml/2006/picture">
                <pic:pic>
                  <pic:nvPicPr>
                    <pic:cNvPr id="0" name="NeuroGRA_开题报告_三层图谱.png"/>
                    <pic:cNvPicPr/>
                  </pic:nvPicPr>
                  <pic:blipFill>
                    <a:blip r:embed="rId14"/>
                    <a:stretch>
                      <a:fillRect/>
                    </a:stretch>
                  </pic:blipFill>
                  <pic:spPr>
                    <a:xfrm>
                      <a:off x="0" y="0"/>
                      <a:ext cx="5400000" cy="3780000"/>
                    </a:xfrm>
                    <a:prstGeom prst="rect"/>
                  </pic:spPr>
                </pic:pic>
              </a:graphicData>
            </a:graphic>
          </wp:inline>
        </w:drawing>
      </w:r>
    </w:p>
    <w:p>
      <w:pPr>
        <w:pStyle w:val="aff3"/>
        <w:snapToGrid w:val="0"/>
        <w:keepNext w:val="0"/>
        <w:keepLines/>
      </w:pPr>
      <w:r>
        <w:t xml:space="preserve">图 </w:t>
      </w:r>
      <w:r>
        <w:fldChar w:fldCharType="begin" w:fldLock="true"/>
      </w:r>
      <w:r>
        <w:instrText xml:space="preserve"> STYLEREF 1 \n </w:instrText>
      </w:r>
      <w:r>
        <w:fldChar w:fldCharType="separate"/>
      </w:r>
      <w:r>
        <w:t>4</w:t>
      </w:r>
      <w:r>
        <w:fldChar w:fldCharType="end"/>
      </w:r>
      <w:r>
        <w:t>-</w:t>
      </w:r>
      <w:r>
        <w:fldChar w:fldCharType="begin" w:fldLock="true"/>
      </w:r>
      <w:r>
        <w:instrText xml:space="preserve"> SEQ 图 \* ARABIC \s 1 </w:instrText>
      </w:r>
      <w:r>
        <w:fldChar w:fldCharType="separate"/>
      </w:r>
      <w:r>
        <w:t>1</w:t>
      </w:r>
      <w:r>
        <w:fldChar w:fldCharType="end"/>
      </w:r>
      <w:r>
        <w:t xml:space="preserve"> 知识内容 来源主张与原文三层结构示意</w:t>
      </w:r>
    </w:p>
    <w:p>
      <w:pPr>
        <w:pStyle w:val="aff1"/>
        <w:snapToGrid w:val="0"/>
        <w:widowControl w:val="1"/>
      </w:pPr>
      <w:r>
        <w:t>L1 知识内容层保存医学概念、临床模式、时间与区域约束、测量定义、检测用途、标准版本、条目角色、规则、类别和分期。L2 来源主张层保存某个文档实际提出的陈述及其条件、语气和字段依据。L3 保存冻结文档与精确原文。病例观测与问答运行状态在独立模块中引用图谱，不把患者结果写进通用模式定义。</w:t>
      </w:r>
    </w:p>
    <w:p>
      <w:pPr>
        <w:pStyle w:val="2"/>
      </w:pPr>
      <w:r>
        <w:t>核心节点类型</w:t>
      </w:r>
    </w:p>
    <w:p>
      <w:pPr>
        <w:pStyle w:val="aff1"/>
        <w:snapToGrid w:val="0"/>
        <w:widowControl w:val="1"/>
      </w:pPr>
      <w:r>
        <w:t>v0.3 规定 17 类核心节点，其中 L1 为 14 类，L2 为 1 类，L3 为 2 类。疾病、综合征、表型等是 Concept 的子类型。初期可以实现该契约的阶段性子集，但不得将尚未实现的类型计入实际已建图规模。</w:t>
      </w:r>
    </w:p>
    <w:tbl>
      <w:tblPr>
        <w:tblW w:type="dxa" w:w="8730"/>
        <w:jc w:val="center"/>
        <w:tblLayout w:type="fixed"/>
        <w:tblLook w:firstColumn="1" w:firstRow="1" w:lastColumn="0" w:lastRow="0" w:noHBand="0" w:noVBand="1" w:val="04A0"/>
        <w:tblLayout w:type="fixed"/>
        <w:tblBorders>
          <w:top w:val="single" w:sz="12" w:color="000000"/>
          <w:bottom w:val="single" w:sz="12" w:color="000000"/>
          <w:left w:val="nil" w:color="000000"/>
          <w:right w:val="nil" w:color="000000"/>
          <w:insideV w:val="nil" w:color="000000"/>
          <w:insideH w:val="nil" w:color="000000"/>
        </w:tblBorders>
      </w:tblPr>
      <w:tblGrid>
        <w:gridCol w:w="2910"/>
        <w:gridCol w:w="2910"/>
        <w:gridCol w:w="2910"/>
      </w:tblGrid>
      <w:tr>
        <w:trPr>
          <w:tblHeader w:val="true"/>
          <w:cantSplit/>
        </w:trPr>
        <w:tc>
          <w:tcPr>
            <w:tcW w:type="dxa" w:w="2910"/>
            <w:tcBorders>
              <w:bottom w:val="single" w:sz="6" w:color="000000"/>
            </w:tcBorders>
            <w:vAlign w:val="center"/>
          </w:tcPr>
          <w:p>
            <w:pPr>
              <w:jc w:val="center"/>
              <w:snapToGrid w:val="0"/>
            </w:pPr>
            <w:r>
              <w:rPr>
                <w:rFonts w:ascii="Times New Roman" w:hAnsi="Times New Roman" w:eastAsia="宋体" w:cs="Times New Roman"/>
                <w:b/>
                <w:sz w:val="21"/>
              </w:rPr>
              <w:t>层</w:t>
            </w:r>
          </w:p>
        </w:tc>
        <w:tc>
          <w:tcPr>
            <w:tcW w:type="dxa" w:w="2910"/>
            <w:tcBorders>
              <w:bottom w:val="single" w:sz="6" w:color="000000"/>
            </w:tcBorders>
            <w:vAlign w:val="center"/>
          </w:tcPr>
          <w:p>
            <w:pPr>
              <w:jc w:val="center"/>
              <w:snapToGrid w:val="0"/>
            </w:pPr>
            <w:r>
              <w:rPr>
                <w:rFonts w:ascii="Times New Roman" w:hAnsi="Times New Roman" w:eastAsia="宋体" w:cs="Times New Roman"/>
                <w:b/>
                <w:sz w:val="21"/>
              </w:rPr>
              <w:t>节点类型</w:t>
            </w:r>
          </w:p>
        </w:tc>
        <w:tc>
          <w:tcPr>
            <w:tcW w:type="dxa" w:w="2910"/>
            <w:tcBorders>
              <w:bottom w:val="single" w:sz="6" w:color="000000"/>
            </w:tcBorders>
            <w:vAlign w:val="center"/>
          </w:tcPr>
          <w:p>
            <w:pPr>
              <w:jc w:val="center"/>
              <w:snapToGrid w:val="0"/>
            </w:pPr>
            <w:r>
              <w:rPr>
                <w:rFonts w:ascii="Times New Roman" w:hAnsi="Times New Roman" w:eastAsia="宋体" w:cs="Times New Roman"/>
                <w:b/>
                <w:sz w:val="21"/>
              </w:rPr>
              <w:t>含义与主要内容</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center"/>
              <w:snapToGrid w:val="0"/>
            </w:pPr>
            <w:r>
              <w:rPr>
                <w:rFonts w:ascii="Times New Roman" w:hAnsi="Times New Roman" w:eastAsia="宋体" w:cs="Times New Roman"/>
                <w:sz w:val="21"/>
              </w:rPr>
              <w:t>Concept</w:t>
            </w:r>
          </w:p>
        </w:tc>
        <w:tc>
          <w:tcPr>
            <w:tcW w:type="dxa" w:w="2910"/>
            <w:vAlign w:val="center"/>
          </w:tcPr>
          <w:p>
            <w:pPr>
              <w:jc w:val="left"/>
              <w:snapToGrid w:val="0"/>
            </w:pPr>
            <w:r>
              <w:rPr>
                <w:rFonts w:ascii="Times New Roman" w:hAnsi="Times New Roman" w:eastAsia="宋体" w:cs="Times New Roman"/>
                <w:sz w:val="21"/>
              </w:rPr>
              <w:t>医学概念身份、定义、别名与外部映射</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center"/>
              <w:snapToGrid w:val="0"/>
            </w:pPr>
            <w:r>
              <w:rPr>
                <w:rFonts w:ascii="Times New Roman" w:hAnsi="Times New Roman" w:eastAsia="宋体" w:cs="Times New Roman"/>
                <w:sz w:val="21"/>
              </w:rPr>
              <w:t>ClinicalPattern</w:t>
            </w:r>
          </w:p>
        </w:tc>
        <w:tc>
          <w:tcPr>
            <w:tcW w:type="dxa" w:w="2910"/>
            <w:vAlign w:val="center"/>
          </w:tcPr>
          <w:p>
            <w:pPr>
              <w:jc w:val="center"/>
              <w:snapToGrid w:val="0"/>
            </w:pPr>
            <w:r>
              <w:rPr>
                <w:rFonts w:ascii="Times New Roman" w:hAnsi="Times New Roman" w:eastAsia="宋体" w:cs="Times New Roman"/>
                <w:sz w:val="21"/>
              </w:rPr>
              <w:t>表现或结果的组合模式及适用范围</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left"/>
              <w:snapToGrid w:val="0"/>
            </w:pPr>
            <w:r>
              <w:rPr>
                <w:rFonts w:ascii="Times New Roman" w:hAnsi="Times New Roman" w:eastAsia="宋体" w:cs="Times New Roman"/>
                <w:sz w:val="21"/>
              </w:rPr>
              <w:t>TemporalConstraint</w:t>
            </w:r>
          </w:p>
        </w:tc>
        <w:tc>
          <w:tcPr>
            <w:tcW w:type="dxa" w:w="2910"/>
            <w:vAlign w:val="center"/>
          </w:tcPr>
          <w:p>
            <w:pPr>
              <w:jc w:val="center"/>
              <w:snapToGrid w:val="0"/>
            </w:pPr>
            <w:r>
              <w:rPr>
                <w:rFonts w:ascii="Times New Roman" w:hAnsi="Times New Roman" w:eastAsia="宋体" w:cs="Times New Roman"/>
                <w:sz w:val="21"/>
              </w:rPr>
              <w:t>时间起点、顺序、窗口与变化定义</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left"/>
              <w:snapToGrid w:val="0"/>
            </w:pPr>
            <w:r>
              <w:rPr>
                <w:rFonts w:ascii="Times New Roman" w:hAnsi="Times New Roman" w:eastAsia="宋体" w:cs="Times New Roman"/>
                <w:sz w:val="21"/>
              </w:rPr>
              <w:t>DistributionConstraint</w:t>
            </w:r>
          </w:p>
        </w:tc>
        <w:tc>
          <w:tcPr>
            <w:tcW w:type="dxa" w:w="2910"/>
            <w:vAlign w:val="center"/>
          </w:tcPr>
          <w:p>
            <w:pPr>
              <w:jc w:val="center"/>
              <w:snapToGrid w:val="0"/>
            </w:pPr>
            <w:r>
              <w:rPr>
                <w:rFonts w:ascii="Times New Roman" w:hAnsi="Times New Roman" w:eastAsia="宋体" w:cs="Times New Roman"/>
                <w:sz w:val="21"/>
              </w:rPr>
              <w:t>区域、侧别、变量与去重计数条件</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left"/>
              <w:snapToGrid w:val="0"/>
            </w:pPr>
            <w:r>
              <w:rPr>
                <w:rFonts w:ascii="Times New Roman" w:hAnsi="Times New Roman" w:eastAsia="宋体" w:cs="Times New Roman"/>
                <w:sz w:val="21"/>
              </w:rPr>
              <w:t>MeasurementDefinition</w:t>
            </w:r>
          </w:p>
        </w:tc>
        <w:tc>
          <w:tcPr>
            <w:tcW w:type="dxa" w:w="2910"/>
            <w:vAlign w:val="center"/>
          </w:tcPr>
          <w:p>
            <w:pPr>
              <w:jc w:val="left"/>
              <w:snapToGrid w:val="0"/>
            </w:pPr>
            <w:r>
              <w:rPr>
                <w:rFonts w:ascii="Times New Roman" w:hAnsi="Times New Roman" w:eastAsia="宋体" w:cs="Times New Roman"/>
                <w:sz w:val="21"/>
              </w:rPr>
              <w:t>测量对象、方法、样本、平台及单位</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center"/>
              <w:snapToGrid w:val="0"/>
            </w:pPr>
            <w:r>
              <w:rPr>
                <w:rFonts w:ascii="Times New Roman" w:hAnsi="Times New Roman" w:eastAsia="宋体" w:cs="Times New Roman"/>
                <w:sz w:val="21"/>
              </w:rPr>
              <w:t>DiagnosticUse</w:t>
            </w:r>
          </w:p>
        </w:tc>
        <w:tc>
          <w:tcPr>
            <w:tcW w:type="dxa" w:w="2910"/>
            <w:vAlign w:val="center"/>
          </w:tcPr>
          <w:p>
            <w:pPr>
              <w:jc w:val="left"/>
              <w:snapToGrid w:val="0"/>
            </w:pPr>
            <w:r>
              <w:rPr>
                <w:rFonts w:ascii="Times New Roman" w:hAnsi="Times New Roman" w:eastAsia="宋体" w:cs="Times New Roman"/>
                <w:sz w:val="21"/>
              </w:rPr>
              <w:t>特定测量的分流、确认、鉴别或分期用途</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left"/>
              <w:snapToGrid w:val="0"/>
            </w:pPr>
            <w:r>
              <w:rPr>
                <w:rFonts w:ascii="Times New Roman" w:hAnsi="Times New Roman" w:eastAsia="宋体" w:cs="Times New Roman"/>
                <w:sz w:val="21"/>
              </w:rPr>
              <w:t>FrameworkVersion</w:t>
            </w:r>
          </w:p>
        </w:tc>
        <w:tc>
          <w:tcPr>
            <w:tcW w:type="dxa" w:w="2910"/>
            <w:vAlign w:val="center"/>
          </w:tcPr>
          <w:p>
            <w:pPr>
              <w:jc w:val="left"/>
              <w:snapToGrid w:val="0"/>
            </w:pPr>
            <w:r>
              <w:rPr>
                <w:rFonts w:ascii="Times New Roman" w:hAnsi="Times New Roman" w:eastAsia="宋体" w:cs="Times New Roman"/>
                <w:sz w:val="21"/>
              </w:rPr>
              <w:t>某疾病的标准版本、用途和适用范围</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center"/>
              <w:snapToGrid w:val="0"/>
            </w:pPr>
            <w:r>
              <w:rPr>
                <w:rFonts w:ascii="Times New Roman" w:hAnsi="Times New Roman" w:eastAsia="宋体" w:cs="Times New Roman"/>
                <w:sz w:val="21"/>
              </w:rPr>
              <w:t>Criterion</w:t>
            </w:r>
          </w:p>
        </w:tc>
        <w:tc>
          <w:tcPr>
            <w:tcW w:type="dxa" w:w="2910"/>
            <w:vAlign w:val="center"/>
          </w:tcPr>
          <w:p>
            <w:pPr>
              <w:jc w:val="left"/>
              <w:snapToGrid w:val="0"/>
            </w:pPr>
            <w:r>
              <w:rPr>
                <w:rFonts w:ascii="Times New Roman" w:hAnsi="Times New Roman" w:eastAsia="宋体" w:cs="Times New Roman"/>
                <w:sz w:val="21"/>
              </w:rPr>
              <w:t>标准条目、操作定义及所核对的模式</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left"/>
              <w:snapToGrid w:val="0"/>
            </w:pPr>
            <w:r>
              <w:rPr>
                <w:rFonts w:ascii="Times New Roman" w:hAnsi="Times New Roman" w:eastAsia="宋体" w:cs="Times New Roman"/>
                <w:sz w:val="21"/>
              </w:rPr>
              <w:t>CriterionBinding</w:t>
            </w:r>
          </w:p>
        </w:tc>
        <w:tc>
          <w:tcPr>
            <w:tcW w:type="dxa" w:w="2910"/>
            <w:vAlign w:val="center"/>
          </w:tcPr>
          <w:p>
            <w:pPr>
              <w:jc w:val="center"/>
              <w:snapToGrid w:val="0"/>
            </w:pPr>
            <w:r>
              <w:rPr>
                <w:rFonts w:ascii="Times New Roman" w:hAnsi="Times New Roman" w:eastAsia="宋体" w:cs="Times New Roman"/>
                <w:sz w:val="21"/>
              </w:rPr>
              <w:t>条目在指定框架和类别中的角色</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center"/>
              <w:snapToGrid w:val="0"/>
            </w:pPr>
            <w:r>
              <w:rPr>
                <w:rFonts w:ascii="Times New Roman" w:hAnsi="Times New Roman" w:eastAsia="宋体" w:cs="Times New Roman"/>
                <w:sz w:val="21"/>
              </w:rPr>
              <w:t>DiagnosticRule</w:t>
            </w:r>
          </w:p>
        </w:tc>
        <w:tc>
          <w:tcPr>
            <w:tcW w:type="dxa" w:w="2910"/>
            <w:vAlign w:val="center"/>
          </w:tcPr>
          <w:p>
            <w:pPr>
              <w:jc w:val="left"/>
              <w:snapToGrid w:val="0"/>
            </w:pPr>
            <w:r>
              <w:rPr>
                <w:rFonts w:ascii="Times New Roman" w:hAnsi="Times New Roman" w:eastAsia="宋体" w:cs="Times New Roman"/>
                <w:sz w:val="21"/>
              </w:rPr>
              <w:t>组合逻辑、门控、计数、例外与依赖</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left"/>
              <w:snapToGrid w:val="0"/>
            </w:pPr>
            <w:r>
              <w:rPr>
                <w:rFonts w:ascii="Times New Roman" w:hAnsi="Times New Roman" w:eastAsia="宋体" w:cs="Times New Roman"/>
                <w:sz w:val="21"/>
              </w:rPr>
              <w:t>DiagnosticCategory</w:t>
            </w:r>
          </w:p>
        </w:tc>
        <w:tc>
          <w:tcPr>
            <w:tcW w:type="dxa" w:w="2910"/>
            <w:vAlign w:val="center"/>
          </w:tcPr>
          <w:p>
            <w:pPr>
              <w:jc w:val="center"/>
              <w:snapToGrid w:val="0"/>
            </w:pPr>
            <w:r>
              <w:rPr>
                <w:rFonts w:ascii="Times New Roman" w:hAnsi="Times New Roman" w:eastAsia="宋体" w:cs="Times New Roman"/>
                <w:sz w:val="21"/>
              </w:rPr>
              <w:t>框架定义的诊断类别及其含义</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center"/>
              <w:snapToGrid w:val="0"/>
            </w:pPr>
            <w:r>
              <w:rPr>
                <w:rFonts w:ascii="Times New Roman" w:hAnsi="Times New Roman" w:eastAsia="宋体" w:cs="Times New Roman"/>
                <w:sz w:val="21"/>
              </w:rPr>
              <w:t>StageScheme</w:t>
            </w:r>
          </w:p>
        </w:tc>
        <w:tc>
          <w:tcPr>
            <w:tcW w:type="dxa" w:w="2910"/>
            <w:vAlign w:val="center"/>
          </w:tcPr>
          <w:p>
            <w:pPr>
              <w:jc w:val="center"/>
              <w:snapToGrid w:val="0"/>
            </w:pPr>
            <w:r>
              <w:rPr>
                <w:rFonts w:ascii="Times New Roman" w:hAnsi="Times New Roman" w:eastAsia="宋体" w:cs="Times New Roman"/>
                <w:sz w:val="21"/>
              </w:rPr>
              <w:t>分期轴与该轴上的方案</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center"/>
              <w:snapToGrid w:val="0"/>
            </w:pPr>
            <w:r>
              <w:rPr>
                <w:rFonts w:ascii="Times New Roman" w:hAnsi="Times New Roman" w:eastAsia="宋体" w:cs="Times New Roman"/>
                <w:sz w:val="21"/>
              </w:rPr>
              <w:t>StageDefinition</w:t>
            </w:r>
          </w:p>
        </w:tc>
        <w:tc>
          <w:tcPr>
            <w:tcW w:type="dxa" w:w="2910"/>
            <w:vAlign w:val="center"/>
          </w:tcPr>
          <w:p>
            <w:pPr>
              <w:jc w:val="center"/>
              <w:snapToGrid w:val="0"/>
            </w:pPr>
            <w:r>
              <w:rPr>
                <w:rFonts w:ascii="Times New Roman" w:hAnsi="Times New Roman" w:eastAsia="宋体" w:cs="Times New Roman"/>
                <w:sz w:val="21"/>
              </w:rPr>
              <w:t>某分期方案中的阶段与归属条件</w:t>
            </w:r>
          </w:p>
        </w:tc>
      </w:tr>
      <w:tr>
        <w:trPr>
          <w:cantSplit/>
        </w:trPr>
        <w:tc>
          <w:tcPr>
            <w:tcW w:type="dxa" w:w="2910"/>
            <w:vAlign w:val="center"/>
          </w:tcPr>
          <w:p>
            <w:pPr>
              <w:jc w:val="center"/>
              <w:snapToGrid w:val="0"/>
            </w:pPr>
            <w:r>
              <w:rPr>
                <w:rFonts w:ascii="Times New Roman" w:hAnsi="Times New Roman" w:eastAsia="宋体" w:cs="Times New Roman"/>
                <w:sz w:val="21"/>
              </w:rPr>
              <w:t>L1</w:t>
            </w:r>
          </w:p>
        </w:tc>
        <w:tc>
          <w:tcPr>
            <w:tcW w:type="dxa" w:w="2910"/>
            <w:vAlign w:val="center"/>
          </w:tcPr>
          <w:p>
            <w:pPr>
              <w:jc w:val="left"/>
              <w:snapToGrid w:val="0"/>
            </w:pPr>
            <w:r>
              <w:rPr>
                <w:rFonts w:ascii="Times New Roman" w:hAnsi="Times New Roman" w:eastAsia="宋体" w:cs="Times New Roman"/>
                <w:sz w:val="21"/>
              </w:rPr>
              <w:t>KnowledgeStatement</w:t>
            </w:r>
          </w:p>
        </w:tc>
        <w:tc>
          <w:tcPr>
            <w:tcW w:type="dxa" w:w="2910"/>
            <w:vAlign w:val="center"/>
          </w:tcPr>
          <w:p>
            <w:pPr>
              <w:jc w:val="center"/>
              <w:snapToGrid w:val="0"/>
            </w:pPr>
            <w:r>
              <w:rPr>
                <w:rFonts w:ascii="Times New Roman" w:hAnsi="Times New Roman" w:eastAsia="宋体" w:cs="Times New Roman"/>
                <w:sz w:val="21"/>
              </w:rPr>
              <w:t>可寻址的规范化知识关系命题</w:t>
            </w:r>
          </w:p>
        </w:tc>
      </w:tr>
      <w:tr>
        <w:trPr>
          <w:cantSplit/>
        </w:trPr>
        <w:tc>
          <w:tcPr>
            <w:tcW w:type="dxa" w:w="2910"/>
            <w:vAlign w:val="center"/>
          </w:tcPr>
          <w:p>
            <w:pPr>
              <w:jc w:val="center"/>
              <w:snapToGrid w:val="0"/>
            </w:pPr>
            <w:r>
              <w:rPr>
                <w:rFonts w:ascii="Times New Roman" w:hAnsi="Times New Roman" w:eastAsia="宋体" w:cs="Times New Roman"/>
                <w:sz w:val="21"/>
              </w:rPr>
              <w:t>L2</w:t>
            </w:r>
          </w:p>
        </w:tc>
        <w:tc>
          <w:tcPr>
            <w:tcW w:type="dxa" w:w="2910"/>
            <w:vAlign w:val="center"/>
          </w:tcPr>
          <w:p>
            <w:pPr>
              <w:jc w:val="center"/>
              <w:snapToGrid w:val="0"/>
            </w:pPr>
            <w:r>
              <w:rPr>
                <w:rFonts w:ascii="Times New Roman" w:hAnsi="Times New Roman" w:eastAsia="宋体" w:cs="Times New Roman"/>
                <w:sz w:val="21"/>
              </w:rPr>
              <w:t>SourceAssertion</w:t>
            </w:r>
          </w:p>
        </w:tc>
        <w:tc>
          <w:tcPr>
            <w:tcW w:type="dxa" w:w="2910"/>
            <w:vAlign w:val="center"/>
          </w:tcPr>
          <w:p>
            <w:pPr>
              <w:jc w:val="center"/>
              <w:snapToGrid w:val="0"/>
            </w:pPr>
            <w:r>
              <w:rPr>
                <w:rFonts w:ascii="Times New Roman" w:hAnsi="Times New Roman" w:eastAsia="宋体" w:cs="Times New Roman"/>
                <w:sz w:val="21"/>
              </w:rPr>
              <w:t>单个来源的具体陈述及逐字段证据</w:t>
            </w:r>
          </w:p>
        </w:tc>
      </w:tr>
      <w:tr>
        <w:trPr>
          <w:cantSplit/>
        </w:trPr>
        <w:tc>
          <w:tcPr>
            <w:tcW w:type="dxa" w:w="2910"/>
            <w:vAlign w:val="center"/>
          </w:tcPr>
          <w:p>
            <w:pPr>
              <w:jc w:val="center"/>
              <w:snapToGrid w:val="0"/>
            </w:pPr>
            <w:r>
              <w:rPr>
                <w:rFonts w:ascii="Times New Roman" w:hAnsi="Times New Roman" w:eastAsia="宋体" w:cs="Times New Roman"/>
                <w:sz w:val="21"/>
              </w:rPr>
              <w:t>L3</w:t>
            </w:r>
          </w:p>
        </w:tc>
        <w:tc>
          <w:tcPr>
            <w:tcW w:type="dxa" w:w="2910"/>
            <w:vAlign w:val="center"/>
          </w:tcPr>
          <w:p>
            <w:pPr>
              <w:jc w:val="center"/>
              <w:snapToGrid w:val="0"/>
            </w:pPr>
            <w:r>
              <w:rPr>
                <w:rFonts w:ascii="Times New Roman" w:hAnsi="Times New Roman" w:eastAsia="宋体" w:cs="Times New Roman"/>
                <w:sz w:val="21"/>
              </w:rPr>
              <w:t>DocumentVersion</w:t>
            </w:r>
          </w:p>
        </w:tc>
        <w:tc>
          <w:tcPr>
            <w:tcW w:type="dxa" w:w="2910"/>
            <w:vAlign w:val="center"/>
          </w:tcPr>
          <w:p>
            <w:pPr>
              <w:jc w:val="left"/>
              <w:snapToGrid w:val="0"/>
            </w:pPr>
            <w:r>
              <w:rPr>
                <w:rFonts w:ascii="Times New Roman" w:hAnsi="Times New Roman" w:eastAsia="宋体" w:cs="Times New Roman"/>
                <w:sz w:val="21"/>
              </w:rPr>
              <w:t>文献身份、内容版本、元数据与校验和</w:t>
            </w:r>
          </w:p>
        </w:tc>
      </w:tr>
      <w:tr>
        <w:trPr>
          <w:cantSplit/>
        </w:trPr>
        <w:tc>
          <w:tcPr>
            <w:tcW w:type="dxa" w:w="2910"/>
            <w:vAlign w:val="center"/>
          </w:tcPr>
          <w:p>
            <w:pPr>
              <w:jc w:val="center"/>
              <w:snapToGrid w:val="0"/>
            </w:pPr>
            <w:r>
              <w:rPr>
                <w:rFonts w:ascii="Times New Roman" w:hAnsi="Times New Roman" w:eastAsia="宋体" w:cs="Times New Roman"/>
                <w:sz w:val="21"/>
              </w:rPr>
              <w:t>L3</w:t>
            </w:r>
          </w:p>
        </w:tc>
        <w:tc>
          <w:tcPr>
            <w:tcW w:type="dxa" w:w="2910"/>
            <w:vAlign w:val="center"/>
          </w:tcPr>
          <w:p>
            <w:pPr>
              <w:jc w:val="center"/>
              <w:snapToGrid w:val="0"/>
            </w:pPr>
            <w:r>
              <w:rPr>
                <w:rFonts w:ascii="Times New Roman" w:hAnsi="Times New Roman" w:eastAsia="宋体" w:cs="Times New Roman"/>
                <w:sz w:val="21"/>
              </w:rPr>
              <w:t>SourceSpan</w:t>
            </w:r>
          </w:p>
        </w:tc>
        <w:tc>
          <w:tcPr>
            <w:tcW w:type="dxa" w:w="2910"/>
            <w:vAlign w:val="center"/>
          </w:tcPr>
          <w:p>
            <w:pPr>
              <w:jc w:val="left"/>
              <w:snapToGrid w:val="0"/>
            </w:pPr>
            <w:r>
              <w:rPr>
                <w:rFonts w:ascii="Times New Roman" w:hAnsi="Times New Roman" w:eastAsia="宋体" w:cs="Times New Roman"/>
                <w:sz w:val="21"/>
              </w:rPr>
              <w:t>原文、章节、页码、表格及解析版本</w:t>
            </w:r>
          </w:p>
        </w:tc>
      </w:tr>
    </w:tbl>
    <w:p>
      <w:pPr>
        <w:pStyle w:val="aff1"/>
        <w:snapToGrid w:val="0"/>
        <w:widowControl w:val="1"/>
      </w:pPr>
      <w:r>
        <w:t>临床表型、病理过程、功能状态和疾病概念分别建模，诊断类别不等于疾病严重程度。CriterionBinding 将角色绑定到框架与类别，避免把“核心”“支持”或“排除”永久写在症状概念上。同一表现可在不同框架中承担不同角色，且不因名称相同就认定操作定义等价。</w:t>
      </w:r>
    </w:p>
    <w:p>
      <w:pPr>
        <w:pStyle w:val="2"/>
      </w:pPr>
      <w:r>
        <w:t>关系类型与可寻址知识边</w:t>
      </w:r>
    </w:p>
    <w:p>
      <w:pPr>
        <w:pStyle w:val="aff1"/>
        <w:snapToGrid w:val="0"/>
        <w:widowControl w:val="1"/>
      </w:pPr>
      <w:r>
        <w:t>当前契约共注册 40 种关系，分为知识定义与组成关系 24 种、医学语义关系 9 种、关系记录表示边 2 种、来源与原文定位关系 5 种。关系的类型数量描述设计范围，不表示所有类型已有实例或已经实现。</w:t>
      </w:r>
    </w:p>
    <w:p>
      <w:pPr>
        <w:pStyle w:val="aff1"/>
        <w:snapToGrid w:val="0"/>
        <w:widowControl w:val="1"/>
      </w:pPr>
      <w:r>
        <w:t>定义关系包括模式使用概念、模式具有时间和分布约束、框架定义类别、框架声明角色绑定、绑定使用条目、规则引用绑定及规则输出类别等。医学关系包括可出现某表现、关联、支持或削弱诊断、指向某过程、可能共存和来源提出的鉴别关系。关联与支持、削弱与绝对排除、风险关联与确定致病均不可互换。</w:t>
      </w:r>
    </w:p>
    <w:p>
      <w:pPr>
        <w:pStyle w:val="aff1"/>
        <w:snapToGrid w:val="0"/>
        <w:widowControl w:val="1"/>
      </w:pPr>
      <w:r>
        <w:t>属性图中的边不能直接作为另一条边的端点。为独立追溯关系，本设计为每项具有医学或定义含义的边保留 KnowledgeStatement。主图显示 A 到 B 的直连边，边上的 statement_ref 指向关系记录；展开后从该记录查询来源。关系记录与直连边表示同一命题，不重复计为两条知识或两份证据。</w:t>
      </w:r>
    </w:p>
    <w:tbl>
      <w:tblPr>
        <w:tblW w:type="dxa" w:w="8730"/>
        <w:jc w:val="center"/>
        <w:tblLayout w:type="fixed"/>
        <w:tblLook w:firstColumn="1" w:firstRow="1" w:lastColumn="0" w:lastRow="0" w:noHBand="0" w:noVBand="1" w:val="04A0"/>
        <w:tblLayout w:type="fixed"/>
        <w:tblBorders>
          <w:top w:val="single" w:sz="12" w:color="000000"/>
          <w:bottom w:val="single" w:sz="12" w:color="000000"/>
          <w:left w:val="nil" w:color="000000"/>
          <w:right w:val="nil" w:color="000000"/>
          <w:insideV w:val="nil" w:color="000000"/>
          <w:insideH w:val="nil" w:color="000000"/>
        </w:tblBorders>
      </w:tblPr>
      <w:tblGrid>
        <w:gridCol w:w="2910"/>
        <w:gridCol w:w="2910"/>
        <w:gridCol w:w="2910"/>
      </w:tblGrid>
      <w:tr>
        <w:trPr>
          <w:tblHeader w:val="true"/>
          <w:cantSplit/>
        </w:trPr>
        <w:tc>
          <w:tcPr>
            <w:tcW w:type="dxa" w:w="2910"/>
            <w:tcBorders>
              <w:bottom w:val="single" w:sz="6" w:color="000000"/>
            </w:tcBorders>
            <w:vAlign w:val="center"/>
          </w:tcPr>
          <w:p>
            <w:pPr>
              <w:jc w:val="center"/>
              <w:snapToGrid w:val="0"/>
              <w:keepNext/>
            </w:pPr>
            <w:r>
              <w:rPr>
                <w:rFonts w:ascii="Times New Roman" w:hAnsi="Times New Roman" w:eastAsia="宋体" w:cs="Times New Roman"/>
                <w:b/>
                <w:sz w:val="21"/>
              </w:rPr>
              <w:t>关系组</w:t>
            </w:r>
          </w:p>
        </w:tc>
        <w:tc>
          <w:tcPr>
            <w:tcW w:type="dxa" w:w="2910"/>
            <w:tcBorders>
              <w:bottom w:val="single" w:sz="6" w:color="000000"/>
            </w:tcBorders>
            <w:vAlign w:val="center"/>
          </w:tcPr>
          <w:p>
            <w:pPr>
              <w:jc w:val="center"/>
              <w:snapToGrid w:val="0"/>
              <w:keepNext/>
            </w:pPr>
            <w:r>
              <w:rPr>
                <w:rFonts w:ascii="Times New Roman" w:hAnsi="Times New Roman" w:eastAsia="宋体" w:cs="Times New Roman"/>
                <w:b/>
                <w:sz w:val="21"/>
              </w:rPr>
              <w:t>代表关系</w:t>
            </w:r>
          </w:p>
        </w:tc>
        <w:tc>
          <w:tcPr>
            <w:tcW w:type="dxa" w:w="2910"/>
            <w:tcBorders>
              <w:bottom w:val="single" w:sz="6" w:color="000000"/>
            </w:tcBorders>
            <w:vAlign w:val="center"/>
          </w:tcPr>
          <w:p>
            <w:pPr>
              <w:jc w:val="center"/>
              <w:snapToGrid w:val="0"/>
              <w:keepNext/>
            </w:pPr>
            <w:r>
              <w:rPr>
                <w:rFonts w:ascii="Times New Roman" w:hAnsi="Times New Roman" w:eastAsia="宋体" w:cs="Times New Roman"/>
                <w:b/>
                <w:sz w:val="21"/>
              </w:rPr>
              <w:t>约束重点</w:t>
            </w:r>
          </w:p>
        </w:tc>
      </w:tr>
      <w:tr>
        <w:trPr>
          <w:cantSplit/>
        </w:trPr>
        <w:tc>
          <w:tcPr>
            <w:tcW w:type="dxa" w:w="2910"/>
            <w:vAlign w:val="center"/>
          </w:tcPr>
          <w:p>
            <w:pPr>
              <w:jc w:val="center"/>
              <w:snapToGrid w:val="0"/>
              <w:keepNext/>
            </w:pPr>
            <w:r>
              <w:rPr>
                <w:rFonts w:ascii="Times New Roman" w:hAnsi="Times New Roman" w:eastAsia="宋体" w:cs="Times New Roman"/>
                <w:sz w:val="21"/>
              </w:rPr>
              <w:t>定义与组成</w:t>
            </w:r>
          </w:p>
        </w:tc>
        <w:tc>
          <w:tcPr>
            <w:tcW w:type="dxa" w:w="2910"/>
            <w:vAlign w:val="center"/>
          </w:tcPr>
          <w:p>
            <w:pPr>
              <w:jc w:val="left"/>
              <w:snapToGrid w:val="0"/>
              <w:keepNext/>
            </w:pPr>
            <w:r>
              <w:rPr>
                <w:rFonts w:ascii="Times New Roman" w:hAnsi="Times New Roman" w:eastAsia="宋体" w:cs="Times New Roman"/>
                <w:sz w:val="21"/>
              </w:rPr>
              <w:t>USES_CONCEPT、USES_CRITERION、YIELDS_CATEGORY、DEPENDS_ON</w:t>
            </w:r>
          </w:p>
        </w:tc>
        <w:tc>
          <w:tcPr>
            <w:tcW w:type="dxa" w:w="2910"/>
            <w:vAlign w:val="center"/>
          </w:tcPr>
          <w:p>
            <w:pPr>
              <w:jc w:val="center"/>
              <w:snapToGrid w:val="0"/>
              <w:keepNext/>
            </w:pPr>
            <w:r>
              <w:rPr>
                <w:rFonts w:ascii="Times New Roman" w:hAnsi="Times New Roman" w:eastAsia="宋体" w:cs="Times New Roman"/>
                <w:sz w:val="21"/>
              </w:rPr>
              <w:t>明确端点、框架和必需依赖</w:t>
            </w:r>
          </w:p>
        </w:tc>
      </w:tr>
      <w:tr>
        <w:trPr>
          <w:cantSplit/>
        </w:trPr>
        <w:tc>
          <w:tcPr>
            <w:tcW w:type="dxa" w:w="2910"/>
            <w:vAlign w:val="center"/>
          </w:tcPr>
          <w:p>
            <w:pPr>
              <w:jc w:val="center"/>
              <w:snapToGrid w:val="0"/>
              <w:keepNext/>
            </w:pPr>
            <w:r>
              <w:rPr>
                <w:rFonts w:ascii="Times New Roman" w:hAnsi="Times New Roman" w:eastAsia="宋体" w:cs="Times New Roman"/>
                <w:sz w:val="21"/>
              </w:rPr>
              <w:t>医学语义</w:t>
            </w:r>
          </w:p>
        </w:tc>
        <w:tc>
          <w:tcPr>
            <w:tcW w:type="dxa" w:w="2910"/>
            <w:vAlign w:val="center"/>
          </w:tcPr>
          <w:p>
            <w:pPr>
              <w:jc w:val="left"/>
              <w:snapToGrid w:val="0"/>
              <w:keepNext/>
            </w:pPr>
            <w:r>
              <w:rPr>
                <w:rFonts w:ascii="Times New Roman" w:hAnsi="Times New Roman" w:eastAsia="宋体" w:cs="Times New Roman"/>
                <w:sz w:val="21"/>
              </w:rPr>
              <w:t>SUPPORTS_DIAGNOSIS、WEAKENS_DIAGNOSIS、DISTINGUISHES_FROM</w:t>
            </w:r>
          </w:p>
        </w:tc>
        <w:tc>
          <w:tcPr>
            <w:tcW w:type="dxa" w:w="2910"/>
            <w:vAlign w:val="center"/>
          </w:tcPr>
          <w:p>
            <w:pPr>
              <w:jc w:val="center"/>
              <w:snapToGrid w:val="0"/>
              <w:keepNext/>
            </w:pPr>
            <w:r>
              <w:rPr>
                <w:rFonts w:ascii="Times New Roman" w:hAnsi="Times New Roman" w:eastAsia="宋体" w:cs="Times New Roman"/>
                <w:sz w:val="21"/>
              </w:rPr>
              <w:t>保留条件、方向与允许用途</w:t>
            </w:r>
          </w:p>
        </w:tc>
      </w:tr>
      <w:tr>
        <w:trPr>
          <w:cantSplit/>
        </w:trPr>
        <w:tc>
          <w:tcPr>
            <w:tcW w:type="dxa" w:w="2910"/>
            <w:vAlign w:val="center"/>
          </w:tcPr>
          <w:p>
            <w:pPr>
              <w:jc w:val="center"/>
              <w:snapToGrid w:val="0"/>
              <w:keepNext/>
            </w:pPr>
            <w:r>
              <w:rPr>
                <w:rFonts w:ascii="Times New Roman" w:hAnsi="Times New Roman" w:eastAsia="宋体" w:cs="Times New Roman"/>
                <w:sz w:val="21"/>
              </w:rPr>
              <w:t>关系表示</w:t>
            </w:r>
          </w:p>
        </w:tc>
        <w:tc>
          <w:tcPr>
            <w:tcW w:type="dxa" w:w="2910"/>
            <w:vAlign w:val="center"/>
          </w:tcPr>
          <w:p>
            <w:pPr>
              <w:jc w:val="left"/>
              <w:snapToGrid w:val="0"/>
              <w:keepNext/>
            </w:pPr>
            <w:r>
              <w:rPr>
                <w:rFonts w:ascii="Times New Roman" w:hAnsi="Times New Roman" w:eastAsia="宋体" w:cs="Times New Roman"/>
                <w:sz w:val="21"/>
              </w:rPr>
              <w:t>HAS_SUBJECT、HAS_OBJECT</w:t>
            </w:r>
          </w:p>
        </w:tc>
        <w:tc>
          <w:tcPr>
            <w:tcW w:type="dxa" w:w="2910"/>
            <w:vAlign w:val="center"/>
          </w:tcPr>
          <w:p>
            <w:pPr>
              <w:jc w:val="left"/>
              <w:snapToGrid w:val="0"/>
              <w:keepNext/>
            </w:pPr>
            <w:r>
              <w:rPr>
                <w:rFonts w:ascii="Times New Roman" w:hAnsi="Times New Roman" w:eastAsia="宋体" w:cs="Times New Roman"/>
                <w:sz w:val="21"/>
              </w:rPr>
              <w:t>与 KnowledgeStatement 端点一致</w:t>
            </w:r>
          </w:p>
        </w:tc>
      </w:tr>
      <w:tr>
        <w:trPr>
          <w:cantSplit/>
        </w:trPr>
        <w:tc>
          <w:tcPr>
            <w:tcW w:type="dxa" w:w="2910"/>
            <w:vAlign w:val="center"/>
          </w:tcPr>
          <w:p>
            <w:pPr>
              <w:jc w:val="center"/>
              <w:snapToGrid w:val="0"/>
            </w:pPr>
            <w:r>
              <w:rPr>
                <w:rFonts w:ascii="Times New Roman" w:hAnsi="Times New Roman" w:eastAsia="宋体" w:cs="Times New Roman"/>
                <w:sz w:val="21"/>
              </w:rPr>
              <w:t>来源定位</w:t>
            </w:r>
          </w:p>
        </w:tc>
        <w:tc>
          <w:tcPr>
            <w:tcW w:type="dxa" w:w="2910"/>
            <w:vAlign w:val="center"/>
          </w:tcPr>
          <w:p>
            <w:pPr>
              <w:jc w:val="left"/>
              <w:snapToGrid w:val="0"/>
            </w:pPr>
            <w:r>
              <w:rPr>
                <w:rFonts w:ascii="Times New Roman" w:hAnsi="Times New Roman" w:eastAsia="宋体" w:cs="Times New Roman"/>
                <w:sz w:val="21"/>
              </w:rPr>
              <w:t>HAS_SOURCE、FROM_DOCUMENT、EVIDENCED_BY、PART_OF_DOCUMENT、DOCUMENT_RELATION</w:t>
            </w:r>
          </w:p>
        </w:tc>
        <w:tc>
          <w:tcPr>
            <w:tcW w:type="dxa" w:w="2910"/>
            <w:vAlign w:val="center"/>
          </w:tcPr>
          <w:p>
            <w:pPr>
              <w:jc w:val="center"/>
              <w:snapToGrid w:val="0"/>
            </w:pPr>
            <w:r>
              <w:rPr>
                <w:rFonts w:ascii="Times New Roman" w:hAnsi="Times New Roman" w:eastAsia="宋体" w:cs="Times New Roman"/>
                <w:sz w:val="21"/>
              </w:rPr>
              <w:t>字段覆盖、原文定位与来源依赖</w:t>
            </w:r>
          </w:p>
        </w:tc>
      </w:tr>
    </w:tbl>
    <w:p>
      <w:pPr>
        <w:pStyle w:val="aff1"/>
        <w:snapToGrid w:val="0"/>
        <w:widowControl w:val="1"/>
      </w:pPr>
      <w:r>
        <w:t>直连边的端点修订、谓词及限定须与 KnowledgeStatement 一致，且属于同一 release。正式语义关系不能仅凭两端概念在原文共现生成；表示边和定位边也无需再递归创建关系来源记录。</w:t>
      </w:r>
    </w:p>
    <w:p>
      <w:pPr>
        <w:pStyle w:val="2"/>
      </w:pPr>
      <w:r>
        <w:t>适用范围与条件表达</w:t>
      </w:r>
    </w:p>
    <w:p>
      <w:pPr>
        <w:pStyle w:val="aff1"/>
        <w:snapToGrid w:val="0"/>
        <w:widowControl w:val="1"/>
      </w:pPr>
      <w:r>
        <w:t>Scope 保存人群、场景、方法、方法版本、样本、比较对象、目标、时间和框架。字段区分已知、未知、来源未报告和不适用；不适用需要依据。缺失不能默认解释为阴性或无条件适用，模型也不能根据一般医学知识补造文献没有提供的值。</w:t>
      </w:r>
    </w:p>
    <w:p>
      <w:pPr>
        <w:pStyle w:val="aff1"/>
        <w:snapToGrid w:val="0"/>
        <w:widowControl w:val="1"/>
      </w:pPr>
      <w:r>
        <w:t>ConditionExpression 保存原子判断、全部满足、任一满足、否定、至少若干项和去重计数等结构。时间窗口须同时保存起点和边界，区域条件须保存区域定义及计数单位，测量条件须绑定方法与单位。无法解析的 TEXT 保留为待核对内容，不能标为可执行规则。</w:t>
      </w:r>
    </w:p>
    <w:p>
      <w:pPr>
        <w:pStyle w:val="aff1"/>
        <w:snapToGrid w:val="0"/>
        <w:widowControl w:val="1"/>
      </w:pPr>
      <w:r>
        <w:t>可执行条件拟使用三值逻辑。全部满足遇到明确不满足则为 false，全部明确满足才为 true；任一满足遇到 true 即为 true，全部为 false 才为 false；其余为 unknown，NOT unknown 仍为 unknown。至少 k 项计数按不同条目身份计算，未知项可能影响是否达标时保持 unknown。求值结果说明规则核对状态，不直接构成临床确诊。</w:t>
      </w:r>
    </w:p>
    <w:p>
      <w:pPr>
        <w:pStyle w:val="2"/>
      </w:pPr>
      <w:r>
        <w:t>逐字段来源与版本管理</w:t>
      </w:r>
    </w:p>
    <w:p>
      <w:pPr>
        <w:pStyle w:val="aff1"/>
        <w:snapToGrid w:val="0"/>
        <w:widowControl w:val="1"/>
      </w:pPr>
      <w:r>
        <w:t>每个正式 L1 知识节点均应有来源支持，其定义、角色、阈值、范围、规则分支和例外分别标明字段路径。HAS_SOURCE 记录某来源支持哪些字段、覆盖是否完整，以及该来源是支持、限定、反对还是仅提及。只出现概念名称的原文不能作为完整定义依据。</w:t>
      </w:r>
    </w:p>
    <w:p>
      <w:pPr>
        <w:pStyle w:val="aff1"/>
        <w:snapToGrid w:val="0"/>
        <w:widowControl w:val="1"/>
      </w:pPr>
      <w:r>
        <w:t>每个 SourceAssertion 归属一个 DocumentVersion，并通过 EVIDENCED_BY 指向同一文档内的 SourceSpan。定位采用基于原文的 Unicode 字符半开区间，保存 start、end 和 quote，并检验切片逐字相等。PDF 页序与印刷页码分别保存；解析更新产生新的 parse_id，不能覆盖旧偏移。</w:t>
      </w:r>
    </w:p>
    <w:p>
      <w:pPr>
        <w:pStyle w:val="aff1"/>
        <w:snapToGrid w:val="0"/>
        <w:widowControl w:val="1"/>
      </w:pPr>
      <w:r>
        <w:t>知识和关系使用稳定逻辑 ID 与不可变 revision_id，release 成员表冻结当次所用修订。已核实的二次转述、同研究报告、引用和替代关系记录依据，未知依赖保留候选状态。来源主张数、文档数、文档版本数和独立研究数分别统计，均不能自动换算成疾病概率或医学可信度。</w:t>
      </w:r>
    </w:p>
    <w:p>
      <w:pPr>
        <w:pStyle w:val="2"/>
      </w:pPr>
      <w:r>
        <w:t>诊断规则与依赖闭包示例</w:t>
      </w:r>
    </w:p>
    <w:p>
      <w:pPr>
        <w:pStyle w:val="aff1"/>
        <w:snapToGrid w:val="0"/>
        <w:widowControl w:val="1"/>
      </w:pPr>
      <w:r>
        <w:t>以 DLB 2017 共识为例，解释 probable DLB 的组合不能只检索“幻视与 DLB 有关”。在痴呆前提下，规则需区分至少两个核心临床特征，或一个核心临床特征加至少一个指示性生物标志物；完整解释还需带回特征操作定义、标志物类别与限制条件。只有生物标志物不能按该分支解释为 probable DLB。这里是结构说明，不作为可直接用于患者的完整规则对象。</w:t>
      </w:r>
      <w:r>
        <w:rPr>
          <w:color w:val="080000"/>
          <w:kern w:val="0"/>
          <w:sz w:val="24"/>
          <w:vertAlign w:val="superscript"/>
        </w:rPr>
        <w:t>⁠[3]</w:t>
      </w:r>
    </w:p>
    <w:p>
      <w:pPr>
        <w:pStyle w:val="aff1"/>
        <w:snapToGrid w:val="0"/>
        <w:widowControl w:val="1"/>
      </w:pPr>
      <w:r>
        <w:t>在图中，FrameworkVersion 连接 DiagnosticCategory、CriterionBinding 和 DiagnosticRule；绑定连接 Criterion；条目再连接 ClinicalPattern 及时间、分布或测量定义。规则通过 DEPENDS_ON 与表达式引用形成必要依赖闭包，各对象再连接来源和原文。同一核心特征的两份描述按特征身份去重，不因来源重复而变成两项。</w:t>
      </w:r>
    </w:p>
    <w:p>
      <w:pPr>
        <w:pStyle w:val="aff1"/>
        <w:snapToGrid w:val="0"/>
        <w:widowControl w:val="1"/>
      </w:pPr>
      <w:r>
        <w:t>ALS 提供区域逻辑的另一种例子。标准组合涉及同一区域的上下运动神经元证据，或至少两个区域的下运动神经元证据，并包含进展与其他病因排除等要求。因此，受累肌肉数、受累区域数和同一区域关系应分别表示，单一疾病到体征的关联边不足以解释组合。</w:t>
      </w:r>
      <w:r>
        <w:rPr>
          <w:color w:val="080000"/>
          <w:kern w:val="0"/>
          <w:sz w:val="24"/>
          <w:vertAlign w:val="superscript"/>
        </w:rPr>
        <w:t>⁠[4]</w:t>
      </w:r>
    </w:p>
    <w:p>
      <w:pPr>
        <w:pStyle w:val="aff1"/>
        <w:snapToGrid w:val="0"/>
        <w:widowControl w:val="1"/>
      </w:pPr>
      <w:r>
        <w:t>上述闭包用于保证回答带回必要知识。若只有组合摘要而缺少操作定义、范围或例外，系统输出部分解释和缺口；不能因图中存在 YIELDS_CATEGORY 就声称已对某患者完成诊断。</w:t>
      </w:r>
    </w:p>
    <w:p>
      <w:pPr>
        <w:pStyle w:val="10"/>
      </w:pPr>
      <w:r>
        <w:t>图谱构建方式</w:t>
      </w:r>
    </w:p>
    <w:p>
      <w:pPr>
        <w:pStyle w:val="2"/>
      </w:pPr>
      <w:r>
        <w:t>有效输入与来源分类</w:t>
      </w:r>
    </w:p>
    <w:p>
      <w:pPr>
        <w:pStyle w:val="aff1"/>
        <w:snapToGrid w:val="0"/>
        <w:widowControl w:val="1"/>
      </w:pPr>
      <w:r>
        <w:t>首批输入为本地已收集的 14 份诊断相关 PDF，共 270 页，覆盖八类疾病及相关认知障碍诊断流程。资料包括 AD 2024 修订框架、AD 2025 血液标志物指南、DETeCD 专科与基层指南、AD 2011 临床标准、PD 2015 临床标准、DLB 与 bvFTD 标准、ALS 原始标准及应用说明、MSA 与 PSP 标准、HD GeneReviews，以及 PD SynNeurGe 研究框架。</w:t>
      </w:r>
    </w:p>
    <w:p>
      <w:pPr>
        <w:pStyle w:val="aff1"/>
        <w:snapToGrid w:val="0"/>
        <w:widowControl w:val="1"/>
      </w:pPr>
      <w:r>
        <w:t>资料有效性依据文献身份、内容版本、用途、原文及许可确定，不能只按文件日期或标题判断。较新的框架不自动取代较早的临床标准。PD 研究分类与 PD 临床诊断分别登记，AD 生物学框架与痴呆临床标准也不直接合并。血液标志物指南的专科场景与合格检测用途保持原文范围。</w:t>
      </w:r>
      <w:r>
        <w:rPr>
          <w:color w:val="080000"/>
          <w:kern w:val="0"/>
          <w:sz w:val="24"/>
          <w:vertAlign w:val="superscript"/>
        </w:rPr>
        <w:t>⁠[2]</w:t>
      </w:r>
      <w:r>
        <w:rPr>
          <w:color w:val="080000"/>
          <w:kern w:val="0"/>
          <w:sz w:val="24"/>
          <w:vertAlign w:val="superscript"/>
        </w:rPr>
        <w:t>⁠[21]</w:t>
      </w:r>
    </w:p>
    <w:p>
      <w:pPr>
        <w:pStyle w:val="aff1"/>
        <w:snapToGrid w:val="0"/>
        <w:widowControl w:val="1"/>
      </w:pPr>
      <w:r>
        <w:t>中文诊断综述用于主题导航、别名整理和覆盖检查，正式医学定义与规则优先回到所引原始资料。综述的 Markdown 和 Word 是同一内容的两种载体，不能作为两份独立证据；其中教学病例标记为合成材料。算法论文和外部代码仓库作为方法参考，不抽取为医学事实；学习资料不进入本课题语料。</w:t>
      </w:r>
    </w:p>
    <w:p>
      <w:pPr>
        <w:pStyle w:val="2"/>
      </w:pPr>
      <w:r>
        <w:t>构建流程概览</w:t>
      </w:r>
    </w:p>
    <w:p>
      <w:pPr>
        <w:pStyle w:val="aff1"/>
        <w:snapToGrid w:val="0"/>
        <w:widowControl w:val="1"/>
      </w:pPr>
      <w:r>
        <w:t>构建遵循“冻结文档、恢复结构、抽取来源主张、规范化知识、审核、发布”的顺序。先保存每篇来源实际说了什么，再整理知识层；知识主图的展示顺序不改变同步保留出处的要求。流程如图所示。</w:t>
      </w:r>
    </w:p>
    <w:p>
      <w:pPr>
        <w:pStyle w:val="aff6"/>
        <w:snapToGrid w:val="0"/>
        <w:keepNext/>
      </w:pPr>
      <w:r>
        <w:drawing>
          <wp:inline xmlns:a="http://schemas.openxmlformats.org/drawingml/2006/main" xmlns:pic="http://schemas.openxmlformats.org/drawingml/2006/picture">
            <wp:extent cx="5400000" cy="3051000"/>
            <wp:docPr id="3" name="Picture 3" descr="从冻结文献到审核发布及检索工件的构建流程" title="从冻结文献到审核发布及检索工件的构建流程"/>
            <wp:cNvGraphicFramePr>
              <a:graphicFrameLocks noChangeAspect="1"/>
            </wp:cNvGraphicFramePr>
            <a:graphic>
              <a:graphicData uri="http://schemas.openxmlformats.org/drawingml/2006/picture">
                <pic:pic>
                  <pic:nvPicPr>
                    <pic:cNvPr id="0" name="NeuroGRA_开题报告_构建流程.png"/>
                    <pic:cNvPicPr/>
                  </pic:nvPicPr>
                  <pic:blipFill>
                    <a:blip r:embed="rId15"/>
                    <a:stretch>
                      <a:fillRect/>
                    </a:stretch>
                  </pic:blipFill>
                  <pic:spPr>
                    <a:xfrm>
                      <a:off x="0" y="0"/>
                      <a:ext cx="5400000" cy="3051000"/>
                    </a:xfrm>
                    <a:prstGeom prst="rect"/>
                  </pic:spPr>
                </pic:pic>
              </a:graphicData>
            </a:graphic>
          </wp:inline>
        </w:drawing>
      </w:r>
    </w:p>
    <w:p>
      <w:pPr>
        <w:pStyle w:val="aff3"/>
        <w:snapToGrid w:val="0"/>
        <w:keepNext w:val="0"/>
        <w:keepLines/>
      </w:pPr>
      <w:r>
        <w:t xml:space="preserve">图 </w:t>
      </w:r>
      <w:r>
        <w:fldChar w:fldCharType="begin" w:fldLock="true"/>
      </w:r>
      <w:r>
        <w:instrText xml:space="preserve"> STYLEREF 1 \n </w:instrText>
      </w:r>
      <w:r>
        <w:fldChar w:fldCharType="separate"/>
      </w:r>
      <w:r>
        <w:t>5</w:t>
      </w:r>
      <w:r>
        <w:fldChar w:fldCharType="end"/>
      </w:r>
      <w:r>
        <w:t>-</w:t>
      </w:r>
      <w:r>
        <w:fldChar w:fldCharType="begin" w:fldLock="true"/>
      </w:r>
      <w:r>
        <w:instrText xml:space="preserve"> SEQ 图 \* ARABIC \s 1 </w:instrText>
      </w:r>
      <w:r>
        <w:fldChar w:fldCharType="separate"/>
      </w:r>
      <w:r>
        <w:t>1</w:t>
      </w:r>
      <w:r>
        <w:fldChar w:fldCharType="end"/>
      </w:r>
      <w:r>
        <w:t xml:space="preserve"> 从冻结文献到审核发布及检索工件的构建流程</w:t>
      </w:r>
    </w:p>
    <w:p>
      <w:pPr>
        <w:pStyle w:val="aff1"/>
        <w:snapToGrid w:val="0"/>
        <w:widowControl w:val="1"/>
      </w:pPr>
      <w:r>
        <w:t>模型输出首先进入候选区。Schema 检查、原文定位和结构校验通过只说明对象格式合法及出处可定位，不证明医学语义正确。首批正式医学知识经人工核对后发布，未知、冲突或不完整内容保留候选与缺口，避免在知识汇整时强行补全。</w:t>
      </w:r>
    </w:p>
    <w:p>
      <w:pPr>
        <w:pStyle w:val="2"/>
      </w:pPr>
      <w:r>
        <w:t>来源冻结与版面结构恢复</w:t>
      </w:r>
    </w:p>
    <w:p>
      <w:pPr>
        <w:pStyle w:val="aff1"/>
        <w:snapToGrid w:val="0"/>
        <w:widowControl w:val="1"/>
      </w:pPr>
      <w:r>
        <w:t>来源登记分别保存逻辑文档身份、内容校验和、出版信息、下载时间、许可与内容角色。在线发表年、期刊年、动态章节更新日和下载日分开记录。原文文件保持冻结，解析、抽取、模型、提示词和 schema 版本另行记录，使后续可以重现具体来源与处理过程。</w:t>
      </w:r>
    </w:p>
    <w:p>
      <w:pPr>
        <w:pStyle w:val="aff1"/>
        <w:snapToGrid w:val="0"/>
        <w:widowControl w:val="1"/>
      </w:pPr>
      <w:r>
        <w:t>解析阶段扫描全文形成 DocumentMap，登记标题、表格、框注、图、条目编号、脚注、附录、用途声明和解析质量。文本层存在不代表读序及符号正确；双栏文本、跨页表、合并单元格和逻辑符号需要定向检查。表格至少保留行列、跨行跨列、表头路径、脚注、页码和页面区域。</w:t>
      </w:r>
    </w:p>
    <w:p>
      <w:pPr>
        <w:pStyle w:val="aff1"/>
        <w:snapToGrid w:val="0"/>
        <w:widowControl w:val="1"/>
      </w:pPr>
      <w:r>
        <w:t>拟评估结构解析工具的 JSON 或 HTML 输出并映射到已有 SourceSpan 等对象，文本预检作为辅助。对于诊断规则表，不以压平后的 Markdown 代替原始表结构。无法恢复的关键部分进入人工转录与核对任务，保留页面区域和处理依据；不能直接删除或用模型生成文本覆盖原文。</w:t>
      </w:r>
    </w:p>
    <w:p>
      <w:pPr>
        <w:pStyle w:val="2"/>
      </w:pPr>
      <w:r>
        <w:t>语义单元与两阶段抽取</w:t>
      </w:r>
    </w:p>
    <w:p>
      <w:pPr>
        <w:pStyle w:val="aff1"/>
        <w:snapToGrid w:val="0"/>
        <w:widowControl w:val="1"/>
      </w:pPr>
      <w:r>
        <w:t>抽取单元按定义、标准条目、完整规则、编号推荐、表格逻辑记录、研究结果和分期记录划分。条目附带父列表、类别、脚注、时间和测量定义；规则附带前提、角色组、排除和全部引用定义。超长单元可拆分任务，但共享依赖清单，并保留每段上下文的定位。</w:t>
      </w:r>
    </w:p>
    <w:p>
      <w:pPr>
        <w:pStyle w:val="aff1"/>
        <w:snapToGrid w:val="0"/>
        <w:widowControl w:val="1"/>
      </w:pPr>
      <w:r>
        <w:t>阶段 A 在单个冻结文档内抽取 SourceAssertion 候选，输出来源陈述、参与角色、否定与语气、适用范围、条件和例外，以及每个重要字段的精确原文。模型只处理给定文献，不用常识填补缺失，不猜外部术语 ID。推荐强度和证据等级只在原文明确报告时保存。</w:t>
      </w:r>
    </w:p>
    <w:p>
      <w:pPr>
        <w:pStyle w:val="aff1"/>
        <w:snapToGrid w:val="0"/>
        <w:widowControl w:val="1"/>
      </w:pPr>
      <w:r>
        <w:t>程序根据片段 ID、逐字引文和上下文确定唯一偏移。多处相同引文无法唯一定位时保留待核对；跨表头、正文与脚注的依据使用多条定位，不能拼接成不存在的连续引文。归一化文本与原文不同须保存映射，字段支持范围也应明确。</w:t>
      </w:r>
    </w:p>
    <w:p>
      <w:pPr>
        <w:pStyle w:val="aff1"/>
        <w:snapToGrid w:val="0"/>
        <w:widowControl w:val="1"/>
      </w:pPr>
      <w:r>
        <w:t>阶段 B 从已定位且经核对的来源主张规范化概念、模式、框架、条目、角色、规则、检测用途和分期，并构建 KnowledgeStatement。临床规则、检查推荐和研究结果采用不同模板，不能把一个研究结果改写为临床诊断充分条件。新综合结论仍需说明组装过程和依据，不冒充单篇文献的原话。</w:t>
      </w:r>
    </w:p>
    <w:p>
      <w:pPr>
        <w:pStyle w:val="2"/>
      </w:pPr>
      <w:r>
        <w:t>规范化与关系生成</w:t>
      </w:r>
    </w:p>
    <w:p>
      <w:pPr>
        <w:pStyle w:val="aff1"/>
        <w:snapToGrid w:val="0"/>
        <w:widowControl w:val="1"/>
      </w:pPr>
      <w:r>
        <w:t>概念规范化先检索本地词表候选，再核对定义与语境，最后建立外部术语映射。名称相近、别名相同或外部 ID 接近均不直接触发合并。疾病与综合征、病理与功能状态、临床特征与检查证据、风险变异与致病变异分别处理；没有合适标准 ID 时保留可审核的本地概念。</w:t>
      </w:r>
    </w:p>
    <w:p>
      <w:pPr>
        <w:pStyle w:val="aff1"/>
        <w:snapToGrid w:val="0"/>
        <w:widowControl w:val="1"/>
      </w:pPr>
      <w:r>
        <w:t>来源主张逐篇保留。仅当端点、谓词、否定与语气、范围、条件及例外一致时，多个来源可支持同一 KnowledgeStatement；范围不同或方向相反时分别保存。直连边从关系记录生成，校验端点与限定一致。关系源于明确的文献语义，不从共现抽取直接升级为诊断支持或因果关系。</w:t>
      </w:r>
    </w:p>
    <w:p>
      <w:pPr>
        <w:pStyle w:val="aff1"/>
        <w:snapToGrid w:val="0"/>
        <w:widowControl w:val="1"/>
      </w:pPr>
      <w:r>
        <w:t>不同版本标准分别建 FrameworkVersion。类别、角色和规则只在对应框架内组合；只有核实来源明确的替代关系后才登记 supersedes。跨来源冲突保存各自字段和定位，人工规范化时记录理由，不能按发表年份、篇数或模型置信度自动选定。</w:t>
      </w:r>
    </w:p>
    <w:p>
      <w:pPr>
        <w:pStyle w:val="2"/>
      </w:pPr>
      <w:r>
        <w:t>诊断逻辑与重点错误处理</w:t>
      </w:r>
    </w:p>
    <w:p>
      <w:pPr>
        <w:pStyle w:val="aff1"/>
        <w:snapToGrid w:val="0"/>
        <w:widowControl w:val="1"/>
      </w:pPr>
      <w:r>
        <w:t>构建中的重要挑战是保持不同病种的计数和组合含义。DLB 按不同核心特征计数，重复转述不增加项数；bvFTD 按标准特征域计数，域内子项与域间组合分开；PD 的支持、红旗与排除作用由类别决定；ALS 的区域受累需要回连肌肉及神经支配等操作定义；MSA 与 PSP 的多列表格还需闭合类别、阈值、编码定义和排除依赖。完整规则依原文逐项审核，不能用这些摘要替代正式对象。</w:t>
      </w:r>
    </w:p>
    <w:p>
      <w:pPr>
        <w:pStyle w:val="aff1"/>
        <w:snapToGrid w:val="0"/>
        <w:widowControl w:val="1"/>
      </w:pPr>
      <w:r>
        <w:t>测量阈值、检测性能准入与个体疾病概率也必须区分。AD 血液标志物指南针对特定场景规定检测用于分流或确认的性能要求，这些敏感度和特异度标准不能写成通用血液浓度 cutoff，也不能转换成患者患病概率。检测方法、参考标准和用途前提应一同建模。</w:t>
      </w:r>
      <w:r>
        <w:rPr>
          <w:color w:val="080000"/>
          <w:kern w:val="0"/>
          <w:sz w:val="24"/>
          <w:vertAlign w:val="superscript"/>
        </w:rPr>
        <w:t>⁠[21]</w:t>
      </w:r>
    </w:p>
    <w:p>
      <w:pPr>
        <w:pStyle w:val="aff1"/>
        <w:snapToGrid w:val="0"/>
        <w:widowControl w:val="1"/>
      </w:pPr>
      <w:r>
        <w:t>逻辑运算须具有注册契约与可验证语义。计数单位、去重键、时间锚点、范围边界和 unknown 的传播规则均显式定义。包含未注册运算、未解析 TEXT 或未闭合依赖的对象可用于检索与解释，但 executable=false。人工批准与可执行性分开记录。</w:t>
      </w:r>
    </w:p>
    <w:p>
      <w:pPr>
        <w:pStyle w:val="2"/>
      </w:pPr>
      <w:r>
        <w:t>校验审核与发布</w:t>
      </w:r>
    </w:p>
    <w:p>
      <w:pPr>
        <w:pStyle w:val="aff1"/>
        <w:snapToGrid w:val="0"/>
        <w:widowControl w:val="1"/>
      </w:pPr>
      <w:r>
        <w:t>完整性清单由原文和人工核对形成，登记应抽取的类别、编号条款、表格记录、脚注和定义依赖。每项记录为已识别、已抽取、已验证、已审核，或明确排除及理由。不能仅统计模型已经抽出的对象，便宣称对原文实现完整覆盖。</w:t>
      </w:r>
    </w:p>
    <w:tbl>
      <w:tblPr>
        <w:tblW w:type="dxa" w:w="8730"/>
        <w:jc w:val="center"/>
        <w:tblLayout w:type="fixed"/>
        <w:tblLook w:firstColumn="1" w:firstRow="1" w:lastColumn="0" w:lastRow="0" w:noHBand="0" w:noVBand="1" w:val="04A0"/>
        <w:tblLayout w:type="fixed"/>
        <w:tblBorders>
          <w:top w:val="single" w:sz="12" w:color="000000"/>
          <w:bottom w:val="single" w:sz="12" w:color="000000"/>
          <w:left w:val="nil" w:color="000000"/>
          <w:right w:val="nil" w:color="000000"/>
          <w:insideV w:val="nil" w:color="000000"/>
          <w:insideH w:val="nil" w:color="000000"/>
        </w:tblBorders>
      </w:tblPr>
      <w:tblGrid>
        <w:gridCol w:w="2910"/>
        <w:gridCol w:w="2910"/>
        <w:gridCol w:w="2910"/>
      </w:tblGrid>
      <w:tr>
        <w:trPr>
          <w:tblHeader w:val="true"/>
          <w:cantSplit/>
        </w:trPr>
        <w:tc>
          <w:tcPr>
            <w:tcW w:type="dxa" w:w="2910"/>
            <w:tcBorders>
              <w:bottom w:val="single" w:sz="6" w:color="000000"/>
            </w:tcBorders>
            <w:vAlign w:val="center"/>
          </w:tcPr>
          <w:p>
            <w:pPr>
              <w:jc w:val="center"/>
              <w:snapToGrid w:val="0"/>
              <w:keepNext/>
            </w:pPr>
            <w:r>
              <w:rPr>
                <w:rFonts w:ascii="Times New Roman" w:hAnsi="Times New Roman" w:eastAsia="宋体" w:cs="Times New Roman"/>
                <w:b/>
                <w:sz w:val="21"/>
              </w:rPr>
              <w:t>校验对象</w:t>
            </w:r>
          </w:p>
        </w:tc>
        <w:tc>
          <w:tcPr>
            <w:tcW w:type="dxa" w:w="2910"/>
            <w:tcBorders>
              <w:bottom w:val="single" w:sz="6" w:color="000000"/>
            </w:tcBorders>
            <w:vAlign w:val="center"/>
          </w:tcPr>
          <w:p>
            <w:pPr>
              <w:jc w:val="center"/>
              <w:snapToGrid w:val="0"/>
              <w:keepNext/>
            </w:pPr>
            <w:r>
              <w:rPr>
                <w:rFonts w:ascii="Times New Roman" w:hAnsi="Times New Roman" w:eastAsia="宋体" w:cs="Times New Roman"/>
                <w:b/>
                <w:sz w:val="21"/>
              </w:rPr>
              <w:t>检查内容</w:t>
            </w:r>
          </w:p>
        </w:tc>
        <w:tc>
          <w:tcPr>
            <w:tcW w:type="dxa" w:w="2910"/>
            <w:tcBorders>
              <w:bottom w:val="single" w:sz="6" w:color="000000"/>
            </w:tcBorders>
            <w:vAlign w:val="center"/>
          </w:tcPr>
          <w:p>
            <w:pPr>
              <w:jc w:val="center"/>
              <w:snapToGrid w:val="0"/>
              <w:keepNext/>
            </w:pPr>
            <w:r>
              <w:rPr>
                <w:rFonts w:ascii="Times New Roman" w:hAnsi="Times New Roman" w:eastAsia="宋体" w:cs="Times New Roman"/>
                <w:b/>
                <w:sz w:val="21"/>
              </w:rPr>
              <w:t>不满足时的处置</w:t>
            </w:r>
          </w:p>
        </w:tc>
      </w:tr>
      <w:tr>
        <w:trPr>
          <w:cantSplit/>
        </w:trPr>
        <w:tc>
          <w:tcPr>
            <w:tcW w:type="dxa" w:w="2910"/>
            <w:vAlign w:val="center"/>
          </w:tcPr>
          <w:p>
            <w:pPr>
              <w:jc w:val="center"/>
              <w:snapToGrid w:val="0"/>
              <w:keepNext/>
            </w:pPr>
            <w:r>
              <w:rPr>
                <w:rFonts w:ascii="Times New Roman" w:hAnsi="Times New Roman" w:eastAsia="宋体" w:cs="Times New Roman"/>
                <w:sz w:val="21"/>
              </w:rPr>
              <w:t>原文与版本</w:t>
            </w:r>
          </w:p>
        </w:tc>
        <w:tc>
          <w:tcPr>
            <w:tcW w:type="dxa" w:w="2910"/>
            <w:vAlign w:val="center"/>
          </w:tcPr>
          <w:p>
            <w:pPr>
              <w:jc w:val="left"/>
              <w:snapToGrid w:val="0"/>
              <w:keepNext/>
            </w:pPr>
            <w:r>
              <w:rPr>
                <w:rFonts w:ascii="Times New Roman" w:hAnsi="Times New Roman" w:eastAsia="宋体" w:cs="Times New Roman"/>
                <w:sz w:val="21"/>
              </w:rPr>
              <w:t>文档归属、hash、页序、解析版本及逐字引文</w:t>
            </w:r>
          </w:p>
        </w:tc>
        <w:tc>
          <w:tcPr>
            <w:tcW w:type="dxa" w:w="2910"/>
            <w:vAlign w:val="center"/>
          </w:tcPr>
          <w:p>
            <w:pPr>
              <w:jc w:val="center"/>
              <w:snapToGrid w:val="0"/>
              <w:keepNext/>
            </w:pPr>
            <w:r>
              <w:rPr>
                <w:rFonts w:ascii="Times New Roman" w:hAnsi="Times New Roman" w:eastAsia="宋体" w:cs="Times New Roman"/>
                <w:sz w:val="21"/>
              </w:rPr>
              <w:t>阻止发布并重新定位</w:t>
            </w:r>
          </w:p>
        </w:tc>
      </w:tr>
      <w:tr>
        <w:trPr>
          <w:cantSplit/>
        </w:trPr>
        <w:tc>
          <w:tcPr>
            <w:tcW w:type="dxa" w:w="2910"/>
            <w:vAlign w:val="center"/>
          </w:tcPr>
          <w:p>
            <w:pPr>
              <w:jc w:val="center"/>
              <w:snapToGrid w:val="0"/>
              <w:keepNext/>
            </w:pPr>
            <w:r>
              <w:rPr>
                <w:rFonts w:ascii="Times New Roman" w:hAnsi="Times New Roman" w:eastAsia="宋体" w:cs="Times New Roman"/>
                <w:sz w:val="21"/>
              </w:rPr>
              <w:t>版面与符号</w:t>
            </w:r>
          </w:p>
        </w:tc>
        <w:tc>
          <w:tcPr>
            <w:tcW w:type="dxa" w:w="2910"/>
            <w:vAlign w:val="center"/>
          </w:tcPr>
          <w:p>
            <w:pPr>
              <w:jc w:val="left"/>
              <w:snapToGrid w:val="0"/>
              <w:keepNext/>
            </w:pPr>
            <w:r>
              <w:rPr>
                <w:rFonts w:ascii="Times New Roman" w:hAnsi="Times New Roman" w:eastAsia="宋体" w:cs="Times New Roman"/>
                <w:sz w:val="21"/>
              </w:rPr>
              <w:t>表头、续表、脚注、读序和组合符号</w:t>
            </w:r>
          </w:p>
        </w:tc>
        <w:tc>
          <w:tcPr>
            <w:tcW w:type="dxa" w:w="2910"/>
            <w:vAlign w:val="center"/>
          </w:tcPr>
          <w:p>
            <w:pPr>
              <w:jc w:val="center"/>
              <w:snapToGrid w:val="0"/>
              <w:keepNext/>
            </w:pPr>
            <w:r>
              <w:rPr>
                <w:rFonts w:ascii="Times New Roman" w:hAnsi="Times New Roman" w:eastAsia="宋体" w:cs="Times New Roman"/>
                <w:sz w:val="21"/>
              </w:rPr>
              <w:t>人工核对或重新解析</w:t>
            </w:r>
          </w:p>
        </w:tc>
      </w:tr>
      <w:tr>
        <w:trPr>
          <w:cantSplit/>
        </w:trPr>
        <w:tc>
          <w:tcPr>
            <w:tcW w:type="dxa" w:w="2910"/>
            <w:vAlign w:val="center"/>
          </w:tcPr>
          <w:p>
            <w:pPr>
              <w:jc w:val="center"/>
              <w:snapToGrid w:val="0"/>
              <w:keepNext/>
            </w:pPr>
            <w:r>
              <w:rPr>
                <w:rFonts w:ascii="Times New Roman" w:hAnsi="Times New Roman" w:eastAsia="宋体" w:cs="Times New Roman"/>
                <w:sz w:val="21"/>
              </w:rPr>
              <w:t>类型与关系</w:t>
            </w:r>
          </w:p>
        </w:tc>
        <w:tc>
          <w:tcPr>
            <w:tcW w:type="dxa" w:w="2910"/>
            <w:vAlign w:val="center"/>
          </w:tcPr>
          <w:p>
            <w:pPr>
              <w:jc w:val="center"/>
              <w:snapToGrid w:val="0"/>
              <w:keepNext/>
            </w:pPr>
            <w:r>
              <w:rPr>
                <w:rFonts w:ascii="Times New Roman" w:hAnsi="Times New Roman" w:eastAsia="宋体" w:cs="Times New Roman"/>
                <w:sz w:val="21"/>
              </w:rPr>
              <w:t>端点类型、注册谓词及引用修订</w:t>
            </w:r>
          </w:p>
        </w:tc>
        <w:tc>
          <w:tcPr>
            <w:tcW w:type="dxa" w:w="2910"/>
            <w:vAlign w:val="center"/>
          </w:tcPr>
          <w:p>
            <w:pPr>
              <w:jc w:val="center"/>
              <w:snapToGrid w:val="0"/>
              <w:keepNext/>
            </w:pPr>
            <w:r>
              <w:rPr>
                <w:rFonts w:ascii="Times New Roman" w:hAnsi="Times New Roman" w:eastAsia="宋体" w:cs="Times New Roman"/>
                <w:sz w:val="21"/>
              </w:rPr>
              <w:t>隔离非法候选</w:t>
            </w:r>
          </w:p>
        </w:tc>
      </w:tr>
      <w:tr>
        <w:trPr>
          <w:cantSplit/>
        </w:trPr>
        <w:tc>
          <w:tcPr>
            <w:tcW w:type="dxa" w:w="2910"/>
            <w:vAlign w:val="center"/>
          </w:tcPr>
          <w:p>
            <w:pPr>
              <w:jc w:val="center"/>
              <w:snapToGrid w:val="0"/>
              <w:keepNext/>
            </w:pPr>
            <w:r>
              <w:rPr>
                <w:rFonts w:ascii="Times New Roman" w:hAnsi="Times New Roman" w:eastAsia="宋体" w:cs="Times New Roman"/>
                <w:sz w:val="21"/>
              </w:rPr>
              <w:t>字段来源</w:t>
            </w:r>
          </w:p>
        </w:tc>
        <w:tc>
          <w:tcPr>
            <w:tcW w:type="dxa" w:w="2910"/>
            <w:vAlign w:val="center"/>
          </w:tcPr>
          <w:p>
            <w:pPr>
              <w:jc w:val="left"/>
              <w:snapToGrid w:val="0"/>
              <w:keepNext/>
            </w:pPr>
            <w:r>
              <w:rPr>
                <w:rFonts w:ascii="Times New Roman" w:hAnsi="Times New Roman" w:eastAsia="宋体" w:cs="Times New Roman"/>
                <w:sz w:val="21"/>
              </w:rPr>
              <w:t>定义、角色、范围、条件和例外覆盖</w:t>
            </w:r>
          </w:p>
        </w:tc>
        <w:tc>
          <w:tcPr>
            <w:tcW w:type="dxa" w:w="2910"/>
            <w:vAlign w:val="center"/>
          </w:tcPr>
          <w:p>
            <w:pPr>
              <w:jc w:val="center"/>
              <w:snapToGrid w:val="0"/>
              <w:keepNext/>
            </w:pPr>
            <w:r>
              <w:rPr>
                <w:rFonts w:ascii="Times New Roman" w:hAnsi="Times New Roman" w:eastAsia="宋体" w:cs="Times New Roman"/>
                <w:sz w:val="21"/>
              </w:rPr>
              <w:t>保留部分状态与缺口</w:t>
            </w:r>
          </w:p>
        </w:tc>
      </w:tr>
      <w:tr>
        <w:trPr>
          <w:cantSplit/>
        </w:trPr>
        <w:tc>
          <w:tcPr>
            <w:tcW w:type="dxa" w:w="2910"/>
            <w:vAlign w:val="center"/>
          </w:tcPr>
          <w:p>
            <w:pPr>
              <w:jc w:val="center"/>
              <w:snapToGrid w:val="0"/>
              <w:keepNext/>
            </w:pPr>
            <w:r>
              <w:rPr>
                <w:rFonts w:ascii="Times New Roman" w:hAnsi="Times New Roman" w:eastAsia="宋体" w:cs="Times New Roman"/>
                <w:sz w:val="21"/>
              </w:rPr>
              <w:t>规则闭包</w:t>
            </w:r>
          </w:p>
        </w:tc>
        <w:tc>
          <w:tcPr>
            <w:tcW w:type="dxa" w:w="2910"/>
            <w:vAlign w:val="center"/>
          </w:tcPr>
          <w:p>
            <w:pPr>
              <w:jc w:val="center"/>
              <w:snapToGrid w:val="0"/>
              <w:keepNext/>
            </w:pPr>
            <w:r>
              <w:rPr>
                <w:rFonts w:ascii="Times New Roman" w:hAnsi="Times New Roman" w:eastAsia="宋体" w:cs="Times New Roman"/>
                <w:sz w:val="21"/>
              </w:rPr>
              <w:t>全部引用可解析，依赖与门控完整</w:t>
            </w:r>
          </w:p>
        </w:tc>
        <w:tc>
          <w:tcPr>
            <w:tcW w:type="dxa" w:w="2910"/>
            <w:vAlign w:val="center"/>
          </w:tcPr>
          <w:p>
            <w:pPr>
              <w:jc w:val="center"/>
              <w:snapToGrid w:val="0"/>
              <w:keepNext/>
            </w:pPr>
            <w:r>
              <w:rPr>
                <w:rFonts w:ascii="Times New Roman" w:hAnsi="Times New Roman" w:eastAsia="宋体" w:cs="Times New Roman"/>
                <w:sz w:val="21"/>
              </w:rPr>
              <w:t>不标为可执行</w:t>
            </w:r>
          </w:p>
        </w:tc>
      </w:tr>
      <w:tr>
        <w:trPr>
          <w:cantSplit/>
        </w:trPr>
        <w:tc>
          <w:tcPr>
            <w:tcW w:type="dxa" w:w="2910"/>
            <w:vAlign w:val="center"/>
          </w:tcPr>
          <w:p>
            <w:pPr>
              <w:jc w:val="center"/>
              <w:snapToGrid w:val="0"/>
              <w:keepNext/>
            </w:pPr>
            <w:r>
              <w:rPr>
                <w:rFonts w:ascii="Times New Roman" w:hAnsi="Times New Roman" w:eastAsia="宋体" w:cs="Times New Roman"/>
                <w:sz w:val="21"/>
              </w:rPr>
              <w:t>来源依赖</w:t>
            </w:r>
          </w:p>
        </w:tc>
        <w:tc>
          <w:tcPr>
            <w:tcW w:type="dxa" w:w="2910"/>
            <w:vAlign w:val="center"/>
          </w:tcPr>
          <w:p>
            <w:pPr>
              <w:jc w:val="center"/>
              <w:snapToGrid w:val="0"/>
              <w:keepNext/>
            </w:pPr>
            <w:r>
              <w:rPr>
                <w:rFonts w:ascii="Times New Roman" w:hAnsi="Times New Roman" w:eastAsia="宋体" w:cs="Times New Roman"/>
                <w:sz w:val="21"/>
              </w:rPr>
              <w:t>转述与同研究关系有依据</w:t>
            </w:r>
          </w:p>
        </w:tc>
        <w:tc>
          <w:tcPr>
            <w:tcW w:type="dxa" w:w="2910"/>
            <w:vAlign w:val="center"/>
          </w:tcPr>
          <w:p>
            <w:pPr>
              <w:jc w:val="center"/>
              <w:snapToGrid w:val="0"/>
              <w:keepNext/>
            </w:pPr>
            <w:r>
              <w:rPr>
                <w:rFonts w:ascii="Times New Roman" w:hAnsi="Times New Roman" w:eastAsia="宋体" w:cs="Times New Roman"/>
                <w:sz w:val="21"/>
              </w:rPr>
              <w:t>未知保持候选</w:t>
            </w:r>
          </w:p>
        </w:tc>
      </w:tr>
      <w:tr>
        <w:trPr>
          <w:cantSplit/>
        </w:trPr>
        <w:tc>
          <w:tcPr>
            <w:tcW w:type="dxa" w:w="2910"/>
            <w:vAlign w:val="center"/>
          </w:tcPr>
          <w:p>
            <w:pPr>
              <w:jc w:val="center"/>
              <w:snapToGrid w:val="0"/>
            </w:pPr>
            <w:r>
              <w:rPr>
                <w:rFonts w:ascii="Times New Roman" w:hAnsi="Times New Roman" w:eastAsia="宋体" w:cs="Times New Roman"/>
                <w:sz w:val="21"/>
              </w:rPr>
              <w:t>图投影</w:t>
            </w:r>
          </w:p>
        </w:tc>
        <w:tc>
          <w:tcPr>
            <w:tcW w:type="dxa" w:w="2910"/>
            <w:vAlign w:val="center"/>
          </w:tcPr>
          <w:p>
            <w:pPr>
              <w:jc w:val="left"/>
              <w:snapToGrid w:val="0"/>
            </w:pPr>
            <w:r>
              <w:rPr>
                <w:rFonts w:ascii="Times New Roman" w:hAnsi="Times New Roman" w:eastAsia="宋体" w:cs="Times New Roman"/>
                <w:sz w:val="21"/>
              </w:rPr>
              <w:t>statement_ref、端点及限定与权威记录一致</w:t>
            </w:r>
          </w:p>
        </w:tc>
        <w:tc>
          <w:tcPr>
            <w:tcW w:type="dxa" w:w="2910"/>
            <w:vAlign w:val="center"/>
          </w:tcPr>
          <w:p>
            <w:pPr>
              <w:jc w:val="center"/>
              <w:snapToGrid w:val="0"/>
            </w:pPr>
            <w:r>
              <w:rPr>
                <w:rFonts w:ascii="Times New Roman" w:hAnsi="Times New Roman" w:eastAsia="宋体" w:cs="Times New Roman"/>
                <w:sz w:val="21"/>
              </w:rPr>
              <w:t>修复后重新生成</w:t>
            </w:r>
          </w:p>
        </w:tc>
      </w:tr>
    </w:tbl>
    <w:p>
      <w:pPr>
        <w:pStyle w:val="aff1"/>
        <w:snapToGrid w:val="0"/>
        <w:widowControl w:val="1"/>
      </w:pPr>
      <w:r>
        <w:t>首批正式医学内容全部人工核对，优先检查完整诊断规则、操作定义、用途、阈值和例外。审核界面应同时显示原文位置、来源陈述、规范化字段、条件树和依赖闭包。审核修改生成新修订，保留原候选、修改字段及理由，不覆盖历史证据。</w:t>
      </w:r>
    </w:p>
    <w:p>
      <w:pPr>
        <w:pStyle w:val="aff1"/>
        <w:snapToGrid w:val="0"/>
        <w:widowControl w:val="1"/>
      </w:pPr>
      <w:r>
        <w:t>发布的结构门槛为每条正式记录引用合法、精确引文验证通过、关键医学字段来源覆盖与审核完成，以及不存在不支持运算却标为可执行的规则。这些是记录级准入要求，不能用平均分豁免；其通过也不等于临床正确性或领域覆盖已经得到充分证明。</w:t>
      </w:r>
    </w:p>
    <w:p>
      <w:pPr>
        <w:pStyle w:val="2"/>
      </w:pPr>
      <w:r>
        <w:t>试点扩展与增量维护</w:t>
      </w:r>
    </w:p>
    <w:p>
      <w:pPr>
        <w:pStyle w:val="aff1"/>
        <w:snapToGrid w:val="0"/>
        <w:widowControl w:val="1"/>
      </w:pPr>
      <w:r>
        <w:t>第一组试点选择 DLB 共识、AD 血液标志物指南和 ALS 原始标准及应用说明，覆盖类别组合、检查用途、性能条件、区域逻辑及二次转述。第二组使用 PD、bvFTD、MSA 和 PSP 检验计数比较、嵌套规则、多列与续表、编码依赖和边界歧义。随后扩展 AD 框架、临床工作流、HD 遗传检测和 PD 研究分类，再以中文综述回查主题遗漏。</w:t>
      </w:r>
    </w:p>
    <w:p>
      <w:pPr>
        <w:pStyle w:val="aff1"/>
        <w:snapToGrid w:val="0"/>
        <w:widowControl w:val="1"/>
      </w:pPr>
      <w:r>
        <w:t>构建评价拟标注约 120 至 200 个来源单元，实际规模以覆盖关键错误类型为准。这是计划规模，当前不认定已有对应金标准。标注包括字段、逐字引文、完整逻辑、角色范围和允许的 partial 或 unknown，并进行独立复核。按规则家族隔离开发与测试，防止原标准和其转述分属两侧。</w:t>
      </w:r>
    </w:p>
    <w:p>
      <w:pPr>
        <w:pStyle w:val="aff1"/>
        <w:snapToGrid w:val="0"/>
        <w:widowControl w:val="1"/>
      </w:pPr>
      <w:r>
        <w:t>增量处理键至少包含文档内容、解析契约、抽取模板、提示词、模型身份与 schema 版本。原文变化产生新文档版本，解析变化产生新的偏移体系；已审核知识复用仍需核对与新版本的对应。抽取按单元持久化、断点续跑和有界重试，模型不可用、无效输出和解析失败分别记录。</w:t>
      </w:r>
    </w:p>
    <w:p>
      <w:pPr>
        <w:pStyle w:val="aff1"/>
        <w:snapToGrid w:val="0"/>
        <w:widowControl w:val="1"/>
      </w:pPr>
      <w:r>
        <w:t>最终发布清单冻结来源、解析、模型、提示词、结构及求值器版本，同时生成文本与图检索工件。在线返回来源主张、知识对象、原文和 release 引用，并支持补回必要定义闭包。由此建立从原始诊断资料到分层知识图谱、再到可追溯问答的完整技术路线，其效果按第三章的公平对照方案检验。</w:t>
      </w:r>
    </w:p>
    <w:p>
      <w:pPr>
        <w:pStyle w:val="aff2"/>
        <w:pageBreakBefore/>
        <w:snapToGrid w:val="0"/>
      </w:pPr>
      <w:r>
        <w:t>参考文献</w:t>
      </w:r>
    </w:p>
    <w:p>
      <w:pPr>
        <w:ind w:left="360" w:hanging="360"/>
        <w:snapToGrid w:val="0"/>
      </w:pPr>
      <w:r>
        <w:rPr>
          <w:rFonts w:eastAsia="宋体" w:ascii="Times New Roman" w:hAnsi="Times New Roman" w:cs="Times New Roman"/>
          <w:sz w:val="20"/>
          <w:szCs w:val="20"/>
        </w:rPr>
        <w:t>[1] WORLD HEALTH ORGANIZATION. Dementia[EB/OL]. (2026-07-03)[2026-10-03]. https://www.who.int/news-room/fact-sheets/detail/dementia.</w:t>
      </w:r>
    </w:p>
    <w:p>
      <w:pPr>
        <w:ind w:left="360" w:hanging="360"/>
        <w:snapToGrid w:val="0"/>
      </w:pPr>
      <w:r>
        <w:rPr>
          <w:rFonts w:eastAsia="宋体" w:ascii="Times New Roman" w:hAnsi="Times New Roman" w:cs="Times New Roman"/>
          <w:sz w:val="20"/>
          <w:szCs w:val="20"/>
        </w:rPr>
        <w:t>[2] JACK C R Jr, ANDREWS J S, BEACH T G, et al. Revised criteria for diagnosis and staging of Alzheimer’s disease: Alzheimer’s Association Workgroup[J]. Alzheimer’s &amp; Dementia, 2024, 20: 5143-5169. DOI: 10.1002/alz.13859.</w:t>
      </w:r>
    </w:p>
    <w:p>
      <w:pPr>
        <w:ind w:left="360" w:hanging="360"/>
        <w:snapToGrid w:val="0"/>
      </w:pPr>
      <w:r>
        <w:rPr>
          <w:rFonts w:eastAsia="宋体" w:ascii="Times New Roman" w:hAnsi="Times New Roman" w:cs="Times New Roman"/>
          <w:sz w:val="20"/>
          <w:szCs w:val="20"/>
        </w:rPr>
        <w:t>[3] MCKEITH I G, BOEVE B F, DICKSON D W, et al. Diagnosis and management of dementia with Lewy bodies: Fourth consensus report of the DLB Consortium[J]. Neurology, 2017, 89: 88-100. DOI: 10.1212/WNL.0000000000004058.</w:t>
      </w:r>
    </w:p>
    <w:p>
      <w:pPr>
        <w:ind w:left="360" w:hanging="360"/>
        <w:snapToGrid w:val="0"/>
      </w:pPr>
      <w:r>
        <w:rPr>
          <w:rFonts w:eastAsia="宋体" w:ascii="Times New Roman" w:hAnsi="Times New Roman" w:cs="Times New Roman"/>
          <w:sz w:val="20"/>
          <w:szCs w:val="20"/>
        </w:rPr>
        <w:t>[4] TURNER M R, UK MND CLINICAL STUDIES GROUP. Diagnosing ALS: the Gold Coast criteria and the role of EMG[J]. Practical Neurology, 2022, 22: 176-178. DOI: 10.1136/practneurol-2021-003256.</w:t>
      </w:r>
    </w:p>
    <w:p>
      <w:pPr>
        <w:ind w:left="360" w:hanging="360"/>
        <w:snapToGrid w:val="0"/>
      </w:pPr>
      <w:r>
        <w:rPr>
          <w:rFonts w:eastAsia="宋体" w:ascii="Times New Roman" w:hAnsi="Times New Roman" w:cs="Times New Roman"/>
          <w:sz w:val="20"/>
          <w:szCs w:val="20"/>
        </w:rPr>
        <w:t>[5] LEWIS P, PEREZ E, PIKTUS A, et al. Retrieval-Augmented Generation for Knowledge-Intensive NLP Tasks[C]//Advances in Neural Information Processing Systems. 2020, 33. https://proceedings.nips.cc/paper/2020/hash/6b493230205f780e1bc26945df7481e5-Abstract.html.</w:t>
      </w:r>
    </w:p>
    <w:p>
      <w:pPr>
        <w:ind w:left="360" w:hanging="360"/>
        <w:snapToGrid w:val="0"/>
      </w:pPr>
      <w:r>
        <w:rPr>
          <w:rFonts w:eastAsia="宋体" w:ascii="Times New Roman" w:hAnsi="Times New Roman" w:cs="Times New Roman"/>
          <w:sz w:val="20"/>
          <w:szCs w:val="20"/>
        </w:rPr>
        <w:t>[6] WU J, ZHU J, QI Y, et al. Medical Graph RAG: Evidence-based Medical Large Language Model via Graph Retrieval-Augmented Generation[C]//Proceedings of the 63rd Annual Meeting of the Association for Computational Linguistics. 2025: 28443-28467. DOI: 10.18653/v1/2025.acl-long.1381.</w:t>
      </w:r>
    </w:p>
    <w:p>
      <w:pPr>
        <w:ind w:left="360" w:hanging="360"/>
        <w:snapToGrid w:val="0"/>
      </w:pPr>
      <w:r>
        <w:rPr>
          <w:rFonts w:eastAsia="宋体" w:ascii="Times New Roman" w:hAnsi="Times New Roman" w:cs="Times New Roman"/>
          <w:sz w:val="20"/>
          <w:szCs w:val="20"/>
        </w:rPr>
        <w:t>[7] HÖGLINGER G U, RESPONDEK G, STAMELOU M, et al. Clinical Diagnosis of Progressive Supranuclear Palsy: The Movement Disorder Society Criteria[J]. Movement Disorders, 2017, 32(6): 853-864. DOI: 10.1002/mds.26987.</w:t>
      </w:r>
    </w:p>
    <w:p>
      <w:pPr>
        <w:ind w:left="360" w:hanging="360"/>
        <w:snapToGrid w:val="0"/>
      </w:pPr>
      <w:r>
        <w:rPr>
          <w:rFonts w:eastAsia="宋体" w:ascii="Times New Roman" w:hAnsi="Times New Roman" w:cs="Times New Roman"/>
          <w:sz w:val="20"/>
          <w:szCs w:val="20"/>
        </w:rPr>
        <w:t>[8] XUE C, KOWSHIK S S, LTEIF D, et al. AI-based differential diagnosis of dementia etiologies on multimodal data[J]. Nature Medicine, 2024, 30: 2977-2989. DOI: 10.1038/s41591-024-03118-z.</w:t>
      </w:r>
    </w:p>
    <w:p>
      <w:pPr>
        <w:ind w:left="360" w:hanging="360"/>
        <w:snapToGrid w:val="0"/>
      </w:pPr>
      <w:r>
        <w:rPr>
          <w:rFonts w:eastAsia="宋体" w:ascii="Times New Roman" w:hAnsi="Times New Roman" w:cs="Times New Roman"/>
          <w:sz w:val="20"/>
          <w:szCs w:val="20"/>
        </w:rPr>
        <w:t>[9] HOU W, YANG G, DU Y, et al. ADAgent: LLM Agent for Alzheimer’s Disease Analysis with Collaborative Coordinator[DB/OL]. arXiv:2506.11150v3, 2025[2026-10-03]. https://arxiv.org/abs/2506.11150v3.</w:t>
      </w:r>
    </w:p>
    <w:p>
      <w:pPr>
        <w:ind w:left="360" w:hanging="360"/>
        <w:snapToGrid w:val="0"/>
      </w:pPr>
      <w:r>
        <w:rPr>
          <w:rFonts w:eastAsia="宋体" w:ascii="Times New Roman" w:hAnsi="Times New Roman" w:cs="Times New Roman"/>
          <w:sz w:val="20"/>
          <w:szCs w:val="20"/>
        </w:rPr>
        <w:t>[10] LI R, WANG X, BERLOWITZ D, et al. CARE-AD: a multi-agent large language model framework for Alzheimer’s disease prediction using longitudinal clinical notes[J]. npj Digital Medicine, 2025, 8: 541. DOI: 10.1038/s41746-025-01940-4.</w:t>
      </w:r>
    </w:p>
    <w:p>
      <w:pPr>
        <w:ind w:left="360" w:hanging="360"/>
        <w:snapToGrid w:val="0"/>
      </w:pPr>
      <w:r>
        <w:rPr>
          <w:rFonts w:eastAsia="宋体" w:ascii="Times New Roman" w:hAnsi="Times New Roman" w:cs="Times New Roman"/>
          <w:sz w:val="20"/>
          <w:szCs w:val="20"/>
        </w:rPr>
        <w:t>[11] HOU W, BI S, YANG G, et al. AD-CARE: A Guideline-grounded, Modality-agnostic LLM Agent for Real-world Alzheimer’s Disease Diagnosis with Multi-cohort Assessment, Fairness Analysis, and Reader Study[DB/OL]. arXiv:2603.25322v1, 2026[2026-10-03]. https://arxiv.org/abs/2603.25322v1.</w:t>
      </w:r>
    </w:p>
    <w:p>
      <w:pPr>
        <w:ind w:left="360" w:hanging="360"/>
        <w:snapToGrid w:val="0"/>
      </w:pPr>
      <w:r>
        <w:rPr>
          <w:rFonts w:eastAsia="宋体" w:ascii="Times New Roman" w:hAnsi="Times New Roman" w:cs="Times New Roman"/>
          <w:sz w:val="20"/>
          <w:szCs w:val="20"/>
        </w:rPr>
        <w:t>[12] ROMANO J D, TRUONG V, KUMAR R, et al. The Alzheimer’s Knowledge Base: A Knowledge Graph for Alzheimer Disease Research[J]. Journal of Medical Internet Research, 2024, 26: e46777. DOI: 10.2196/46777.</w:t>
      </w:r>
    </w:p>
    <w:p>
      <w:pPr>
        <w:ind w:left="360" w:hanging="360"/>
        <w:snapToGrid w:val="0"/>
      </w:pPr>
      <w:r>
        <w:rPr>
          <w:rFonts w:eastAsia="宋体" w:ascii="Times New Roman" w:hAnsi="Times New Roman" w:cs="Times New Roman"/>
          <w:sz w:val="20"/>
          <w:szCs w:val="20"/>
        </w:rPr>
        <w:t>[13] YOUNESI E, MALHOTRA A, GÜNDEL M, et al. PDON: Parkinson’s disease ontology for representation and modeling of the Parkinson’s disease knowledge domain[J]. Theoretical Biology and Medical Modelling, 2015, 12: 20. DOI: 10.1186/s12976-015-0017-y.</w:t>
      </w:r>
    </w:p>
    <w:p>
      <w:pPr>
        <w:ind w:left="360" w:hanging="360"/>
        <w:snapToGrid w:val="0"/>
      </w:pPr>
      <w:r>
        <w:rPr>
          <w:rFonts w:eastAsia="宋体" w:ascii="Times New Roman" w:hAnsi="Times New Roman" w:cs="Times New Roman"/>
          <w:sz w:val="20"/>
          <w:szCs w:val="20"/>
        </w:rPr>
        <w:t>[14] XIONG G, JIN Q, LU Z, ZHANG A. Benchmarking Retrieval-Augmented Generation for Medicine[C]//Findings of the Association for Computational Linguistics: ACL 2024. 2024: 6233-6251. DOI: 10.18653/v1/2024.findings-acl.372.</w:t>
      </w:r>
    </w:p>
    <w:p>
      <w:pPr>
        <w:ind w:left="360" w:hanging="360"/>
        <w:snapToGrid w:val="0"/>
      </w:pPr>
      <w:r>
        <w:rPr>
          <w:rFonts w:eastAsia="宋体" w:ascii="Times New Roman" w:hAnsi="Times New Roman" w:cs="Times New Roman"/>
          <w:sz w:val="20"/>
          <w:szCs w:val="20"/>
        </w:rPr>
        <w:t>[15] LI Z, XU J, HU Z, et al. MedCoRAG: Interpretable Hepatology Diagnosis via Hybrid Evidence Retrieval and Multispecialty Consensus[DB/OL]. arXiv:2603.05129v1, 2026[2026-10-03]. https://arxiv.org/abs/2603.05129v1.</w:t>
      </w:r>
    </w:p>
    <w:p>
      <w:pPr>
        <w:ind w:left="360" w:hanging="360"/>
        <w:snapToGrid w:val="0"/>
      </w:pPr>
      <w:r>
        <w:rPr>
          <w:rFonts w:eastAsia="宋体" w:ascii="Times New Roman" w:hAnsi="Times New Roman" w:cs="Times New Roman"/>
          <w:sz w:val="20"/>
          <w:szCs w:val="20"/>
        </w:rPr>
        <w:t>[16] TRIVEDI H, BALASUBRAMANIAN N, KHOT T, SABHARWAL A. Interleaving Retrieval with Chain-of-Thought Reasoning for Knowledge-Intensive Multi-Step Questions[C]//Proceedings of the 61st Annual Meeting of the Association for Computational Linguistics. 2023: 10014-10037. DOI: 10.18653/v1/2023.acl-long.557.</w:t>
      </w:r>
    </w:p>
    <w:p>
      <w:pPr>
        <w:ind w:left="360" w:hanging="360"/>
        <w:snapToGrid w:val="0"/>
      </w:pPr>
      <w:r>
        <w:rPr>
          <w:rFonts w:eastAsia="宋体" w:ascii="Times New Roman" w:hAnsi="Times New Roman" w:cs="Times New Roman"/>
          <w:sz w:val="20"/>
          <w:szCs w:val="20"/>
        </w:rPr>
        <w:t>[17] YUAN M, WANG T, QIAN Y. AdaKG-RAG: Adaptive KG-guided retrieval-augmented generation with hypothesis-and-verification retrieval for multi-hop question answering[J]. Journal of King Saud University Computer and Information Sciences, 2026, 38: 605. DOI: 10.1007/s44443-026-01028-3.</w:t>
      </w:r>
    </w:p>
    <w:p>
      <w:pPr>
        <w:ind w:left="360" w:hanging="360"/>
        <w:snapToGrid w:val="0"/>
      </w:pPr>
      <w:r>
        <w:rPr>
          <w:rFonts w:eastAsia="宋体" w:ascii="Times New Roman" w:hAnsi="Times New Roman" w:cs="Times New Roman"/>
          <w:sz w:val="20"/>
          <w:szCs w:val="20"/>
        </w:rPr>
        <w:t>[18] DANG X, CHEN K, SU X, et al. KnowGuard: Knowledge-Driven Abstention for Multi-Round Clinical Reasoning[C/OL]//International Conference on Learning Representations. 2026[2026-10-03]. https://proceedings.iclr.cc/paper_files/paper/2026/hash/8443219a991f068c34d9491ad68ffa94-Abstract-Conference.html.</w:t>
      </w:r>
    </w:p>
    <w:p>
      <w:pPr>
        <w:ind w:left="360" w:hanging="360"/>
        <w:snapToGrid w:val="0"/>
      </w:pPr>
      <w:r>
        <w:rPr>
          <w:rFonts w:eastAsia="宋体" w:ascii="Times New Roman" w:hAnsi="Times New Roman" w:cs="Times New Roman"/>
          <w:sz w:val="20"/>
          <w:szCs w:val="20"/>
        </w:rPr>
        <w:t>[19] JOREN H, ZHANG J, FERNG C S, et al. Sufficient Context: A New Lens on Retrieval Augmented Generation Systems[DB/OL]. arXiv:2411.06037v3, 2025[2026-10-03]. https://arxiv.org/abs/2411.06037v3.</w:t>
      </w:r>
    </w:p>
    <w:p>
      <w:pPr>
        <w:ind w:left="360" w:hanging="360"/>
        <w:snapToGrid w:val="0"/>
      </w:pPr>
      <w:r>
        <w:rPr>
          <w:rFonts w:eastAsia="宋体" w:ascii="Times New Roman" w:hAnsi="Times New Roman" w:cs="Times New Roman"/>
          <w:sz w:val="20"/>
          <w:szCs w:val="20"/>
        </w:rPr>
        <w:t>[20] CHEN X, AN J, GUO J, WANG L. PAGE-RAG: Evidence-Grounded Adaptive Graph Retrieval for Long-Document Question Answering[DB/OL]. arXiv:2607.19301v1, 2026[2026-10-03]. https://arxiv.org/abs/2607.19301v1.</w:t>
      </w:r>
    </w:p>
    <w:p>
      <w:pPr>
        <w:ind w:left="360" w:hanging="360"/>
        <w:snapToGrid w:val="0"/>
      </w:pPr>
      <w:r>
        <w:rPr>
          <w:rFonts w:eastAsia="宋体" w:ascii="Times New Roman" w:hAnsi="Times New Roman" w:cs="Times New Roman"/>
          <w:sz w:val="20"/>
          <w:szCs w:val="20"/>
        </w:rPr>
        <w:t>[21] PALMQVIST S, WHITSON H E, ALLEN L A, et al. Alzheimer’s Association Clinical Practice Guideline on the use of blood-based biomarkers in the diagnostic workup of suspected Alzheimer’s disease within specialized care settings[J]. Alzheimer’s &amp; Dementia, 2025, 21(7): e70535. DOI: 10.1002/alz.70535.</w:t>
      </w:r>
    </w:p>
    <w:p>
      <w:pPr>
        <w:pStyle w:val="aff2"/>
        <w:snapToGrid w:val="0"/>
      </w:pPr>
      <w:r>
        <w:t>附录 编制依据与文档取舍</w:t>
      </w:r>
    </w:p>
    <w:p>
      <w:pPr>
        <w:pStyle w:val="aff1"/>
        <w:snapToGrid w:val="0"/>
        <w:widowControl w:val="1"/>
      </w:pPr>
      <w:r>
        <w:t>本报告以 2026 年 10 月 3 日的工作区材料为依据，按版本声明、替代关系、任务范围及源码对应判断有效性，修改时间仅作线索。已有基础、拟实现机制和待验证效果分别表述；未重连在线服务或开展临床性能实验。</w:t>
      </w:r>
    </w:p>
    <w:p>
      <w:pPr>
        <w:pStyle w:val="aff1"/>
        <w:snapToGrid w:val="0"/>
        <w:widowControl w:val="1"/>
      </w:pPr>
      <w:r>
        <w:t>图谱采用《NeuroGRA_知识与来源分层图谱结构设计_v0.3》的 17 类节点与 40 种关系。0.2 文档保留领域与实验设计参考价值，结构冲突处以 v0.3 为准。构建采用《算法零_医学文本到RAG知识库与条件化知识图谱构建》第 12 节；第 2 至 11 节的 Clause、七类节点与旧接口不作为新契约，新增配置和样例也不证明全量构建已完成。</w:t>
      </w:r>
    </w:p>
    <w:p>
      <w:pPr>
        <w:pStyle w:val="aff1"/>
        <w:snapToGrid w:val="0"/>
        <w:widowControl w:val="1"/>
      </w:pPr>
      <w:r>
        <w:t>问答采用《算法一_鉴别证据检索详细设计》第 9 至 17 节及《NeuroGRA_医学文献证据问答算法》的近期方案。跨文献比较是拟定重点，尚非已完成实验。《总体设计》《算法二》及主子 Agent 设计用于历史病例流程与后续扩展，不直接套作当前算法。</w:t>
      </w:r>
    </w:p>
    <w:p>
      <w:pPr>
        <w:pStyle w:val="aff1"/>
        <w:snapToGrid w:val="0"/>
        <w:widowControl w:val="1"/>
      </w:pPr>
      <w:r>
        <w:t>三份本地综述用于选题与导航。旧综述中引文编号不一致或元数据待核对的条目不机械沿用，采用文献已重新核对并编号；教学病例不作为真实研究证据。14 份 PDF、270 页总数已核对，仅表示当前来源批次。关键医学定义回到原始 PDF，算法研究回到论文或出版入口，预印本标明版本。</w:t>
      </w:r>
    </w:p>
    <w:p>
      <w:pPr>
        <w:pStyle w:val="aff1"/>
        <w:snapToGrid w:val="0"/>
        <w:widowControl w:val="1"/>
      </w:pPr>
      <w:r>
        <w:t>分批交付、代码审查与 RWE 验收仅作为历史工程记录，不当作实时服务状态或临床效果。源码确认现有抽取器主要产生共现候选，图检索尚无目标结构的完整导航。README 的旧设计链接与分批状态不作为当前契约的权威依据；学习目录材料不参与报告。</w:t>
      </w:r>
    </w:p>
    <w:sectPr w:rsidR="00FC693F" w:rsidRPr="0006063C" w:rsidSect="00034616">
      <w:pgSz w:w="11906" w:h="16838"/>
      <w:pgMar w:top="2552" w:right="1588" w:bottom="1588" w:left="1588" w:header="851" w:footer="964" w:gutter="0"/>
      <w:cols w:space="720"/>
      <w:docGrid w:linePitch="312" w:type="linesAndChars"/>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9FE4F" w14:textId="77777777" w:rsidR="00B54ED3" w:rsidRDefault="00B54ED3">
      <w:r>
        <w:separator/>
      </w:r>
    </w:p>
  </w:endnote>
  <w:endnote w:type="continuationSeparator" w:id="0">
    <w:p w14:paraId="0AF67313" w14:textId="77777777" w:rsidR="00B54ED3" w:rsidRDefault="00B54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华文行楷">
    <w:altName w:val="STXingkai"/>
    <w:panose1 w:val="02010800040101010101"/>
    <w:charset w:val="86"/>
    <w:family w:val="auto"/>
    <w:pitch w:val="variable"/>
    <w:sig w:usb0="00000001" w:usb1="080F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华文楷体">
    <w:altName w:val="STKaiti"/>
    <w:panose1 w:val="02010600040101010101"/>
    <w:charset w:val="86"/>
    <w:family w:val="auto"/>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HZAQX S+ Nimbus Rom No 9 L">
    <w:altName w:val="宋体"/>
    <w:panose1 w:val="020B0604020202020204"/>
    <w:charset w:val="86"/>
    <w:family w:val="roman"/>
    <w:notTrueType/>
    <w:pitch w:val="default"/>
    <w:sig w:usb0="00000001" w:usb1="080E0000" w:usb2="00000010" w:usb3="00000000" w:csb0="00040000" w:csb1="00000000"/>
  </w:font>
  <w:font w:name="JLKRY H+ CMS Y 10">
    <w:altName w:val="Times New Roman"/>
    <w:panose1 w:val="020B0604020202020204"/>
    <w:charset w:val="00"/>
    <w:family w:val="roman"/>
    <w:notTrueType/>
    <w:pitch w:val="default"/>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1"/>
      <w:framePr w:wrap="around" w:vAnchor="text" w:hAnchor="margin" w:xAlign="center" w:y="1"/>
      <w:rPr>
        <w:rStyle w:val="af2"/>
      </w:rPr>
    </w:pPr>
    <w:r>
      <w:rPr>
        <w:rStyle w:val="af2"/>
      </w:rPr>
      <w:fldChar w:fldCharType="begin" w:dirty="true"/>
    </w:r>
    <w:r>
      <w:rPr>
        <w:rStyle w:val="af2"/>
      </w:rPr>
      <w:instrText xml:space="preserve"> PAGE </w:instrText>
    </w:r>
    <w:r>
      <w:rPr>
        <w:rStyle w:val="af2"/>
      </w:rPr>
      <w:fldChar w:fldCharType="separate"/>
    </w:r>
    <w:r>
      <w:rPr>
        <w:rStyle w:val="af2"/>
      </w:rPr>
      <w:t>1</w:t>
    </w:r>
    <w:r>
      <w:rPr>
        <w:rStyle w:val="af2"/>
      </w:rPr>
      <w:fldChar w:fldCharType="end"/>
    </w:r>
  </w:p>
  <w:p>
    <w:pPr>
      <w:pStyle w:val="af1"/>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49479" w14:textId="77777777" w:rsidR="00B54ED3" w:rsidRDefault="00B54ED3">
      <w:r>
        <w:separator/>
      </w:r>
    </w:p>
  </w:footnote>
  <w:footnote w:type="continuationSeparator" w:id="0">
    <w:p w14:paraId="76EE8473" w14:textId="77777777" w:rsidR="00B54ED3" w:rsidRDefault="00B54ED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d"/>
    </w:pPr>
    <w:r>
      <w:t>NeuroGRA 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36FAAD"/>
    <w:multiLevelType w:val="hybridMultilevel"/>
    <w:tmpl w:val="0D9A3B53"/>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AB0C91"/>
    <w:multiLevelType w:val="hybridMultilevel"/>
    <w:tmpl w:val="8E6893F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703259C"/>
    <w:multiLevelType w:val="multilevel"/>
    <w:tmpl w:val="04090025"/>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7111D4B"/>
    <w:multiLevelType w:val="multilevel"/>
    <w:tmpl w:val="59769F4A"/>
    <w:styleLink w:val="1"/>
    <w:lvl w:ilvl="0">
      <w:start w:val="1"/>
      <w:numFmt w:val="decimal"/>
      <w:lvlText w:val="%1"/>
      <w:lvlJc w:val="left"/>
      <w:pPr>
        <w:ind w:left="432" w:hanging="432"/>
      </w:pPr>
      <w:rPr>
        <w:rFonts w:hint="eastAsia"/>
      </w:rPr>
    </w:lvl>
    <w:lvl w:ilvl="1">
      <w:start w:val="1"/>
      <w:numFmt w:val="decimal"/>
      <w:lvlText w:val="%1.%2 "/>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212D6D95"/>
    <w:multiLevelType w:val="multilevel"/>
    <w:tmpl w:val="B46409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4B321C5"/>
    <w:multiLevelType w:val="multilevel"/>
    <w:tmpl w:val="D8163BD2"/>
    <w:lvl w:ilvl="0">
      <w:start w:val="1"/>
      <w:numFmt w:val="decimal"/>
      <w:lvlText w:val="%1"/>
      <w:lvlJc w:val="left"/>
      <w:pPr>
        <w:ind w:left="432" w:hanging="432"/>
      </w:pPr>
      <w:rPr>
        <w:rFonts w:hint="eastAsia"/>
      </w:rPr>
    </w:lvl>
    <w:lvl w:ilvl="1">
      <w:start w:val="1"/>
      <w:numFmt w:val="decimal"/>
      <w:lvlText w:val="%1.%2 "/>
      <w:lvlJc w:val="left"/>
      <w:pPr>
        <w:ind w:left="576" w:hanging="576"/>
      </w:pPr>
      <w:rPr>
        <w:rFonts w:hint="eastAsia"/>
      </w:rPr>
    </w:lvl>
    <w:lvl w:ilvl="2">
      <w:start w:val="1"/>
      <w:numFmt w:val="decimal"/>
      <w:lvlText w:val="%1.%2.%3 "/>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24BE50A6"/>
    <w:multiLevelType w:val="hybridMultilevel"/>
    <w:tmpl w:val="7408D7D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2FC606B7"/>
    <w:multiLevelType w:val="hybridMultilevel"/>
    <w:tmpl w:val="A762F31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316120DD"/>
    <w:multiLevelType w:val="multilevel"/>
    <w:tmpl w:val="316120DD"/>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387B119B"/>
    <w:multiLevelType w:val="multilevel"/>
    <w:tmpl w:val="59769F4A"/>
    <w:numStyleLink w:val="1"/>
  </w:abstractNum>
  <w:abstractNum w:abstractNumId="10" w15:restartNumberingAfterBreak="0">
    <w:nsid w:val="3E2C53D1"/>
    <w:multiLevelType w:val="multilevel"/>
    <w:tmpl w:val="B46409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3C23991"/>
    <w:multiLevelType w:val="multilevel"/>
    <w:tmpl w:val="EE8E85C4"/>
    <w:lvl w:ilvl="0">
      <w:start w:val="1"/>
      <w:numFmt w:val="decimal"/>
      <w:pStyle w:val="10"/>
      <w:lvlText w:val="%1"/>
      <w:lvlJc w:val="left"/>
      <w:pPr>
        <w:ind w:left="432" w:hanging="432"/>
      </w:pPr>
      <w:rPr>
        <w:rFonts w:hint="eastAsia"/>
      </w:rPr>
    </w:lvl>
    <w:lvl w:ilvl="1">
      <w:start w:val="1"/>
      <w:numFmt w:val="decimal"/>
      <w:pStyle w:val="2"/>
      <w:lvlText w:val="%1.%2 "/>
      <w:lvlJc w:val="left"/>
      <w:pPr>
        <w:ind w:left="576" w:hanging="576"/>
      </w:pPr>
      <w:rPr>
        <w:rFonts w:hint="eastAsia"/>
      </w:rPr>
    </w:lvl>
    <w:lvl w:ilvl="2">
      <w:start w:val="1"/>
      <w:numFmt w:val="decimal"/>
      <w:pStyle w:val="3"/>
      <w:lvlText w:val="%1.%2.%3 "/>
      <w:lvlJc w:val="left"/>
      <w:pPr>
        <w:ind w:left="720" w:hanging="720"/>
      </w:pPr>
      <w:rPr>
        <w:rFonts w:hint="eastAsia"/>
      </w:rPr>
    </w:lvl>
    <w:lvl w:ilvl="3">
      <w:start w:val="1"/>
      <w:numFmt w:val="decimal"/>
      <w:pStyle w:val="4"/>
      <w:lvlText w:val="%1.%2.%3.%4  "/>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2" w15:restartNumberingAfterBreak="0">
    <w:nsid w:val="4D586612"/>
    <w:multiLevelType w:val="multilevel"/>
    <w:tmpl w:val="59769F4A"/>
    <w:numStyleLink w:val="1"/>
  </w:abstractNum>
  <w:abstractNum w:abstractNumId="13" w15:restartNumberingAfterBreak="0">
    <w:nsid w:val="4E606E92"/>
    <w:multiLevelType w:val="hybridMultilevel"/>
    <w:tmpl w:val="68D88BB4"/>
    <w:lvl w:ilvl="0" w:tplc="29EE06AE">
      <w:start w:val="1"/>
      <w:numFmt w:val="decimal"/>
      <w:lvlText w:val="（%1）"/>
      <w:lvlJc w:val="left"/>
      <w:pPr>
        <w:tabs>
          <w:tab w:val="num" w:pos="851"/>
        </w:tabs>
        <w:ind w:left="480" w:firstLine="482"/>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6FB7FC8"/>
    <w:multiLevelType w:val="singleLevel"/>
    <w:tmpl w:val="56FB7FC8"/>
    <w:lvl w:ilvl="0">
      <w:start w:val="1"/>
      <w:numFmt w:val="decimal"/>
      <w:suff w:val="nothing"/>
      <w:lvlText w:val="%1）"/>
      <w:lvlJc w:val="left"/>
    </w:lvl>
  </w:abstractNum>
  <w:abstractNum w:abstractNumId="15" w15:restartNumberingAfterBreak="0">
    <w:nsid w:val="56FC894B"/>
    <w:multiLevelType w:val="singleLevel"/>
    <w:tmpl w:val="56FC894B"/>
    <w:lvl w:ilvl="0">
      <w:start w:val="1"/>
      <w:numFmt w:val="decimal"/>
      <w:suff w:val="nothing"/>
      <w:lvlText w:val="（%1）"/>
      <w:lvlJc w:val="left"/>
    </w:lvl>
  </w:abstractNum>
  <w:abstractNum w:abstractNumId="16" w15:restartNumberingAfterBreak="0">
    <w:nsid w:val="570621BE"/>
    <w:multiLevelType w:val="multilevel"/>
    <w:tmpl w:val="570621BE"/>
    <w:lvl w:ilvl="0">
      <w:start w:val="1"/>
      <w:numFmt w:val="chineseCounting"/>
      <w:suff w:val="nothing"/>
      <w:lvlText w:val="（%1）"/>
      <w:lvlJc w:val="left"/>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17" w15:restartNumberingAfterBreak="0">
    <w:nsid w:val="57067505"/>
    <w:multiLevelType w:val="multilevel"/>
    <w:tmpl w:val="57067505"/>
    <w:lvl w:ilvl="0">
      <w:start w:val="1"/>
      <w:numFmt w:val="decimal"/>
      <w:suff w:val="nothing"/>
      <w:lvlText w:val="%1）"/>
      <w:lvlJc w:val="left"/>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18" w15:restartNumberingAfterBreak="0">
    <w:nsid w:val="57072928"/>
    <w:multiLevelType w:val="singleLevel"/>
    <w:tmpl w:val="57072928"/>
    <w:lvl w:ilvl="0">
      <w:start w:val="1"/>
      <w:numFmt w:val="decimal"/>
      <w:suff w:val="nothing"/>
      <w:lvlText w:val="%1）"/>
      <w:lvlJc w:val="left"/>
    </w:lvl>
  </w:abstractNum>
  <w:abstractNum w:abstractNumId="19" w15:restartNumberingAfterBreak="0">
    <w:nsid w:val="57074503"/>
    <w:multiLevelType w:val="singleLevel"/>
    <w:tmpl w:val="57074503"/>
    <w:lvl w:ilvl="0">
      <w:start w:val="1"/>
      <w:numFmt w:val="chineseCounting"/>
      <w:suff w:val="nothing"/>
      <w:lvlText w:val="第%1章"/>
      <w:lvlJc w:val="left"/>
    </w:lvl>
  </w:abstractNum>
  <w:abstractNum w:abstractNumId="20" w15:restartNumberingAfterBreak="0">
    <w:nsid w:val="57138B71"/>
    <w:multiLevelType w:val="singleLevel"/>
    <w:tmpl w:val="57138B71"/>
    <w:lvl w:ilvl="0">
      <w:start w:val="1"/>
      <w:numFmt w:val="decimal"/>
      <w:suff w:val="nothing"/>
      <w:lvlText w:val="%1）"/>
      <w:lvlJc w:val="left"/>
    </w:lvl>
  </w:abstractNum>
  <w:abstractNum w:abstractNumId="21" w15:restartNumberingAfterBreak="0">
    <w:nsid w:val="57138DA8"/>
    <w:multiLevelType w:val="singleLevel"/>
    <w:tmpl w:val="57138DA8"/>
    <w:lvl w:ilvl="0">
      <w:start w:val="1"/>
      <w:numFmt w:val="decimal"/>
      <w:suff w:val="nothing"/>
      <w:lvlText w:val="%1）"/>
      <w:lvlJc w:val="left"/>
    </w:lvl>
  </w:abstractNum>
  <w:abstractNum w:abstractNumId="22" w15:restartNumberingAfterBreak="0">
    <w:nsid w:val="5714484F"/>
    <w:multiLevelType w:val="singleLevel"/>
    <w:tmpl w:val="5714484F"/>
    <w:lvl w:ilvl="0">
      <w:start w:val="1"/>
      <w:numFmt w:val="decimal"/>
      <w:suff w:val="nothing"/>
      <w:lvlText w:val="%1）"/>
      <w:lvlJc w:val="left"/>
    </w:lvl>
  </w:abstractNum>
  <w:abstractNum w:abstractNumId="23" w15:restartNumberingAfterBreak="0">
    <w:nsid w:val="571480D6"/>
    <w:multiLevelType w:val="multilevel"/>
    <w:tmpl w:val="571480D6"/>
    <w:lvl w:ilvl="0">
      <w:start w:val="3"/>
      <w:numFmt w:val="chineseCounting"/>
      <w:suff w:val="nothing"/>
      <w:lvlText w:val="（%1）"/>
      <w:lvlJc w:val="left"/>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24" w15:restartNumberingAfterBreak="0">
    <w:nsid w:val="5718E047"/>
    <w:multiLevelType w:val="singleLevel"/>
    <w:tmpl w:val="5718E047"/>
    <w:lvl w:ilvl="0">
      <w:start w:val="1"/>
      <w:numFmt w:val="decimal"/>
      <w:lvlText w:val="%1)"/>
      <w:lvlJc w:val="left"/>
    </w:lvl>
  </w:abstractNum>
  <w:abstractNum w:abstractNumId="25" w15:restartNumberingAfterBreak="0">
    <w:nsid w:val="571A0A18"/>
    <w:multiLevelType w:val="singleLevel"/>
    <w:tmpl w:val="571A0A18"/>
    <w:lvl w:ilvl="0">
      <w:start w:val="2"/>
      <w:numFmt w:val="chineseCounting"/>
      <w:suff w:val="nothing"/>
      <w:lvlText w:val="（%1）"/>
      <w:lvlJc w:val="left"/>
    </w:lvl>
  </w:abstractNum>
  <w:abstractNum w:abstractNumId="26" w15:restartNumberingAfterBreak="0">
    <w:nsid w:val="571A0A9D"/>
    <w:multiLevelType w:val="singleLevel"/>
    <w:tmpl w:val="571A0A9D"/>
    <w:lvl w:ilvl="0">
      <w:start w:val="2"/>
      <w:numFmt w:val="decimal"/>
      <w:suff w:val="nothing"/>
      <w:lvlText w:val="%1）"/>
      <w:lvlJc w:val="left"/>
    </w:lvl>
  </w:abstractNum>
  <w:abstractNum w:abstractNumId="27" w15:restartNumberingAfterBreak="0">
    <w:nsid w:val="5724BD98"/>
    <w:multiLevelType w:val="singleLevel"/>
    <w:tmpl w:val="5724BD98"/>
    <w:lvl w:ilvl="0">
      <w:start w:val="1"/>
      <w:numFmt w:val="decimal"/>
      <w:suff w:val="nothing"/>
      <w:lvlText w:val="%1）"/>
      <w:lvlJc w:val="left"/>
    </w:lvl>
  </w:abstractNum>
  <w:abstractNum w:abstractNumId="28" w15:restartNumberingAfterBreak="0">
    <w:nsid w:val="5724BF1B"/>
    <w:multiLevelType w:val="singleLevel"/>
    <w:tmpl w:val="5724BF1B"/>
    <w:lvl w:ilvl="0">
      <w:start w:val="1"/>
      <w:numFmt w:val="decimal"/>
      <w:suff w:val="nothing"/>
      <w:lvlText w:val="%1）"/>
      <w:lvlJc w:val="left"/>
    </w:lvl>
  </w:abstractNum>
  <w:abstractNum w:abstractNumId="29" w15:restartNumberingAfterBreak="0">
    <w:nsid w:val="5724DB3F"/>
    <w:multiLevelType w:val="multilevel"/>
    <w:tmpl w:val="5724DB3F"/>
    <w:lvl w:ilvl="0">
      <w:start w:val="1"/>
      <w:numFmt w:val="decimal"/>
      <w:suff w:val="nothing"/>
      <w:lvlText w:val="%1）"/>
      <w:lvlJc w:val="left"/>
      <w:pPr>
        <w:ind w:left="0"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724DB79"/>
    <w:multiLevelType w:val="multilevel"/>
    <w:tmpl w:val="5724DB79"/>
    <w:lvl w:ilvl="0">
      <w:start w:val="1"/>
      <w:numFmt w:val="decimal"/>
      <w:suff w:val="nothing"/>
      <w:lvlText w:val="%1）"/>
      <w:lvlJc w:val="left"/>
      <w:pPr>
        <w:ind w:left="0"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7256E91"/>
    <w:multiLevelType w:val="singleLevel"/>
    <w:tmpl w:val="57256E91"/>
    <w:lvl w:ilvl="0">
      <w:start w:val="1"/>
      <w:numFmt w:val="decimal"/>
      <w:suff w:val="nothing"/>
      <w:lvlText w:val="%1、"/>
      <w:lvlJc w:val="left"/>
    </w:lvl>
  </w:abstractNum>
  <w:abstractNum w:abstractNumId="32" w15:restartNumberingAfterBreak="0">
    <w:nsid w:val="5726D2FA"/>
    <w:multiLevelType w:val="multilevel"/>
    <w:tmpl w:val="5726D2FA"/>
    <w:lvl w:ilvl="0">
      <w:start w:val="2"/>
      <w:numFmt w:val="decimal"/>
      <w:suff w:val="nothing"/>
      <w:lvlText w:val="%1）"/>
      <w:lvlJc w:val="left"/>
    </w:lvl>
    <w:lvl w:ilvl="1">
      <w:start w:val="1"/>
      <w:numFmt w:val="lowerLetter"/>
      <w:lvlText w:val="%2)"/>
      <w:lvlJc w:val="left"/>
      <w:pPr>
        <w:tabs>
          <w:tab w:val="num" w:pos="840"/>
        </w:tabs>
        <w:ind w:left="840" w:hanging="420"/>
      </w:pPr>
      <w:rPr>
        <w:rFonts w:hint="default"/>
      </w:rPr>
    </w:lvl>
    <w:lvl w:ilvl="2">
      <w:start w:val="1"/>
      <w:numFmt w:val="lowerRoman"/>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decimal"/>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Roman"/>
      <w:lvlText w:val="%9."/>
      <w:lvlJc w:val="left"/>
      <w:pPr>
        <w:tabs>
          <w:tab w:val="num" w:pos="3780"/>
        </w:tabs>
        <w:ind w:left="3780" w:hanging="420"/>
      </w:pPr>
      <w:rPr>
        <w:rFonts w:hint="default"/>
      </w:rPr>
    </w:lvl>
  </w:abstractNum>
  <w:abstractNum w:abstractNumId="33" w15:restartNumberingAfterBreak="0">
    <w:nsid w:val="5726D54E"/>
    <w:multiLevelType w:val="singleLevel"/>
    <w:tmpl w:val="5726D54E"/>
    <w:lvl w:ilvl="0">
      <w:start w:val="3"/>
      <w:numFmt w:val="decimal"/>
      <w:suff w:val="space"/>
      <w:lvlText w:val="%1)"/>
      <w:lvlJc w:val="left"/>
    </w:lvl>
  </w:abstractNum>
  <w:abstractNum w:abstractNumId="34" w15:restartNumberingAfterBreak="0">
    <w:nsid w:val="5C185B4D"/>
    <w:multiLevelType w:val="multilevel"/>
    <w:tmpl w:val="44304AD0"/>
    <w:lvl w:ilvl="0">
      <w:start w:val="1"/>
      <w:numFmt w:val="decimal"/>
      <w:lvlText w:val="%1  "/>
      <w:lvlJc w:val="left"/>
      <w:pPr>
        <w:ind w:left="432" w:hanging="432"/>
      </w:pPr>
      <w:rPr>
        <w:rFonts w:hint="eastAsia"/>
      </w:rPr>
    </w:lvl>
    <w:lvl w:ilvl="1">
      <w:start w:val="1"/>
      <w:numFmt w:val="decimal"/>
      <w:lvlText w:val="1.%2    "/>
      <w:lvlJc w:val="left"/>
      <w:pPr>
        <w:ind w:left="576" w:hanging="576"/>
      </w:pPr>
      <w:rPr>
        <w:rFonts w:hint="eastAsia"/>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5C7D6CB8"/>
    <w:multiLevelType w:val="hybridMultilevel"/>
    <w:tmpl w:val="360A8DEC"/>
    <w:lvl w:ilvl="0" w:tplc="E4FE82E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5D3D4953"/>
    <w:multiLevelType w:val="hybridMultilevel"/>
    <w:tmpl w:val="96BC33A2"/>
    <w:lvl w:ilvl="0" w:tplc="B23897E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5E23C388"/>
    <w:multiLevelType w:val="hybridMultilevel"/>
    <w:tmpl w:val="FA1D217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5617657"/>
    <w:multiLevelType w:val="hybridMultilevel"/>
    <w:tmpl w:val="4CA2517E"/>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39" w15:restartNumberingAfterBreak="0">
    <w:nsid w:val="6B626D50"/>
    <w:multiLevelType w:val="hybridMultilevel"/>
    <w:tmpl w:val="2CBC7D3E"/>
    <w:lvl w:ilvl="0" w:tplc="0409000F">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0" w15:restartNumberingAfterBreak="0">
    <w:nsid w:val="7E7D57C6"/>
    <w:multiLevelType w:val="hybridMultilevel"/>
    <w:tmpl w:val="448621EE"/>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122700829">
    <w:abstractNumId w:val="8"/>
  </w:num>
  <w:num w:numId="2" w16cid:durableId="819998307">
    <w:abstractNumId w:val="31"/>
  </w:num>
  <w:num w:numId="3" w16cid:durableId="593249222">
    <w:abstractNumId w:val="16"/>
  </w:num>
  <w:num w:numId="4" w16cid:durableId="1271931786">
    <w:abstractNumId w:val="17"/>
  </w:num>
  <w:num w:numId="5" w16cid:durableId="546836343">
    <w:abstractNumId w:val="18"/>
  </w:num>
  <w:num w:numId="6" w16cid:durableId="727849507">
    <w:abstractNumId w:val="19"/>
  </w:num>
  <w:num w:numId="7" w16cid:durableId="454371795">
    <w:abstractNumId w:val="15"/>
  </w:num>
  <w:num w:numId="8" w16cid:durableId="1281641287">
    <w:abstractNumId w:val="27"/>
  </w:num>
  <w:num w:numId="9" w16cid:durableId="879052464">
    <w:abstractNumId w:val="28"/>
  </w:num>
  <w:num w:numId="10" w16cid:durableId="424422601">
    <w:abstractNumId w:val="32"/>
  </w:num>
  <w:num w:numId="11" w16cid:durableId="1092701888">
    <w:abstractNumId w:val="33"/>
  </w:num>
  <w:num w:numId="12" w16cid:durableId="1621063920">
    <w:abstractNumId w:val="29"/>
    <w:lvlOverride w:ilvl="0">
      <w:startOverride w:val="1"/>
    </w:lvlOverride>
  </w:num>
  <w:num w:numId="13" w16cid:durableId="836069779">
    <w:abstractNumId w:val="22"/>
  </w:num>
  <w:num w:numId="14" w16cid:durableId="1152790252">
    <w:abstractNumId w:val="25"/>
  </w:num>
  <w:num w:numId="15" w16cid:durableId="2002734898">
    <w:abstractNumId w:val="26"/>
  </w:num>
  <w:num w:numId="16" w16cid:durableId="530193447">
    <w:abstractNumId w:val="23"/>
  </w:num>
  <w:num w:numId="17" w16cid:durableId="162938843">
    <w:abstractNumId w:val="20"/>
  </w:num>
  <w:num w:numId="18" w16cid:durableId="1656496475">
    <w:abstractNumId w:val="21"/>
  </w:num>
  <w:num w:numId="19" w16cid:durableId="965041091">
    <w:abstractNumId w:val="30"/>
    <w:lvlOverride w:ilvl="0">
      <w:startOverride w:val="1"/>
    </w:lvlOverride>
  </w:num>
  <w:num w:numId="20" w16cid:durableId="887187461">
    <w:abstractNumId w:val="14"/>
  </w:num>
  <w:num w:numId="21" w16cid:durableId="1167524195">
    <w:abstractNumId w:val="24"/>
  </w:num>
  <w:num w:numId="22" w16cid:durableId="951934264">
    <w:abstractNumId w:val="35"/>
  </w:num>
  <w:num w:numId="23" w16cid:durableId="547379830">
    <w:abstractNumId w:val="11"/>
  </w:num>
  <w:num w:numId="24" w16cid:durableId="63842330">
    <w:abstractNumId w:val="13"/>
  </w:num>
  <w:num w:numId="25" w16cid:durableId="1064184615">
    <w:abstractNumId w:val="4"/>
  </w:num>
  <w:num w:numId="26" w16cid:durableId="758252353">
    <w:abstractNumId w:val="10"/>
  </w:num>
  <w:num w:numId="27" w16cid:durableId="934172077">
    <w:abstractNumId w:val="34"/>
  </w:num>
  <w:num w:numId="28" w16cid:durableId="7290357">
    <w:abstractNumId w:val="2"/>
  </w:num>
  <w:num w:numId="29" w16cid:durableId="672731795">
    <w:abstractNumId w:val="3"/>
  </w:num>
  <w:num w:numId="30" w16cid:durableId="481773304">
    <w:abstractNumId w:val="9"/>
  </w:num>
  <w:num w:numId="31" w16cid:durableId="1209217782">
    <w:abstractNumId w:val="12"/>
  </w:num>
  <w:num w:numId="32" w16cid:durableId="1076129175">
    <w:abstractNumId w:val="39"/>
  </w:num>
  <w:num w:numId="33" w16cid:durableId="164327664">
    <w:abstractNumId w:val="7"/>
  </w:num>
  <w:num w:numId="34" w16cid:durableId="764151110">
    <w:abstractNumId w:val="1"/>
  </w:num>
  <w:num w:numId="35" w16cid:durableId="1220435896">
    <w:abstractNumId w:val="0"/>
  </w:num>
  <w:num w:numId="36" w16cid:durableId="2112384592">
    <w:abstractNumId w:val="37"/>
  </w:num>
  <w:num w:numId="37" w16cid:durableId="1451708853">
    <w:abstractNumId w:val="6"/>
  </w:num>
  <w:num w:numId="38" w16cid:durableId="96365675">
    <w:abstractNumId w:val="5"/>
  </w:num>
  <w:num w:numId="39" w16cid:durableId="1456487954">
    <w:abstractNumId w:val="40"/>
  </w:num>
  <w:num w:numId="40" w16cid:durableId="600338660">
    <w:abstractNumId w:val="36"/>
  </w:num>
  <w:num w:numId="41" w16cid:durableId="12851807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NE.Ref{07B08C2B-14FA-4670-9003-83DF53CD0E00}" w:val=" ADDIN NE.Ref.{07B08C2B-14FA-4670-9003-83DF53CD0E00}&lt;Citation&gt;&lt;Group&gt;&lt;References&gt;&lt;Item&gt;&lt;ID&gt;457&lt;/ID&gt;&lt;UID&gt;{1344CF13-558A-4416-AFB8-5811943A3DD6}&lt;/UID&gt;&lt;Title&gt;Design aspects and system evaluations of IS-95 based CDMA systems&lt;/Title&gt;&lt;Template&gt;Conference Proceedings&lt;/Template&gt;&lt;Star&gt;0&lt;/Star&gt;&lt;Tag&gt;0&lt;/Tag&gt;&lt;Author&gt;Yang, Jin; Lee, William CY; Shin, Sung-Hyuk&lt;/Author&gt;&lt;Year&gt;1997&lt;/Year&gt;&lt;Details&gt;&lt;_created&gt;61216785&lt;/_created&gt;&lt;_isbn&gt;0780337778&lt;/_isbn&gt;&lt;_modified&gt;61216789&lt;/_modified&gt;&lt;_pages&gt;381-385&lt;/_pages&gt;&lt;_publisher&gt;IEEE&lt;/_publisher&gt;&lt;_secondary_title&gt;Universal Personal Communications Record, 1997. Conference Record., 1997 IEEE 6th International Conference on&lt;/_secondary_title&gt;&lt;_volume&gt;2&lt;/_volume&gt;&lt;/Details&gt;&lt;Extra&gt;&lt;DBUID&gt;{F96A950B-833F-4880-A151-76DA2D6A2879}&lt;/DBUID&gt;&lt;/Extra&gt;&lt;/Item&gt;&lt;/References&gt;&lt;/Group&gt;&lt;/Citation&gt;_x000a_"/>
    <w:docVar w:name="NE.Ref{0E455711-E83D-444D-9137-4BF81F6A2E71}" w:val=" ADDIN NE.Ref.{0E455711-E83D-444D-9137-4BF81F6A2E71}&lt;Citation&gt;&lt;Group&gt;&lt;References&gt;&lt;Item&gt;&lt;ID&gt;486&lt;/ID&gt;&lt;UID&gt;{72F5357E-371A-4AA0-88B7-C6AD580FBA4C}&lt;/UID&gt;&lt;Title&gt;What Is Apache Hadoop&lt;/Title&gt;&lt;Template&gt;Web Page&lt;/Template&gt;&lt;Star&gt;0&lt;/Star&gt;&lt;Tag&gt;0&lt;/Tag&gt;&lt;Author&gt;Foundation, The Apache Software&lt;/Author&gt;&lt;Year&gt;2016&lt;/Year&gt;&lt;Details&gt;&lt;_accessed&gt;61216799&lt;/_accessed&gt;&lt;_created&gt;61216799&lt;/_created&gt;&lt;_modified&gt;61216799&lt;/_modified&gt;&lt;/Details&gt;&lt;Extra&gt;&lt;DBUID&gt;{F96A950B-833F-4880-A151-76DA2D6A2879}&lt;/DBUID&gt;&lt;/Extra&gt;&lt;/Item&gt;&lt;/References&gt;&lt;/Group&gt;&lt;/Citation&gt;_x000a_"/>
    <w:docVar w:name="NE.Ref{183210CF-AE4B-4BA8-B871-44FD545C6BB2}" w:val=" ADDIN NE.Ref.{183210CF-AE4B-4BA8-B871-44FD545C6BB2}&lt;Citation&gt;&lt;Group&gt;&lt;References&gt;&lt;Item&gt;&lt;ID&gt;487&lt;/ID&gt;&lt;UID&gt;{33B1E768-A24A-4AB1-B0B5-CDAB7CA04F25}&lt;/UID&gt;&lt;Title&gt;HDFS Architecture Guide&lt;/Title&gt;&lt;Template&gt;Web Page&lt;/Template&gt;&lt;Star&gt;0&lt;/Star&gt;&lt;Tag&gt;0&lt;/Tag&gt;&lt;Author&gt;Foundation, The Apache Software&lt;/Author&gt;&lt;Year&gt;2013&lt;/Year&gt;&lt;Details&gt;&lt;_accessed&gt;61216803&lt;/_accessed&gt;&lt;_created&gt;61216803&lt;/_created&gt;&lt;_modified&gt;61216803&lt;/_modified&gt;&lt;_url&gt;https://hadoop.apache.org/docs/r1.2.1/hdfs design.html&lt;/_url&gt;&lt;/Details&gt;&lt;Extra&gt;&lt;DBUID&gt;{F96A950B-833F-4880-A151-76DA2D6A2879}&lt;/DBUID&gt;&lt;/Extra&gt;&lt;/Item&gt;&lt;/References&gt;&lt;/Group&gt;&lt;/Citation&gt;_x000a_"/>
    <w:docVar w:name="NE.Ref{1CADABFD-7D61-4181-8AF3-00A2413A4EFD}" w:val=" ADDIN NE.Ref.{1CADABFD-7D61-4181-8AF3-00A2413A4EFD}&lt;Citation&gt;&lt;Group&gt;&lt;References&gt;&lt;Item&gt;&lt;ID&gt;466&lt;/ID&gt;&lt;UID&gt;{94E9E40B-E009-489E-9F68-CE2AB41A147D}&lt;/UID&gt;&lt;Title&gt;Harvesting MDT data: Radio environment maps for coverage analysis in cellular networks&lt;/Title&gt;&lt;Template&gt;Conference Proceedings&lt;/Template&gt;&lt;Star&gt;0&lt;/Star&gt;&lt;Tag&gt;0&lt;/Tag&gt;&lt;Author&gt;Galindo-Serrano, Ana; Sayrac, Berna; Ben Jemaa, Sana; Riihijarvi, Janne; Mahonen, Petri&lt;/Author&gt;&lt;Year&gt;2013&lt;/Year&gt;&lt;Details&gt;&lt;_created&gt;61216786&lt;/_created&gt;&lt;_modified&gt;61216788&lt;/_modified&gt;&lt;_pages&gt;37-42&lt;/_pages&gt;&lt;_publisher&gt;IEEE&lt;/_publisher&gt;&lt;_secondary_title&gt;Cognitive Radio Oriented Wireless Networks (CROWNCOM), 2013 8th International Conference on&lt;/_secondary_title&gt;&lt;/Details&gt;&lt;Extra&gt;&lt;DBUID&gt;{F96A950B-833F-4880-A151-76DA2D6A2879}&lt;/DBUID&gt;&lt;/Extra&gt;&lt;/Item&gt;&lt;/References&gt;&lt;/Group&gt;&lt;/Citation&gt;_x000a_"/>
    <w:docVar w:name="NE.Ref{2022E6C9-F642-4B32-82F1-46A6959CA783}" w:val=" ADDIN NE.Ref.{2022E6C9-F642-4B32-82F1-46A6959CA783}&lt;Citation&gt;&lt;Group&gt;&lt;References&gt;&lt;Item&gt;&lt;ID&gt;488&lt;/ID&gt;&lt;UID&gt;{0B1EB32B-1989-43BA-AEEE-528762B8D7B7}&lt;/UID&gt;&lt;Title&gt;MapReduce Tutorial&lt;/Title&gt;&lt;Template&gt;Web Page&lt;/Template&gt;&lt;Star&gt;0&lt;/Star&gt;&lt;Tag&gt;0&lt;/Tag&gt;&lt;Author&gt;Foundation, The Apache Software&lt;/Author&gt;&lt;Year&gt;2013&lt;/Year&gt;&lt;Details&gt;&lt;_accessed&gt;61216804&lt;/_accessed&gt;&lt;_created&gt;61216804&lt;/_created&gt;&lt;_modified&gt;61216804&lt;/_modified&gt;&lt;_url&gt;https://hadoop.apache.org/docs/r1.2.1/mapred tutorial.html&lt;/_url&gt;&lt;/Details&gt;&lt;Extra&gt;&lt;DBUID&gt;{F96A950B-833F-4880-A151-76DA2D6A2879}&lt;/DBUID&gt;&lt;/Extra&gt;&lt;/Item&gt;&lt;/References&gt;&lt;/Group&gt;&lt;/Citation&gt;_x000a_"/>
    <w:docVar w:name="NE.Ref{213F092C-93BE-4BEE-A7CB-CB71D032154E}" w:val=" ADDIN NE.Ref.{213F092C-93BE-4BEE-A7CB-CB71D032154E}&lt;Citation&gt;&lt;Group&gt;&lt;References&gt;&lt;Item&gt;&lt;ID&gt;400&lt;/ID&gt;&lt;UID&gt;{AC6E51AE-923F-4F84-A7A1-D9B3B1516050}&lt;/UID&gt;&lt;Title&gt;城市移动通信基站的建站分析和选址方案设计&lt;/Title&gt;&lt;Template&gt;Journal Article&lt;/Template&gt;&lt;Star&gt;0&lt;/Star&gt;&lt;Tag&gt;0&lt;/Tag&gt;&lt;Author&gt;宋海营&lt;/Author&gt;&lt;Year&gt;2013&lt;/Year&gt;&lt;Details&gt;&lt;_author_aff&gt;山东省滨州市无线电管理办公室;&lt;/_author_aff&gt;&lt;_created&gt;61216768&lt;/_created&gt;&lt;_date&gt;2013-10-26&lt;/_date&gt;&lt;_db_provider&gt;CNKI: 期刊&lt;/_db_provider&gt;&lt;_db_updated&gt;CNKI - Reference&lt;/_db_updated&gt;&lt;_issue&gt;10&lt;/_issue&gt;&lt;_journal&gt;中国无线电&lt;/_journal&gt;&lt;_keywords&gt;信号覆盖;电磁辐射;GIS;基站选址&lt;/_keywords&gt;&lt;_modified&gt;61216782&lt;/_modified&gt;&lt;_pages&gt;55-58&lt;/_pages&gt;&lt;_url&gt;http://www.cnki.net/KCMS/detail/detail.aspx?FileName=ZWDG201310042&amp;amp;DbName=CJFQ2013&lt;/_url&gt;&lt;_translated_author&gt;Song, Haiying&lt;/_translated_author&gt;&lt;/Details&gt;&lt;Extra&gt;&lt;DBUID&gt;{F96A950B-833F-4880-A151-76DA2D6A2879}&lt;/DBUID&gt;&lt;/Extra&gt;&lt;/Item&gt;&lt;/References&gt;&lt;/Group&gt;&lt;/Citation&gt;_x000a_"/>
    <w:docVar w:name="NE.Ref{24985CCB-E1BB-4B5C-BE3B-CE6CD39D5189}" w:val=" ADDIN NE.Ref.{24985CCB-E1BB-4B5C-BE3B-CE6CD39D5189}&lt;Citation&gt;&lt;Group&gt;&lt;References&gt;&lt;Item&gt;&lt;ID&gt;395&lt;/ID&gt;&lt;UID&gt;{950383D4-7D9F-42A1-9D40-9C5ADF669780}&lt;/UID&gt;&lt;Title&gt;基于GIS的移动通信网络质量监控与分析系统研究&lt;/Title&gt;&lt;Template&gt;Journal Article&lt;/Template&gt;&lt;Star&gt;0&lt;/Star&gt;&lt;Tag&gt;0&lt;/Tag&gt;&lt;Author&gt;熊华伟&lt;/Author&gt;&lt;Year&gt;2012&lt;/Year&gt;&lt;Details&gt;&lt;_created&gt;61216753&lt;/_created&gt;&lt;_date&gt;2012-08-15&lt;/_date&gt;&lt;_db_provider&gt;CNKI: 期刊&lt;/_db_provider&gt;&lt;_db_updated&gt;CNKI - Reference&lt;/_db_updated&gt;&lt;_issue&gt;04&lt;/_issue&gt;&lt;_journal&gt;信息通信&lt;/_journal&gt;&lt;_keywords&gt;GIS;移动通信;网络质量监控;网络性能指标分析&lt;/_keywords&gt;&lt;_modified&gt;61216841&lt;/_modified&gt;&lt;_pages&gt;129-130&lt;/_pages&gt;&lt;_url&gt;http://www.cnki.net/KCMS/detail/detail.aspx?FileName=HBYD201204078&amp;amp;DbName=CJFQ2012&lt;/_url&gt;&lt;_translated_author&gt;Xiong, Huawei&lt;/_translated_author&gt;&lt;/Details&gt;&lt;Extra&gt;&lt;DBUID&gt;{F96A950B-833F-4880-A151-76DA2D6A2879}&lt;/DBUID&gt;&lt;/Extra&gt;&lt;/Item&gt;&lt;/References&gt;&lt;/Group&gt;&lt;/Citation&gt;_x000a_"/>
    <w:docVar w:name="NE.Ref{32A1B9E2-8C37-485E-9180-254CB83E66A4}" w:val=" ADDIN NE.Ref.{32A1B9E2-8C37-485E-9180-254CB83E66A4}&lt;Citation&gt;&lt;Group&gt;&lt;References&gt;&lt;Item&gt;&lt;ID&gt;485&lt;/ID&gt;&lt;UID&gt;{7C77E6D4-B1A6-44BA-B5C8-D48019DBF0F2}&lt;/UID&gt;&lt;Title&gt;移动通信系统&lt;/Title&gt;&lt;Template&gt;Book&lt;/Template&gt;&lt;Star&gt;0&lt;/Star&gt;&lt;Tag&gt;0&lt;/Tag&gt;&lt;Author&gt;陈威兵; 何松华; 彭曙光&lt;/Author&gt;&lt;Year&gt;2010&lt;/Year&gt;&lt;Details&gt;&lt;_accessed&gt;61216797&lt;/_accessed&gt;&lt;_created&gt;61216797&lt;/_created&gt;&lt;_edition&gt;1&lt;/_edition&gt;&lt;_modified&gt;61216798&lt;/_modified&gt;&lt;_place_published&gt;北京&lt;/_place_published&gt;&lt;_publisher&gt;清华大学出版社&lt;/_publisher&gt;&lt;_translated_author&gt;Chen, Weibing;He, Songhua;Peng, Shuguang&lt;/_translated_author&gt;&lt;/Details&gt;&lt;Extra&gt;&lt;DBUID&gt;{F96A950B-833F-4880-A151-76DA2D6A2879}&lt;/DBUID&gt;&lt;/Extra&gt;&lt;/Item&gt;&lt;/References&gt;&lt;/Group&gt;&lt;/Citation&gt;_x000a_"/>
    <w:docVar w:name="NE.Ref{34AFEA79-B3C6-4B76-A06B-1316B33F03D5}" w:val=" ADDIN NE.Ref.{34AFEA79-B3C6-4B76-A06B-1316B33F03D5}&lt;Citation&gt;&lt;Group&gt;&lt;References&gt;&lt;Item&gt;&lt;ID&gt;401&lt;/ID&gt;&lt;UID&gt;{5436AE69-1CD5-48C9-9C94-AC5978C96B15}&lt;/UID&gt;&lt;Title&gt;基于GeoDatabase的管线数据库建库若干问题研究&lt;/Title&gt;&lt;Template&gt;Journal Article&lt;/Template&gt;&lt;Star&gt;0&lt;/Star&gt;&lt;Tag&gt;0&lt;/Tag&gt;&lt;Author&gt;方黎; 于海波&lt;/Author&gt;&lt;Year&gt;2005&lt;/Year&gt;&lt;Details&gt;&lt;_author_aff&gt;深圳市公路交通工程试验检测中心;天津金宇信息技术有限公司 广东深圳5181122;天津300381&lt;/_author_aff&gt;&lt;_created&gt;61216769&lt;/_created&gt;&lt;_date&gt;2005-12-25&lt;/_date&gt;&lt;_db_provider&gt;CNKI: 期刊&lt;/_db_provider&gt;&lt;_db_updated&gt;CNKI - Reference&lt;/_db_updated&gt;&lt;_issue&gt;06&lt;/_issue&gt;&lt;_journal&gt;城市勘测&lt;/_journal&gt;&lt;_keywords&gt;GIS;ArcGIS;ArcSDE;GeoDatabase;RDBMS;动态分段;网络模型;数据元;拓扑&lt;/_keywords&gt;&lt;_modified&gt;61216865&lt;/_modified&gt;&lt;_pages&gt;22-25&lt;/_pages&gt;&lt;_url&gt;http://www.cnki.net/KCMS/detail/detail.aspx?FileName=CSKC200506008&amp;amp;DbName=CJFQ2005&lt;/_url&gt;&lt;_translated_author&gt;Fang, Li;Yu, Haibo&lt;/_translated_author&gt;&lt;/Details&gt;&lt;Extra&gt;&lt;DBUID&gt;{F96A950B-833F-4880-A151-76DA2D6A2879}&lt;/DBUID&gt;&lt;/Extra&gt;&lt;/Item&gt;&lt;/References&gt;&lt;/Group&gt;&lt;/Citation&gt;_x000a_"/>
    <w:docVar w:name="NE.Ref{37862AA9-FDC8-4EB1-9892-DE9487435FD6}" w:val=" ADDIN NE.Ref.{37862AA9-FDC8-4EB1-9892-DE9487435FD6}&lt;Citation&gt;&lt;Group&gt;&lt;References&gt;&lt;Item&gt;&lt;ID&gt;466&lt;/ID&gt;&lt;UID&gt;{94E9E40B-E009-489E-9F68-CE2AB41A147D}&lt;/UID&gt;&lt;Title&gt;Harvesting MDT data: Radio environment maps for coverage analysis in cellular networks&lt;/Title&gt;&lt;Template&gt;Conference Proceedings&lt;/Template&gt;&lt;Star&gt;0&lt;/Star&gt;&lt;Tag&gt;0&lt;/Tag&gt;&lt;Author&gt;Galindo-Serrano, Ana; Sayrac, Berna; Ben Jemaa, Sana; Riihijarvi, Janne; Mahonen, Petri&lt;/Author&gt;&lt;Year&gt;2013&lt;/Year&gt;&lt;Details&gt;&lt;_created&gt;61216786&lt;/_created&gt;&lt;_modified&gt;61216788&lt;/_modified&gt;&lt;_pages&gt;37-42&lt;/_pages&gt;&lt;_publisher&gt;IEEE&lt;/_publisher&gt;&lt;_secondary_title&gt;Cognitive Radio Oriented Wireless Networks (CROWNCOM), 2013 8th International Conference on&lt;/_secondary_title&gt;&lt;/Details&gt;&lt;Extra&gt;&lt;DBUID&gt;{F96A950B-833F-4880-A151-76DA2D6A2879}&lt;/DBUID&gt;&lt;/Extra&gt;&lt;/Item&gt;&lt;/References&gt;&lt;/Group&gt;&lt;/Citation&gt;_x000a_"/>
    <w:docVar w:name="NE.Ref{3A2CDD83-D521-41FD-8295-F41E2D154C2A}" w:val=" ADDIN NE.Ref.{3A2CDD83-D521-41FD-8295-F41E2D154C2A}&lt;Citation&gt;&lt;Group&gt;&lt;References&gt;&lt;Item&gt;&lt;ID&gt;464&lt;/ID&gt;&lt;UID&gt;{1D62A16D-EBD1-4059-BA8D-2A9697BB8D18}&lt;/UID&gt;&lt;Title&gt;GIS-based probabilistic mapping of landslide hazard using a three-dimensional deterministic model&lt;/Title&gt;&lt;Template&gt;Journal Article&lt;/Template&gt;&lt;Star&gt;0&lt;/Star&gt;&lt;Tag&gt;0&lt;/Tag&gt;&lt;Author&gt;Xie, Mowen; Esaki, Tetsuro; Zhou, Guoyun&lt;/Author&gt;&lt;Year&gt;2004&lt;/Year&gt;&lt;Details&gt;&lt;_collection_scope&gt;SCIE;&lt;/_collection_scope&gt;&lt;_created&gt;61216785&lt;/_created&gt;&lt;_impact_factor&gt;   1.719&lt;/_impact_factor&gt;&lt;_isbn&gt;0921-030X&lt;/_isbn&gt;&lt;_issue&gt;2&lt;/_issue&gt;&lt;_journal&gt;Natural Hazards&lt;/_journal&gt;&lt;_modified&gt;61216788&lt;/_modified&gt;&lt;_pages&gt;265-282&lt;/_pages&gt;&lt;_volume&gt;33&lt;/_volume&gt;&lt;/Details&gt;&lt;Extra&gt;&lt;DBUID&gt;{F96A950B-833F-4880-A151-76DA2D6A2879}&lt;/DBUID&gt;&lt;/Extra&gt;&lt;/Item&gt;&lt;/References&gt;&lt;/Group&gt;&lt;/Citation&gt;_x000a_"/>
    <w:docVar w:name="NE.Ref{3C5ACC46-C49D-49EB-9995-091C1159EC71}" w:val=" ADDIN NE.Ref.{3C5ACC46-C49D-49EB-9995-091C1159EC71}&lt;Citation&gt;&lt;Group&gt;&lt;References&gt;&lt;Item&gt;&lt;ID&gt;475&lt;/ID&gt;&lt;UID&gt;{C8535FF9-879E-4CE6-9AB7-6F9C168229C4}&lt;/UID&gt;&lt;Title&gt;Principal direction divisive partitioning&lt;/Title&gt;&lt;Template&gt;Journal Article&lt;/Template&gt;&lt;Star&gt;0&lt;/Star&gt;&lt;Tag&gt;0&lt;/Tag&gt;&lt;Author&gt;Boley, Daniel&lt;/Author&gt;&lt;Year&gt;1998&lt;/Year&gt;&lt;Details&gt;&lt;_collection_scope&gt;EI;SCI;SCIE;&lt;/_collection_scope&gt;&lt;_created&gt;61216786&lt;/_created&gt;&lt;_impact_factor&gt;   1.987&lt;/_impact_factor&gt;&lt;_isbn&gt;1384-5810&lt;/_isbn&gt;&lt;_issue&gt;4&lt;/_issue&gt;&lt;_journal&gt;Data mining and knowledge discovery&lt;/_journal&gt;&lt;_modified&gt;61216788&lt;/_modified&gt;&lt;_pages&gt;325-344&lt;/_pages&gt;&lt;_volume&gt;2&lt;/_volume&gt;&lt;/Details&gt;&lt;Extra&gt;&lt;DBUID&gt;{F96A950B-833F-4880-A151-76DA2D6A2879}&lt;/DBUID&gt;&lt;/Extra&gt;&lt;/Item&gt;&lt;/References&gt;&lt;/Group&gt;&lt;/Citation&gt;_x000a_"/>
    <w:docVar w:name="NE.Ref{46E1B4E1-C3C6-42A9-A1F6-2771D5CB7102}" w:val=" ADDIN NE.Ref.{46E1B4E1-C3C6-42A9-A1F6-2771D5CB7102}&lt;Citation&gt;&lt;Group&gt;&lt;References&gt;&lt;Item&gt;&lt;ID&gt;460&lt;/ID&gt;&lt;UID&gt;{141EF8D8-2935-40E6-94D3-142E01CE7A6A}&lt;/UID&gt;&lt;Title&gt;Estimating wireless network properties with spatial statistics and models&lt;/Title&gt;&lt;Template&gt;Conference Proceedings&lt;/Template&gt;&lt;Star&gt;0&lt;/Star&gt;&lt;Tag&gt;0&lt;/Tag&gt;&lt;Author&gt;Riihijärvi, Janne; Mähönen, Petri&lt;/Author&gt;&lt;Year&gt;2012&lt;/Year&gt;&lt;Details&gt;&lt;_created&gt;61216785&lt;/_created&gt;&lt;_isbn&gt;1467322946&lt;/_isbn&gt;&lt;_modified&gt;61216789&lt;/_modified&gt;&lt;_pages&gt;331-336&lt;/_pages&gt;&lt;_publisher&gt;IEEE&lt;/_publisher&gt;&lt;_secondary_title&gt;Modeling and Optimization in Mobile, Ad Hoc and Wireless Networks (WiOpt), 2012 10th International Symposium on&lt;/_secondary_title&gt;&lt;/Details&gt;&lt;Extra&gt;&lt;DBUID&gt;{F96A950B-833F-4880-A151-76DA2D6A2879}&lt;/DBUID&gt;&lt;/Extra&gt;&lt;/Item&gt;&lt;/References&gt;&lt;/Group&gt;&lt;/Citation&gt;_x000a_"/>
    <w:docVar w:name="NE.Ref{4FAD3F4F-D152-48EC-B89F-A28CAAACF236}" w:val=" ADDIN NE.Ref.{4FAD3F4F-D152-48EC-B89F-A28CAAACF236}&lt;Citation&gt;&lt;Group&gt;&lt;References&gt;&lt;Item&gt;&lt;ID&gt;402&lt;/ID&gt;&lt;UID&gt;{82B8A6AF-068B-4463-8FC2-1EB57D2BC90A}&lt;/UID&gt;&lt;Title&gt;GIS中基于“栅格技术”的栅格数据矢量化技术&lt;/Title&gt;&lt;Template&gt;Journal Article&lt;/Template&gt;&lt;Star&gt;0&lt;/Star&gt;&lt;Tag&gt;0&lt;/Tag&gt;&lt;Author&gt;章孝灿; 潘云鹤&lt;/Author&gt;&lt;Year&gt;2001&lt;/Year&gt;&lt;Details&gt;&lt;_author_aff&gt;浙江大学空间信息技术研究所;浙江大学人工智能研究所 杭州310027_x000d__x000a__x000d__x000a__x000d__x000a__x000d__x000a__x000d__x000a__x000d__x000a__x000d__x000a__x000d__x000a__x000d__x000a_;杭州310027&lt;/_author_aff&gt;&lt;_collection_scope&gt;中国科技核心期刊;中文核心期刊;CSCD;EI;&lt;/_collection_scope&gt;&lt;_created&gt;61216769&lt;/_created&gt;&lt;_date&gt;2001-10-01&lt;/_date&gt;&lt;_db_provider&gt;CNKI: 期刊&lt;/_db_provider&gt;&lt;_db_updated&gt;CNKI - Reference&lt;/_db_updated&gt;&lt;_issue&gt;10&lt;/_issue&gt;&lt;_journal&gt;计算机辅助设计与图形学学报&lt;/_journal&gt;&lt;_keywords&gt;GIS;栅格数据;矢量化;栅格技术&lt;/_keywords&gt;&lt;_modified&gt;61216782&lt;/_modified&gt;&lt;_pages&gt;895-900&lt;/_pages&gt;&lt;_url&gt;http://www.cnki.net/KCMS/detail/detail.aspx?FileName=JSJF200110007&amp;amp;DbName=CJFQ2001&lt;/_url&gt;&lt;_translated_author&gt;Zhang, Xiaocan;Pan, Yunhe&lt;/_translated_author&gt;&lt;/Details&gt;&lt;Extra&gt;&lt;DBUID&gt;{F96A950B-833F-4880-A151-76DA2D6A2879}&lt;/DBUID&gt;&lt;/Extra&gt;&lt;/Item&gt;&lt;/References&gt;&lt;/Group&gt;&lt;/Citation&gt;_x000a_"/>
    <w:docVar w:name="NE.Ref{5120C136-FE1D-4CFF-9422-A4BE22D89235}" w:val=" ADDIN NE.Ref.{5120C136-FE1D-4CFF-9422-A4BE22D89235}&lt;Citation&gt;&lt;Group&gt;&lt;References&gt;&lt;Item&gt;&lt;ID&gt;463&lt;/ID&gt;&lt;UID&gt;{80474F7E-9D63-4E59-807C-7FF873E9B98C}&lt;/UID&gt;&lt;Title&gt;Flexible and Spectrum Aware Radio Access through Measurements and Modelling in Cognitive Radio Systems&lt;/Title&gt;&lt;Template&gt;Report&lt;/Template&gt;&lt;Star&gt;0&lt;/Star&gt;&lt;Tag&gt;0&lt;/Tag&gt;&lt;Author&gt;Dejonghe, Antoine; Van Wesemael, Peter; Pavloski, Mihajlo; Chomu, Konstantin&lt;/Author&gt;&lt;Year&gt;2011&lt;/Year&gt;&lt;Details&gt;&lt;_created&gt;61216785&lt;/_created&gt;&lt;_modified&gt;61216788&lt;/_modified&gt;&lt;_publisher&gt;Technical report, FARAMIR&lt;/_publisher&gt;&lt;/Details&gt;&lt;Extra&gt;&lt;DBUID&gt;{F96A950B-833F-4880-A151-76DA2D6A2879}&lt;/DBUID&gt;&lt;/Extra&gt;&lt;/Item&gt;&lt;/References&gt;&lt;/Group&gt;&lt;/Citation&gt;_x000a_"/>
    <w:docVar w:name="NE.Ref{51B05878-E495-4E14-B68D-0F3B76534443}" w:val=" ADDIN NE.Ref.{51B05878-E495-4E14-B68D-0F3B76534443}&lt;Citation&gt;&lt;Group&gt;&lt;References&gt;&lt;Item&gt;&lt;ID&gt;399&lt;/ID&gt;&lt;UID&gt;{D6C9EFDD-DBF5-4266-960D-88F406392DDB}&lt;/UID&gt;&lt;Title&gt;基于GIS技术的沂蒙山区无线通信基站选址与网络优化&lt;/Title&gt;&lt;Template&gt;Journal Article&lt;/Template&gt;&lt;Star&gt;0&lt;/Star&gt;&lt;Tag&gt;0&lt;/Tag&gt;&lt;Author&gt;周成国; 范玉山; 赵修涛&lt;/Author&gt;&lt;Year&gt;2005&lt;/Year&gt;&lt;Details&gt;&lt;_author_aff&gt;临沂市城市建设勘察测绘院;临沂市城市建设勘察测绘院;临沂市城市建设勘察测绘院 山东临沂276000;山东临沂276000;山东临沂276000&lt;/_author_aff&gt;&lt;_created&gt;61216768&lt;/_created&gt;&lt;_date&gt;2005-12-25&lt;/_date&gt;&lt;_db_provider&gt;CNKI: 期刊&lt;/_db_provider&gt;&lt;_db_updated&gt;CNKI - Reference&lt;/_db_updated&gt;&lt;_issue&gt;06&lt;/_issue&gt;&lt;_journal&gt;城市勘测&lt;/_journal&gt;&lt;_keywords&gt;地理信息系统(GIS);基站选址;网络优化&lt;/_keywords&gt;&lt;_modified&gt;61216864&lt;/_modified&gt;&lt;_pages&gt;13-15+25&lt;/_pages&gt;&lt;_url&gt;http://www.cnki.net/KCMS/detail/detail.aspx?FileName=CSKC200506005&amp;amp;DbName=CJFQ2005&lt;/_url&gt;&lt;_translated_author&gt;Zhou, Chengguo;Fan, Yushan;Zhao, Xiutao&lt;/_translated_author&gt;&lt;/Details&gt;&lt;Extra&gt;&lt;DBUID&gt;{F96A950B-833F-4880-A151-76DA2D6A2879}&lt;/DBUID&gt;&lt;/Extra&gt;&lt;/Item&gt;&lt;/References&gt;&lt;/Group&gt;&lt;/Citation&gt;_x000a_"/>
    <w:docVar w:name="NE.Ref{5298B58C-68E0-48C6-BB1D-244CDDD88C6C}" w:val=" ADDIN NE.Ref.{5298B58C-68E0-48C6-BB1D-244CDDD88C6C}&lt;Citation&gt;&lt;Group&gt;&lt;References&gt;&lt;Item&gt;&lt;ID&gt;467&lt;/ID&gt;&lt;UID&gt;{4428B5F3-56B5-4ABD-AE58-5643CAF1C02A}&lt;/UID&gt;&lt;Title&gt;Hybrid TDOA/AOA mobile user location for wideband CDMA cellular systems&lt;/Title&gt;&lt;Template&gt;Journal Article&lt;/Template&gt;&lt;Star&gt;0&lt;/Star&gt;&lt;Tag&gt;0&lt;/Tag&gt;&lt;Author&gt;Cong, Li; Zhuang, Weihua&lt;/Author&gt;&lt;Year&gt;2002&lt;/Year&gt;&lt;Details&gt;&lt;_created&gt;61216786&lt;/_created&gt;&lt;_impact_factor&gt;   2.496&lt;/_impact_factor&gt;&lt;_isbn&gt;1536-1276&lt;/_isbn&gt;&lt;_issue&gt;3&lt;/_issue&gt;&lt;_journal&gt;Wireless Communications, IEEE Transactions on&lt;/_journal&gt;&lt;_modified&gt;61216788&lt;/_modified&gt;&lt;_pages&gt;439-447&lt;/_pages&gt;&lt;_volume&gt;1&lt;/_volume&gt;&lt;/Details&gt;&lt;Extra&gt;&lt;DBUID&gt;{F96A950B-833F-4880-A151-76DA2D6A2879}&lt;/DBUID&gt;&lt;/Extra&gt;&lt;/Item&gt;&lt;/References&gt;&lt;/Group&gt;&lt;/Citation&gt;_x000a_"/>
    <w:docVar w:name="NE.Ref{58179B23-6376-4EBE-B9C3-FC547AEDF222}" w:val=" ADDIN NE.Ref.{58179B23-6376-4EBE-B9C3-FC547AEDF222}&lt;Citation&gt;&lt;Group&gt;&lt;References&gt;&lt;Item&gt;&lt;ID&gt;404&lt;/ID&gt;&lt;UID&gt;{A5D7F603-CFA2-4D19-BC5F-D675A7CCE1B5}&lt;/UID&gt;&lt;Title&gt;基于GSM系统的移动台定位方法研究&lt;/Title&gt;&lt;Template&gt;Thesis&lt;/Template&gt;&lt;Star&gt;0&lt;/Star&gt;&lt;Tag&gt;0&lt;/Tag&gt;&lt;Author&gt;刘全胜&lt;/Author&gt;&lt;Year&gt;2004&lt;/Year&gt;&lt;Details&gt;&lt;_created&gt;61216774&lt;/_created&gt;&lt;_db_provider&gt;CNKI: 硕士&lt;/_db_provider&gt;&lt;_db_updated&gt;CNKI - Reference&lt;/_db_updated&gt;&lt;_keywords&gt;定位;移动台;估计;算法&lt;/_keywords&gt;&lt;_modified&gt;61216793&lt;/_modified&gt;&lt;_pages&gt;55&lt;/_pages&gt;&lt;_publisher&gt;大连海事大学&lt;/_publisher&gt;&lt;_tertiary_author&gt;张淑芳&lt;/_tertiary_author&gt;&lt;_url&gt;http://www.cnki.net/KCMS/detail/detail.aspx?FileName=2004093351.nh&amp;amp;DbName=CMFD2004&lt;/_url&gt;&lt;_volume&gt;硕士&lt;/_volume&gt;&lt;_translated_author&gt;Liu, Quansheng&lt;/_translated_author&gt;&lt;_translated_tertiary_author&gt;Zhang, Shufang&lt;/_translated_tertiary_author&gt;&lt;/Details&gt;&lt;Extra&gt;&lt;DBUID&gt;{F96A950B-833F-4880-A151-76DA2D6A2879}&lt;/DBUID&gt;&lt;/Extra&gt;&lt;/Item&gt;&lt;/References&gt;&lt;/Group&gt;&lt;/Citation&gt;_x000a_"/>
    <w:docVar w:name="NE.Ref{5A098EB6-792D-4C22-B601-A8BBF3059CFE}" w:val=" ADDIN NE.Ref.{5A098EB6-792D-4C22-B601-A8BBF3059CFE}&lt;Citation&gt;&lt;Group&gt;&lt;References&gt;&lt;Item&gt;&lt;ID&gt;486&lt;/ID&gt;&lt;UID&gt;{72F5357E-371A-4AA0-88B7-C6AD580FBA4C}&lt;/UID&gt;&lt;Title&gt;What Is Apache Hadoop&lt;/Title&gt;&lt;Template&gt;Web Page&lt;/Template&gt;&lt;Star&gt;0&lt;/Star&gt;&lt;Tag&gt;0&lt;/Tag&gt;&lt;Author&gt;Foundation, The Apache Software&lt;/Author&gt;&lt;Year&gt;2016&lt;/Year&gt;&lt;Details&gt;&lt;_accessed&gt;61216799&lt;/_accessed&gt;&lt;_created&gt;61216799&lt;/_created&gt;&lt;_modified&gt;61216799&lt;/_modified&gt;&lt;/Details&gt;&lt;Extra&gt;&lt;DBUID&gt;{F96A950B-833F-4880-A151-76DA2D6A2879}&lt;/DBUID&gt;&lt;/Extra&gt;&lt;/Item&gt;&lt;/References&gt;&lt;/Group&gt;&lt;/Citation&gt;_x000a_"/>
    <w:docVar w:name="NE.Ref{5A3EF309-BC08-40C5-A20F-EB67CDA70C10}" w:val=" ADDIN NE.Ref.{5A3EF309-BC08-40C5-A20F-EB67CDA70C10}&lt;Citation&gt;&lt;Group&gt;&lt;References&gt;&lt;Item&gt;&lt;ID&gt;471&lt;/ID&gt;&lt;UID&gt;{6F6709F1-BC09-4446-A7F6-1764D80834A9}&lt;/UID&gt;&lt;Title&gt;Introduction to data mining&lt;/Title&gt;&lt;Template&gt;Book&lt;/Template&gt;&lt;Star&gt;0&lt;/Star&gt;&lt;Tag&gt;0&lt;/Tag&gt;&lt;Author&gt;Tan, Pang-Ning; Steinbach, Michael; Kumar, Vipin&lt;/Author&gt;&lt;Year&gt;2006&lt;/Year&gt;&lt;Details&gt;&lt;_created&gt;61216786&lt;/_created&gt;&lt;_modified&gt;61216788&lt;/_modified&gt;&lt;_publisher&gt;Pearson Addison Wesley Boston&lt;/_publisher&gt;&lt;_volume&gt;1&lt;/_volume&gt;&lt;/Details&gt;&lt;Extra&gt;&lt;DBUID&gt;{F96A950B-833F-4880-A151-76DA2D6A2879}&lt;/DBUID&gt;&lt;/Extra&gt;&lt;/Item&gt;&lt;/References&gt;&lt;/Group&gt;&lt;/Citation&gt;_x000a_"/>
    <w:docVar w:name="NE.Ref{5B3D7650-B6B8-4C37-9C1D-C6A1AE6B41EC}" w:val=" ADDIN NE.Ref.{5B3D7650-B6B8-4C37-9C1D-C6A1AE6B41EC}&lt;Citation&gt;&lt;Group&gt;&lt;References&gt;&lt;Item&gt;&lt;ID&gt;393&lt;/ID&gt;&lt;UID&gt;{36B06698-36E9-4102-A18E-7B30D67F3347}&lt;/UID&gt;&lt;Title&gt;移动通信网络优化技术与实践&lt;/Title&gt;&lt;Template&gt;Book&lt;/Template&gt;&lt;Star&gt;0&lt;/Star&gt;&lt;Tag&gt;0&lt;/Tag&gt;&lt;Author&gt;邹铁刚; 刘建民; 张明臣&lt;/Author&gt;&lt;Year&gt;2015&lt;/Year&gt;&lt;Details&gt;&lt;_accessed&gt;61216703&lt;/_accessed&gt;&lt;_created&gt;61216703&lt;/_created&gt;&lt;_edition&gt;1&lt;/_edition&gt;&lt;_modified&gt;61216750&lt;/_modified&gt;&lt;_place_published&gt;北京&lt;/_place_published&gt;&lt;_publisher&gt; 清华大学出版社&lt;/_publisher&gt;&lt;_translated_author&gt;Zou, Tiegang;Liu, Jianmin;Zhang, Mingchen&lt;/_translated_author&gt;&lt;/Details&gt;&lt;Extra&gt;&lt;DBUID&gt;{F96A950B-833F-4880-A151-76DA2D6A2879}&lt;/DBUID&gt;&lt;/Extra&gt;&lt;/Item&gt;&lt;/References&gt;&lt;/Group&gt;&lt;/Citation&gt;_x000a_"/>
    <w:docVar w:name="NE.Ref{5D88B05C-B068-4D6D-8FC1-DA3477BFF202}" w:val=" ADDIN NE.Ref.{5D88B05C-B068-4D6D-8FC1-DA3477BFF202}&lt;Citation&gt;&lt;Group&gt;&lt;References&gt;&lt;Item&gt;&lt;ID&gt;402&lt;/ID&gt;&lt;UID&gt;{82B8A6AF-068B-4463-8FC2-1EB57D2BC90A}&lt;/UID&gt;&lt;Title&gt;GIS中基于“栅格技术”的栅格数据矢量化技术&lt;/Title&gt;&lt;Template&gt;Journal Article&lt;/Template&gt;&lt;Star&gt;0&lt;/Star&gt;&lt;Tag&gt;0&lt;/Tag&gt;&lt;Author&gt;章孝灿; 潘云鹤&lt;/Author&gt;&lt;Year&gt;2001&lt;/Year&gt;&lt;Details&gt;&lt;_author_aff&gt;浙江大学空间信息技术研究所;浙江大学人工智能研究所 杭州310027_x000d__x000a__x000d__x000a__x000d__x000a__x000d__x000a__x000d__x000a__x000d__x000a__x000d__x000a__x000d__x000a__x000d__x000a_;杭州310027&lt;/_author_aff&gt;&lt;_collection_scope&gt;中国科技核心期刊;中文核心期刊;CSCD;EI;&lt;/_collection_scope&gt;&lt;_created&gt;61216769&lt;/_created&gt;&lt;_date&gt;2001-10-01&lt;/_date&gt;&lt;_db_provider&gt;CNKI: 期刊&lt;/_db_provider&gt;&lt;_db_updated&gt;CNKI - Reference&lt;/_db_updated&gt;&lt;_issue&gt;10&lt;/_issue&gt;&lt;_journal&gt;计算机辅助设计与图形学学报&lt;/_journal&gt;&lt;_keywords&gt;GIS;栅格数据;矢量化;栅格技术&lt;/_keywords&gt;&lt;_modified&gt;61216782&lt;/_modified&gt;&lt;_pages&gt;895-900&lt;/_pages&gt;&lt;_url&gt;http://www.cnki.net/KCMS/detail/detail.aspx?FileName=JSJF200110007&amp;amp;DbName=CJFQ2001&lt;/_url&gt;&lt;_translated_author&gt;Zhang, Xiaocan;Pan, Yunhe&lt;/_translated_author&gt;&lt;/Details&gt;&lt;Extra&gt;&lt;DBUID&gt;{F96A950B-833F-4880-A151-76DA2D6A2879}&lt;/DBUID&gt;&lt;/Extra&gt;&lt;/Item&gt;&lt;/References&gt;&lt;/Group&gt;&lt;/Citation&gt;_x000a_"/>
    <w:docVar w:name="NE.Ref{60F3FBF5-8D72-4E24-91E8-D79ED2634968}" w:val=" ADDIN NE.Ref.{60F3FBF5-8D72-4E24-91E8-D79ED2634968}&lt;Citation&gt;&lt;Group&gt;&lt;References&gt;&lt;Item&gt;&lt;ID&gt;446&lt;/ID&gt;&lt;UID&gt;{9CEDDDE8-74A7-4016-9DD8-7ED58625633C}&lt;/UID&gt;&lt;Title&gt;A survey of clustering data mining techniques&lt;/Title&gt;&lt;Template&gt;Book Section&lt;/Template&gt;&lt;Star&gt;0&lt;/Star&gt;&lt;Tag&gt;0&lt;/Tag&gt;&lt;Author&gt;Berkhin, Pavel&lt;/Author&gt;&lt;Year&gt;2006&lt;/Year&gt;&lt;Details&gt;&lt;_created&gt;61216783&lt;/_created&gt;&lt;_isbn&gt;354028348X&lt;/_isbn&gt;&lt;_modified&gt;61216789&lt;/_modified&gt;&lt;_pages&gt;25-71&lt;/_pages&gt;&lt;_publisher&gt;Springer&lt;/_publisher&gt;&lt;_secondary_title&gt;Grouping multidimensional data&lt;/_secondary_title&gt;&lt;/Details&gt;&lt;Extra&gt;&lt;DBUID&gt;{F96A950B-833F-4880-A151-76DA2D6A2879}&lt;/DBUID&gt;&lt;/Extra&gt;&lt;/Item&gt;&lt;/References&gt;&lt;/Group&gt;&lt;/Citation&gt;_x000a_"/>
    <w:docVar w:name="NE.Ref{6616145A-DDEE-43C3-87C9-8970EC6130EC}" w:val=" ADDIN NE.Ref.{6616145A-DDEE-43C3-87C9-8970EC6130EC}&lt;Citation&gt;&lt;Group&gt;&lt;References&gt;&lt;Item&gt;&lt;ID&gt;403&lt;/ID&gt;&lt;UID&gt;{A7ACDEBA-D22C-4FDE-AA20-7E92EAB929C9}&lt;/UID&gt;&lt;Title&gt;GSM系统中的移动定位技术研究&lt;/Title&gt;&lt;Template&gt;Thesis&lt;/Template&gt;&lt;Star&gt;0&lt;/Star&gt;&lt;Tag&gt;0&lt;/Tag&gt;&lt;Author&gt;李俊&lt;/Author&gt;&lt;Year&gt;2002&lt;/Year&gt;&lt;Details&gt;&lt;_created&gt;61216773&lt;/_created&gt;&lt;_db_provider&gt;CNKI: 硕士&lt;/_db_provider&gt;&lt;_db_updated&gt;CNKI - Reference&lt;/_db_updated&gt;&lt;_keywords&gt;GSM;移动定位;COO;TA;TOA;AOA;TDOA;E-OTD;GPS;A-GPS;LCS;SMLC;LMU&lt;/_keywords&gt;&lt;_modified&gt;61216782&lt;/_modified&gt;&lt;_pages&gt;63&lt;/_pages&gt;&lt;_publisher&gt;国防科学技术大学&lt;/_publisher&gt;&lt;_tertiary_author&gt;虞水俊&lt;/_tertiary_author&gt;&lt;_url&gt;http://www.cnki.net/KCMS/detail/detail.aspx?FileName=2002122843.nh&amp;amp;DbName=CMFD2002&lt;/_url&gt;&lt;_volume&gt;硕士&lt;/_volume&gt;&lt;_translated_author&gt;Li, Jun&lt;/_translated_author&gt;&lt;_translated_tertiary_author&gt;Yu, Shuijun&lt;/_translated_tertiary_author&gt;&lt;/Details&gt;&lt;Extra&gt;&lt;DBUID&gt;{F96A950B-833F-4880-A151-76DA2D6A2879}&lt;/DBUID&gt;&lt;/Extra&gt;&lt;/Item&gt;&lt;/References&gt;&lt;/Group&gt;&lt;/Citation&gt;_x000a_"/>
    <w:docVar w:name="NE.Ref{6A64A7D2-86F5-44BA-9525-F9E2B4513D7D}" w:val=" ADDIN NE.Ref.{6A64A7D2-86F5-44BA-9525-F9E2B4513D7D}&lt;Citation&gt;&lt;Group&gt;&lt;References&gt;&lt;Item&gt;&lt;ID&gt;450&lt;/ID&gt;&lt;UID&gt;{AFC21068-6701-4157-BEC4-0AAF91FB0A6D}&lt;/UID&gt;&lt;Title&gt;Cognitive radio---an integrated agent architecture for software defined radio&lt;/Title&gt;&lt;Template&gt;Journal Article&lt;/Template&gt;&lt;Star&gt;0&lt;/Star&gt;&lt;Tag&gt;0&lt;/Tag&gt;&lt;Author&gt;Mitola, Joseph&lt;/Author&gt;&lt;Year&gt;2000&lt;/Year&gt;&lt;Details&gt;&lt;_created&gt;61216784&lt;/_created&gt;&lt;_isbn&gt;1403-5286&lt;/_isbn&gt;&lt;_modified&gt;61216789&lt;/_modified&gt;&lt;/Details&gt;&lt;Extra&gt;&lt;DBUID&gt;{F96A950B-833F-4880-A151-76DA2D6A2879}&lt;/DBUID&gt;&lt;/Extra&gt;&lt;/Item&gt;&lt;/References&gt;&lt;/Group&gt;&lt;/Citation&gt;_x000a_"/>
    <w:docVar w:name="NE.Ref{6FAA44BC-7421-472C-8096-8A9A2F76F0F9}" w:val=" ADDIN NE.Ref.{6FAA44BC-7421-472C-8096-8A9A2F76F0F9}&lt;Citation&gt;&lt;Group&gt;&lt;References&gt;&lt;Item&gt;&lt;ID&gt;480&lt;/ID&gt;&lt;UID&gt;{7AD8A98D-1301-4ED2-B928-D9F0C9E66C61}&lt;/UID&gt;&lt;Title&gt;Spatial Prediction Under Location Uncertainty In Cellular Networks&lt;/Title&gt;&lt;Template&gt;Journal Article&lt;/Template&gt;&lt;Star&gt;0&lt;/Star&gt;&lt;Tag&gt;0&lt;/Tag&gt;&lt;Author&gt;Braham, Hajer; Jemaa, Sana Ben; Fort, Gersende; Moulines, Eric; Sayrac, Berna&lt;/Author&gt;&lt;Year&gt;2015&lt;/Year&gt;&lt;Details&gt;&lt;_created&gt;61216787&lt;/_created&gt;&lt;_journal&gt;arXiv preprint arXiv:1510.03638&lt;/_journal&gt;&lt;_modified&gt;61216800&lt;/_modified&gt;&lt;/Details&gt;&lt;Extra&gt;&lt;DBUID&gt;{F96A950B-833F-4880-A151-76DA2D6A2879}&lt;/DBUID&gt;&lt;/Extra&gt;&lt;/Item&gt;&lt;/References&gt;&lt;/Group&gt;&lt;/Citation&gt;_x000a_"/>
    <w:docVar w:name="NE.Ref{73E770A6-24EF-485E-99CB-C349F071719D}" w:val=" ADDIN NE.Ref.{73E770A6-24EF-485E-99CB-C349F071719D}&lt;Citation&gt;&lt;Group&gt;&lt;References&gt;&lt;Item&gt;&lt;ID&gt;442&lt;/ID&gt;&lt;UID&gt;{F4106272-AD4C-44B5-87C1-2F63CFB3A8C9}&lt;/UID&gt;&lt;Title&gt;LTE advanced: 3GPP solution for IMT-Advanced&lt;/Title&gt;&lt;Template&gt;Book&lt;/Template&gt;&lt;Star&gt;0&lt;/Star&gt;&lt;Tag&gt;0&lt;/Tag&gt;&lt;Author&gt;Holma, Harri; Toskala, Antti&lt;/Author&gt;&lt;Year&gt;2012&lt;/Year&gt;&lt;Details&gt;&lt;_created&gt;61216782&lt;/_created&gt;&lt;_isbn&gt;1118399420&lt;/_isbn&gt;&lt;_modified&gt;61216788&lt;/_modified&gt;&lt;_publisher&gt;John Wiley &amp;amp; Sons&lt;/_publisher&gt;&lt;/Details&gt;&lt;Extra&gt;&lt;DBUID&gt;{F96A950B-833F-4880-A151-76DA2D6A2879}&lt;/DBUID&gt;&lt;/Extra&gt;&lt;/Item&gt;&lt;/References&gt;&lt;/Group&gt;&lt;/Citation&gt;_x000a_"/>
    <w:docVar w:name="NE.Ref{761516F4-3C7E-4E2A-908E-88C897B017E5}" w:val=" ADDIN NE.Ref.{761516F4-3C7E-4E2A-908E-88C897B017E5}&lt;Citation&gt;&lt;Group&gt;&lt;References&gt;&lt;Item&gt;&lt;ID&gt;469&lt;/ID&gt;&lt;UID&gt;{B31EB3DF-966A-4B23-BE73-1DE892C49168}&lt;/UID&gt;&lt;Title&gt;Informed spectrum usage in cognitive radio networks: Interference cartography&lt;/Title&gt;&lt;Template&gt;Conference Proceedings&lt;/Template&gt;&lt;Star&gt;0&lt;/Star&gt;&lt;Tag&gt;0&lt;/Tag&gt;&lt;Author&gt;Alaya-Feki, A; Ben Jemaa, Sana; Sayrac, Berna; Houze, Paul; Moulines, Eric&lt;/Author&gt;&lt;Year&gt;2008&lt;/Year&gt;&lt;Details&gt;&lt;_created&gt;61216786&lt;/_created&gt;&lt;_isbn&gt;142442643X&lt;/_isbn&gt;&lt;_modified&gt;61216788&lt;/_modified&gt;&lt;_pages&gt;1-5&lt;/_pages&gt;&lt;_publisher&gt;IEEE&lt;/_publisher&gt;&lt;_secondary_title&gt;Personal, Indoor and Mobile Radio Communications, 2008. PIMRC 2008. IEEE 19th International Symposium on&lt;/_secondary_title&gt;&lt;/Details&gt;&lt;Extra&gt;&lt;DBUID&gt;{F96A950B-833F-4880-A151-76DA2D6A2879}&lt;/DBUID&gt;&lt;/Extra&gt;&lt;/Item&gt;&lt;/References&gt;&lt;/Group&gt;&lt;Group&gt;&lt;References&gt;&lt;Item&gt;&lt;ID&gt;470&lt;/ID&gt;&lt;UID&gt;{6A369468-5048-4F60-9815-EB26F0AA5397}&lt;/UID&gt;&lt;Title&gt;Interference cartography for hierarchical dynamic spectrum access&lt;/Title&gt;&lt;Template&gt;Conference Proceedings&lt;/Template&gt;&lt;Star&gt;0&lt;/Star&gt;&lt;Tag&gt;0&lt;/Tag&gt;&lt;Author&gt;Alaya-Feki, Afef Ben Hadj; Sayrac, Berna; Jemaa, Sana Ben; Moulines, Eric&lt;/Author&gt;&lt;Year&gt;2008&lt;/Year&gt;&lt;Details&gt;&lt;_created&gt;61216786&lt;/_created&gt;&lt;_isbn&gt;1424420164&lt;/_isbn&gt;&lt;_modified&gt;61216788&lt;/_modified&gt;&lt;_pages&gt;1-5&lt;/_pages&gt;&lt;_publisher&gt;IEEE&lt;/_publisher&gt;&lt;_secondary_title&gt;New Frontiers in Dynamic Spectrum Access Networks, 2008. DySPAN 2008. 3rd IEEE Symposium on&lt;/_secondary_title&gt;&lt;/Details&gt;&lt;Extra&gt;&lt;DBUID&gt;{F96A950B-833F-4880-A151-76DA2D6A2879}&lt;/DBUID&gt;&lt;/Extra&gt;&lt;/Item&gt;&lt;/References&gt;&lt;/Group&gt;&lt;/Citation&gt;_x000a_"/>
    <w:docVar w:name="NE.Ref{7880129C-DB4C-4E78-BD48-393A748A12CB}" w:val=" ADDIN NE.Ref.{7880129C-DB4C-4E78-BD48-393A748A12CB}&lt;Citation&gt;&lt;Group&gt;&lt;References&gt;&lt;Item&gt;&lt;ID&gt;443&lt;/ID&gt;&lt;UID&gt;{9E33BA67-00AD-49D1-AE0E-D8AEF5CFE563}&lt;/UID&gt;&lt;Title&gt;Study on Minimization of drive-tests in Next Generation Networks;(Release 9)&lt;/Title&gt;&lt;Template&gt;Report&lt;/Template&gt;&lt;Star&gt;0&lt;/Star&gt;&lt;Tag&gt;0&lt;/Tag&gt;&lt;Author&gt;Network, TSG Radio Access&lt;/Author&gt;&lt;Year&gt;2015&lt;/Year&gt;&lt;Details&gt;&lt;_created&gt;61216783&lt;/_created&gt;&lt;_modified&gt;61216790&lt;/_modified&gt;&lt;_publisher&gt;3GPP TR 36.805&lt;/_publisher&gt;&lt;/Details&gt;&lt;Extra&gt;&lt;DBUID&gt;{F96A950B-833F-4880-A151-76DA2D6A2879}&lt;/DBUID&gt;&lt;/Extra&gt;&lt;/Item&gt;&lt;/References&gt;&lt;/Group&gt;&lt;/Citation&gt;_x000a_"/>
    <w:docVar w:name="NE.Ref{8BDBBF2C-F0FC-4625-A0AC-5CBB43FDA0C8}" w:val=" ADDIN NE.Ref.{8BDBBF2C-F0FC-4625-A0AC-5CBB43FDA0C8}&lt;Citation&gt;&lt;Group&gt;&lt;References&gt;&lt;Item&gt;&lt;ID&gt;462&lt;/ID&gt;&lt;UID&gt;{57776389-346A-4B23-8B07-EDD3A26C441C}&lt;/UID&gt;&lt;Title&gt;Fixed rank kriging for very large spatial data sets&lt;/Title&gt;&lt;Template&gt;Journal Article&lt;/Template&gt;&lt;Star&gt;0&lt;/Star&gt;&lt;Tag&gt;0&lt;/Tag&gt;&lt;Author&gt;Cressie, Noel; Johannesson, Gardar&lt;/Author&gt;&lt;Year&gt;2008&lt;/Year&gt;&lt;Details&gt;&lt;_created&gt;61216785&lt;/_created&gt;&lt;_isbn&gt;1467-9868&lt;/_isbn&gt;&lt;_issue&gt;1&lt;/_issue&gt;&lt;_journal&gt;Journal of the Royal Statistical Society: Series B (Statistical Methodology)&lt;/_journal&gt;&lt;_modified&gt;61216788&lt;/_modified&gt;&lt;_pages&gt;209-226&lt;/_pages&gt;&lt;_volume&gt;70&lt;/_volume&gt;&lt;/Details&gt;&lt;Extra&gt;&lt;DBUID&gt;{F96A950B-833F-4880-A151-76DA2D6A2879}&lt;/DBUID&gt;&lt;/Extra&gt;&lt;/Item&gt;&lt;/References&gt;&lt;/Group&gt;&lt;/Citation&gt;_x000a_"/>
    <w:docVar w:name="NE.Ref{9095793E-6C9C-4128-8541-094F405F52D3}" w:val=" ADDIN NE.Ref.{9095793E-6C9C-4128-8541-094F405F52D3}&lt;Citation&gt;&lt;Group&gt;&lt;References&gt;&lt;Item&gt;&lt;ID&gt;482&lt;/ID&gt;&lt;UID&gt;{CF58CD96-F2BE-41A5-8269-945E6879C5A8}&lt;/UID&gt;&lt;Title&gt;Studying and mitigating the impact of GPS localization error on radio environment map construction&lt;/Title&gt;&lt;Template&gt;Conference Proceedings&lt;/Template&gt;&lt;Star&gt;0&lt;/Star&gt;&lt;Tag&gt;0&lt;/Tag&gt;&lt;Author&gt;Palaios, Alexandros; Jagadeesan, Sathishkumar; Perpinias, Nikos; Riihijarvi, Janne; Mahonen, Petri&lt;/Author&gt;&lt;Year&gt;2014&lt;/Year&gt;&lt;Details&gt;&lt;_created&gt;61216787&lt;/_created&gt;&lt;_modified&gt;61216793&lt;/_modified&gt;&lt;_pages&gt;258-263&lt;/_pages&gt;&lt;_publisher&gt;IEEE&lt;/_publisher&gt;&lt;_secondary_title&gt;Personal, Indoor, and Mobile Radio Communication (PIMRC), 2014 IEEE 25th Annual International Symposium on&lt;/_secondary_title&gt;&lt;/Details&gt;&lt;Extra&gt;&lt;DBUID&gt;{F96A950B-833F-4880-A151-76DA2D6A2879}&lt;/DBUID&gt;&lt;/Extra&gt;&lt;/Item&gt;&lt;/References&gt;&lt;/Group&gt;&lt;/Citation&gt;_x000a_"/>
    <w:docVar w:name="NE.Ref{90A87116-913A-4D7C-B98D-F8CA632A6C38}" w:val=" ADDIN NE.Ref.{90A87116-913A-4D7C-B98D-F8CA632A6C38}&lt;Citation&gt;&lt;Group&gt;&lt;References&gt;&lt;Item&gt;&lt;ID&gt;471&lt;/ID&gt;&lt;UID&gt;{6F6709F1-BC09-4446-A7F6-1764D80834A9}&lt;/UID&gt;&lt;Title&gt;Introduction to data mining&lt;/Title&gt;&lt;Template&gt;Book&lt;/Template&gt;&lt;Star&gt;0&lt;/Star&gt;&lt;Tag&gt;0&lt;/Tag&gt;&lt;Author&gt;Tan, Pang-Ning; Steinbach, Michael; Kumar, Vipin&lt;/Author&gt;&lt;Year&gt;2006&lt;/Year&gt;&lt;Details&gt;&lt;_created&gt;61216786&lt;/_created&gt;&lt;_modified&gt;61216788&lt;/_modified&gt;&lt;_publisher&gt;Pearson Addison Wesley Boston&lt;/_publisher&gt;&lt;_volume&gt;1&lt;/_volume&gt;&lt;/Details&gt;&lt;Extra&gt;&lt;DBUID&gt;{F96A950B-833F-4880-A151-76DA2D6A2879}&lt;/DBUID&gt;&lt;/Extra&gt;&lt;/Item&gt;&lt;/References&gt;&lt;/Group&gt;&lt;/Citation&gt;_x000a_"/>
    <w:docVar w:name="NE.Ref{96077E9C-B515-408C-A9D6-58242B8A3DB6}" w:val=" ADDIN NE.Ref.{96077E9C-B515-408C-A9D6-58242B8A3DB6}&lt;Citation&gt;&lt;Group&gt;&lt;References&gt;&lt;Item&gt;&lt;ID&gt;456&lt;/ID&gt;&lt;UID&gt;{6415E8DE-5CBA-4108-A67D-9ADAF4BC77EB}&lt;/UID&gt;&lt;Title&gt;Density-based clustering in spatial databases: The algorithm gdbscan and its applications&lt;/Title&gt;&lt;Template&gt;Journal Article&lt;/Template&gt;&lt;Star&gt;0&lt;/Star&gt;&lt;Tag&gt;0&lt;/Tag&gt;&lt;Author&gt;Sander, Jörg; Ester, Martin; Kriegel, Hans-Peter; Xu, Xiaowei&lt;/Author&gt;&lt;Year&gt;1998&lt;/Year&gt;&lt;Details&gt;&lt;_collection_scope&gt;EI;SCI;SCIE;&lt;/_collection_scope&gt;&lt;_created&gt;61216785&lt;/_created&gt;&lt;_impact_factor&gt;   1.987&lt;/_impact_factor&gt;&lt;_isbn&gt;1384-5810&lt;/_isbn&gt;&lt;_issue&gt;2&lt;/_issue&gt;&lt;_journal&gt;Data mining and knowledge discovery&lt;/_journal&gt;&lt;_modified&gt;61216789&lt;/_modified&gt;&lt;_pages&gt;169-194&lt;/_pages&gt;&lt;_volume&gt;2&lt;/_volume&gt;&lt;/Details&gt;&lt;Extra&gt;&lt;DBUID&gt;{F96A950B-833F-4880-A151-76DA2D6A2879}&lt;/DBUID&gt;&lt;/Extra&gt;&lt;/Item&gt;&lt;/References&gt;&lt;/Group&gt;&lt;/Citation&gt;_x000a_"/>
    <w:docVar w:name="NE.Ref{9EAEBEFE-A560-45E4-8B32-94E07E4FEBC7}" w:val=" ADDIN NE.Ref.{9EAEBEFE-A560-45E4-8B32-94E07E4FEBC7}&lt;Citation&gt;&lt;Group&gt;&lt;References&gt;&lt;Item&gt;&lt;ID&gt;396&lt;/ID&gt;&lt;UID&gt;{16CD2421-CF46-4CBB-B29F-655D721DF45F}&lt;/UID&gt;&lt;Title&gt;基于Hadoop的海量电信数据云计算平台研究&lt;/Title&gt;&lt;Template&gt;Journal Article&lt;/Template&gt;&lt;Star&gt;0&lt;/Star&gt;&lt;Tag&gt;0&lt;/Tag&gt;&lt;Author&gt;黎宏剑; 刘恒; 黄广文; 卜立&lt;/Author&gt;&lt;Year&gt;2012&lt;/Year&gt;&lt;Details&gt;&lt;_accessed&gt;61216841&lt;/_accessed&gt;&lt;_author_aff&gt;中国移动通信集团广东有限公司中山分公司;&lt;/_author_aff&gt;&lt;_collection_scope&gt;中国科技核心期刊;中文核心期刊;&lt;/_collection_scope&gt;&lt;_created&gt;61216753&lt;/_created&gt;&lt;_date&gt;2012-08-15&lt;/_date&gt;&lt;_db_provider&gt;CNKI: 期刊&lt;/_db_provider&gt;&lt;_db_updated&gt;CNKI - Reference&lt;/_db_updated&gt;&lt;_issue&gt;08&lt;/_issue&gt;&lt;_journal&gt;电信科学&lt;/_journal&gt;&lt;_keywords&gt;云计算平台;Hadoop;MapReduce;海量数据;电信运营商&lt;/_keywords&gt;&lt;_modified&gt;61216841&lt;/_modified&gt;&lt;_pages&gt;80-85&lt;/_pages&gt;&lt;_url&gt;http://www.cnki.net/KCMS/detail/detail.aspx?FileName=DXKX201208023&amp;amp;DbName=CJFQ2012&lt;/_url&gt;&lt;_translated_author&gt;Li, Hongjian;Liu, Heng;Huang, Guangwen;Bu, Li&lt;/_translated_author&gt;&lt;/Details&gt;&lt;Extra&gt;&lt;DBUID&gt;{F96A950B-833F-4880-A151-76DA2D6A2879}&lt;/DBUID&gt;&lt;/Extra&gt;&lt;/Item&gt;&lt;/References&gt;&lt;/Group&gt;&lt;/Citation&gt;_x000a_"/>
    <w:docVar w:name="NE.Ref{A0D47AD3-1521-4850-A2E9-9846ACACA0A9}" w:val=" ADDIN NE.Ref.{A0D47AD3-1521-4850-A2E9-9846ACACA0A9}&lt;Citation&gt;&lt;Group&gt;&lt;References&gt;&lt;Item&gt;&lt;ID&gt;465&lt;/ID&gt;&lt;UID&gt;{D4BFDA02-3283-492D-84FF-89714406A4B8}&lt;/UID&gt;&lt;Title&gt;Global positioning systems, inertial navigation, and integration&lt;/Title&gt;&lt;Template&gt;Book&lt;/Template&gt;&lt;Star&gt;0&lt;/Star&gt;&lt;Tag&gt;0&lt;/Tag&gt;&lt;Author&gt;Grewal, Mohinder S; Weill, Lawrence R; Andrews, Angus P&lt;/Author&gt;&lt;Year&gt;2007&lt;/Year&gt;&lt;Details&gt;&lt;_created&gt;61216786&lt;/_created&gt;&lt;_isbn&gt;0470099712&lt;/_isbn&gt;&lt;_modified&gt;61216788&lt;/_modified&gt;&lt;_publisher&gt;John Wiley &amp;amp; Sons&lt;/_publisher&gt;&lt;/Details&gt;&lt;Extra&gt;&lt;DBUID&gt;{F96A950B-833F-4880-A151-76DA2D6A2879}&lt;/DBUID&gt;&lt;/Extra&gt;&lt;/Item&gt;&lt;/References&gt;&lt;/Group&gt;&lt;/Citation&gt;_x000a_"/>
    <w:docVar w:name="NE.Ref{A360DB56-028D-4756-89AA-919C0C5E523B}" w:val=" ADDIN NE.Ref.{A360DB56-028D-4756-89AA-919C0C5E523B}&lt;Citation&gt;&lt;Group&gt;&lt;References&gt;&lt;Item&gt;&lt;ID&gt;481&lt;/ID&gt;&lt;UID&gt;{957EB09A-1403-4FF2-8926-47226EF8230B}&lt;/UID&gt;&lt;Title&gt;Statistics for spatial data&lt;/Title&gt;&lt;Template&gt;Book&lt;/Template&gt;&lt;Star&gt;0&lt;/Star&gt;&lt;Tag&gt;0&lt;/Tag&gt;&lt;Author&gt;Cressie, Noel&lt;/Author&gt;&lt;Year&gt;2015&lt;/Year&gt;&lt;Details&gt;&lt;_created&gt;61216787&lt;/_created&gt;&lt;_isbn&gt;1119115183&lt;/_isbn&gt;&lt;_modified&gt;61216800&lt;/_modified&gt;&lt;_publisher&gt;John Wiley &amp;amp; Sons&lt;/_publisher&gt;&lt;/Details&gt;&lt;Extra&gt;&lt;DBUID&gt;{F96A950B-833F-4880-A151-76DA2D6A2879}&lt;/DBUID&gt;&lt;/Extra&gt;&lt;/Item&gt;&lt;/References&gt;&lt;/Group&gt;&lt;/Citation&gt;_x000a_"/>
    <w:docVar w:name="NE.Ref{A829793E-CBB5-4AF4-B592-BB67B2DDFECD}" w:val=" ADDIN NE.Ref.{A829793E-CBB5-4AF4-B592-BB67B2DDFECD}&lt;Citation&gt;&lt;Group&gt;&lt;References&gt;&lt;Item&gt;&lt;ID&gt;449&lt;/ID&gt;&lt;UID&gt;{946A48E4-6666-470A-A79F-D1D529488F8A}&lt;/UID&gt;&lt;Title&gt;CDMA systems engineering handbook&lt;/Title&gt;&lt;Template&gt;Book&lt;/Template&gt;&lt;Star&gt;0&lt;/Star&gt;&lt;Tag&gt;0&lt;/Tag&gt;&lt;Author&gt;Lee, Jhong Sam; Miller, Leonard E&lt;/Author&gt;&lt;Year&gt;1998&lt;/Year&gt;&lt;Details&gt;&lt;_created&gt;61216784&lt;/_created&gt;&lt;_isbn&gt;0890069905&lt;/_isbn&gt;&lt;_modified&gt;61216789&lt;/_modified&gt;&lt;_publisher&gt;Artech House, Inc.&lt;/_publisher&gt;&lt;/Details&gt;&lt;Extra&gt;&lt;DBUID&gt;{F96A950B-833F-4880-A151-76DA2D6A2879}&lt;/DBUID&gt;&lt;/Extra&gt;&lt;/Item&gt;&lt;/References&gt;&lt;/Group&gt;&lt;/Citation&gt;_x000a_"/>
    <w:docVar w:name="NE.Ref{AF5CE844-5185-4ECF-A1BB-48BCEAA68A05}" w:val=" ADDIN NE.Ref.{AF5CE844-5185-4ECF-A1BB-48BCEAA68A05}&lt;Citation&gt;&lt;Group&gt;&lt;References&gt;&lt;Item&gt;&lt;ID&gt;405&lt;/ID&gt;&lt;UID&gt;{89F61314-28B1-4452-BA1E-C54982F8FB9B}&lt;/UID&gt;&lt;Title&gt;Hadoop HDFS和MapReduce架构浅析&lt;/Title&gt;&lt;Template&gt;Journal Article&lt;/Template&gt;&lt;Star&gt;0&lt;/Star&gt;&lt;Tag&gt;0&lt;/Tag&gt;&lt;Author&gt;郝树魁&lt;/Author&gt;&lt;Year&gt;2012&lt;/Year&gt;&lt;Details&gt;&lt;_author_aff&gt;中讯邮电咨询设计院有限公司;&lt;/_author_aff&gt;&lt;_created&gt;61216774&lt;/_created&gt;&lt;_date&gt;2012-07-20&lt;/_date&gt;&lt;_db_provider&gt;CNKI: 期刊&lt;/_db_provider&gt;&lt;_db_updated&gt;CNKI - Reference&lt;/_db_updated&gt;&lt;_issue&gt;07&lt;/_issue&gt;&lt;_journal&gt;邮电设计技术&lt;/_journal&gt;&lt;_keywords&gt;Hadoop;HDFS;namenode;datanode;MapReduce;JobTracker;TaskTracker&lt;/_keywords&gt;&lt;_modified&gt;61216788&lt;/_modified&gt;&lt;_pages&gt;37-42&lt;/_pages&gt;&lt;_url&gt;http://www.cnki.net/KCMS/detail/detail.aspx?FileName=YDSJ201207008&amp;amp;DbName=CJFQ2012&lt;/_url&gt;&lt;_translated_author&gt;Hao, Shukui&lt;/_translated_author&gt;&lt;/Details&gt;&lt;Extra&gt;&lt;DBUID&gt;{F96A950B-833F-4880-A151-76DA2D6A2879}&lt;/DBUID&gt;&lt;/Extra&gt;&lt;/Item&gt;&lt;/References&gt;&lt;/Group&gt;&lt;/Citation&gt;_x000a_"/>
    <w:docVar w:name="NE.Ref{B82FB0CF-CA15-40F2-802C-E2CA4CB6E887}" w:val=" ADDIN NE.Ref.{B82FB0CF-CA15-40F2-802C-E2CA4CB6E887}&lt;Citation&gt;&lt;Group&gt;&lt;References&gt;&lt;Item&gt;&lt;ID&gt;391&lt;/ID&gt;&lt;UID&gt;{DE786BD1-5FA2-4E79-8F8A-9492249F254D}&lt;/UID&gt;&lt;Title&gt;栅格化数据在移动通信网络优化中的应用研究&lt;/Title&gt;&lt;Template&gt;Thesis&lt;/Template&gt;&lt;Star&gt;0&lt;/Star&gt;&lt;Tag&gt;0&lt;/Tag&gt;&lt;Author&gt;郑伟&lt;/Author&gt;&lt;Year&gt;2015&lt;/Year&gt;&lt;Details&gt;&lt;_created&gt;61215281&lt;/_created&gt;&lt;_db_provider&gt;CNKI: 硕士&lt;/_db_provider&gt;&lt;_db_updated&gt;CNKI - Reference&lt;/_db_updated&gt;&lt;_keywords&gt;网络优化;GIS;栅格化;栅格图层&lt;/_keywords&gt;&lt;_modified&gt;61216731&lt;/_modified&gt;&lt;_pages&gt;70&lt;/_pages&gt;&lt;_publisher&gt;北京邮电大学&lt;/_publisher&gt;&lt;_tertiary_author&gt;戴志涛&lt;/_tertiary_author&gt;&lt;_url&gt;http://www.cnki.net/KCMS/detail/detail.aspx?FileName=1015584058.nh&amp;amp;DbName=CMFD2015&lt;/_url&gt;&lt;_volume&gt;硕士&lt;/_volume&gt;&lt;_translated_author&gt;Zheng, Wei&lt;/_translated_author&gt;&lt;_translated_tertiary_author&gt;Dai, Zhitao&lt;/_translated_tertiary_author&gt;&lt;/Details&gt;&lt;Extra&gt;&lt;DBUID&gt;{F96A950B-833F-4880-A151-76DA2D6A2879}&lt;/DBUID&gt;&lt;/Extra&gt;&lt;/Item&gt;&lt;/References&gt;&lt;/Group&gt;&lt;/Citation&gt;_x000a_"/>
    <w:docVar w:name="NE.Ref{BA69A07C-0106-4C55-B771-65FDF62A7600}" w:val=" ADDIN NE.Ref.{BA69A07C-0106-4C55-B771-65FDF62A7600}&lt;Citation&gt;&lt;Group&gt;&lt;References&gt;&lt;Item&gt;&lt;ID&gt;454&lt;/ID&gt;&lt;UID&gt;{8544D774-B1FB-4660-85FE-1467EBB52336}&lt;/UID&gt;&lt;Title&gt;Convergence of a stochastic approximation version of the EM algorithm&lt;/Title&gt;&lt;Template&gt;Journal Article&lt;/Template&gt;&lt;Star&gt;0&lt;/Star&gt;&lt;Tag&gt;0&lt;/Tag&gt;&lt;Author&gt;Delyon, Bernard; Lavielle, Marc; Moulines, Eric&lt;/Author&gt;&lt;Year&gt;1999&lt;/Year&gt;&lt;Details&gt;&lt;_collection_scope&gt;SCI;SCIE;&lt;/_collection_scope&gt;&lt;_created&gt;61216785&lt;/_created&gt;&lt;_impact_factor&gt;   2.180&lt;/_impact_factor&gt;&lt;_isbn&gt;0090-5364&lt;/_isbn&gt;&lt;_journal&gt;Annals of statistics&lt;/_journal&gt;&lt;_modified&gt;61216789&lt;/_modified&gt;&lt;_pages&gt;94-128&lt;/_pages&gt;&lt;/Details&gt;&lt;Extra&gt;&lt;DBUID&gt;{F96A950B-833F-4880-A151-76DA2D6A2879}&lt;/DBUID&gt;&lt;/Extra&gt;&lt;/Item&gt;&lt;/References&gt;&lt;/Group&gt;&lt;/Citation&gt;_x000a_"/>
    <w:docVar w:name="NE.Ref{C96350F0-29AA-4F98-ACF8-9D29E9240DFA}" w:val=" ADDIN NE.Ref.{C96350F0-29AA-4F98-ACF8-9D29E9240DFA}&lt;Citation&gt;&lt;Group&gt;&lt;References&gt;&lt;Item&gt;&lt;ID&gt;394&lt;/ID&gt;&lt;UID&gt;{E5BE87EA-EC58-456E-B8D1-817E74238F92}&lt;/UID&gt;&lt;Title&gt;面向3G的无线网络优化体系&lt;/Title&gt;&lt;Template&gt;Journal Article&lt;/Template&gt;&lt;Star&gt;0&lt;/Star&gt;&lt;Tag&gt;0&lt;/Tag&gt;&lt;Author&gt;吴松; 何照东; 葛海平&lt;/Author&gt;&lt;Year&gt;2007&lt;/Year&gt;&lt;Details&gt;&lt;_author_aff&gt;华信邮电咨询设计研究院有限公司;浙江省移动公司规划部;华信邮电咨询设计研究院有限公司;&lt;/_author_aff&gt;&lt;_created&gt;61216752&lt;/_created&gt;&lt;_date&gt;2007-11-20&lt;/_date&gt;&lt;_db_provider&gt;CNKI: 期刊&lt;/_db_provider&gt;&lt;_db_updated&gt;CNKI - Reference&lt;/_db_updated&gt;&lt;_issue&gt;11&lt;/_issue&gt;&lt;_journal&gt;邮电设计技术&lt;/_journal&gt;&lt;_keywords&gt;3G;网络优化;融合&lt;/_keywords&gt;&lt;_modified&gt;61216839&lt;/_modified&gt;&lt;_pages&gt;10-14&lt;/_pages&gt;&lt;_url&gt;http://www.cnki.net/KCMS/detail/detail.aspx?FileName=YDSJ200711005&amp;amp;DbName=CJFQ2007&lt;/_url&gt;&lt;_translated_author&gt;Wu, Song;He, Zhaodong;Ge, Haiping&lt;/_translated_author&gt;&lt;/Details&gt;&lt;Extra&gt;&lt;DBUID&gt;{F96A950B-833F-4880-A151-76DA2D6A2879}&lt;/DBUID&gt;&lt;/Extra&gt;&lt;/Item&gt;&lt;/References&gt;&lt;/Group&gt;&lt;/Citation&gt;_x000a_"/>
    <w:docVar w:name="NE.Ref{CAE6E0D2-AD56-4760-B89B-F2AA36A9A166}" w:val=" ADDIN NE.Ref.{CAE6E0D2-AD56-4760-B89B-F2AA36A9A166}&lt;Citation&gt;&lt;Group&gt;&lt;References&gt;&lt;Item&gt;&lt;ID&gt;402&lt;/ID&gt;&lt;UID&gt;{82B8A6AF-068B-4463-8FC2-1EB57D2BC90A}&lt;/UID&gt;&lt;Title&gt;GIS中基于“栅格技术”的栅格数据矢量化技术&lt;/Title&gt;&lt;Template&gt;Journal Article&lt;/Template&gt;&lt;Star&gt;0&lt;/Star&gt;&lt;Tag&gt;0&lt;/Tag&gt;&lt;Author&gt;章孝灿; 潘云鹤&lt;/Author&gt;&lt;Year&gt;2001&lt;/Year&gt;&lt;Details&gt;&lt;_author_aff&gt;浙江大学空间信息技术研究所;浙江大学人工智能研究所 杭州310027_x000d__x000a__x000d__x000a__x000d__x000a__x000d__x000a__x000d__x000a__x000d__x000a__x000d__x000a__x000d__x000a__x000d__x000a_;杭州310027&lt;/_author_aff&gt;&lt;_collection_scope&gt;中国科技核心期刊;中文核心期刊;CSCD;EI;&lt;/_collection_scope&gt;&lt;_created&gt;61216769&lt;/_created&gt;&lt;_date&gt;2001-10-01&lt;/_date&gt;&lt;_db_provider&gt;CNKI: 期刊&lt;/_db_provider&gt;&lt;_db_updated&gt;CNKI - Reference&lt;/_db_updated&gt;&lt;_issue&gt;10&lt;/_issue&gt;&lt;_journal&gt;计算机辅助设计与图形学学报&lt;/_journal&gt;&lt;_keywords&gt;GIS;栅格数据;矢量化;栅格技术&lt;/_keywords&gt;&lt;_modified&gt;61216782&lt;/_modified&gt;&lt;_pages&gt;895-900&lt;/_pages&gt;&lt;_url&gt;http://www.cnki.net/KCMS/detail/detail.aspx?FileName=JSJF200110007&amp;amp;DbName=CJFQ2001&lt;/_url&gt;&lt;_translated_author&gt;Zhang, Xiaocan;Pan, Yunhe&lt;/_translated_author&gt;&lt;/Details&gt;&lt;Extra&gt;&lt;DBUID&gt;{F96A950B-833F-4880-A151-76DA2D6A2879}&lt;/DBUID&gt;&lt;/Extra&gt;&lt;/Item&gt;&lt;/References&gt;&lt;/Group&gt;&lt;/Citation&gt;_x000a_"/>
    <w:docVar w:name="NE.Ref{D16A5844-1F72-4EEB-A888-9CD3AAC42736}" w:val=" ADDIN NE.Ref.{D16A5844-1F72-4EEB-A888-9CD3AAC42736}&lt;Citation&gt;&lt;Group&gt;&lt;References&gt;&lt;Item&gt;&lt;ID&gt;458&lt;/ID&gt;&lt;UID&gt;{9CB19233-AD92-45D7-9502-748794DF5BC1}&lt;/UID&gt;&lt;Title&gt;Digital and analog power control for an OFDMA/CDMA access terminal&lt;/Title&gt;&lt;Template&gt;Generic&lt;/Template&gt;&lt;Star&gt;0&lt;/Star&gt;&lt;Tag&gt;0&lt;/Tag&gt;&lt;Author&gt;Sampath, Hemanth; Gore, Dhananjay Ashok; Teague, Edward Harrison&lt;/Author&gt;&lt;Year&gt;2012&lt;/Year&gt;&lt;Details&gt;&lt;_created&gt;61216785&lt;/_created&gt;&lt;_modified&gt;61216789&lt;/_modified&gt;&lt;_publisher&gt;Google Patents&lt;/_publisher&gt;&lt;/Details&gt;&lt;Extra&gt;&lt;DBUID&gt;{F96A950B-833F-4880-A151-76DA2D6A2879}&lt;/DBUID&gt;&lt;/Extra&gt;&lt;/Item&gt;&lt;/References&gt;&lt;/Group&gt;&lt;/Citation&gt;_x000a_"/>
    <w:docVar w:name="NE.Ref{DF1F4C2A-4A7F-4753-A332-A21125A9C0EB}" w:val=" ADDIN NE.Ref.{DF1F4C2A-4A7F-4753-A332-A21125A9C0EB}&lt;Citation&gt;&lt;Group&gt;&lt;References&gt;&lt;Item&gt;&lt;ID&gt;455&lt;/ID&gt;&lt;UID&gt;{7BAEB2D2-B199-4007-A493-574C958D3141}&lt;/UID&gt;&lt;Title&gt;Coverage and Rate Analysis for Limited Information Cell Association in Stochastic-Layout Cellular Networks&lt;/Title&gt;&lt;Template&gt;Journal Article&lt;/Template&gt;&lt;Star&gt;0&lt;/Star&gt;&lt;Tag&gt;0&lt;/Tag&gt;&lt;Author&gt;Herath, Prasanna; Krzymien, Witold; Tellambura, Chinthananda&lt;/Author&gt;&lt;Year&gt;2015&lt;/Year&gt;&lt;Details&gt;&lt;_created&gt;61216785&lt;/_created&gt;&lt;_impact_factor&gt;   1.978&lt;/_impact_factor&gt;&lt;_isbn&gt;0018-9545&lt;/_isbn&gt;&lt;_modified&gt;61216789&lt;/_modified&gt;&lt;/Details&gt;&lt;Extra&gt;&lt;DBUID&gt;{F96A950B-833F-4880-A151-76DA2D6A2879}&lt;/DBUID&gt;&lt;/Extra&gt;&lt;/Item&gt;&lt;/References&gt;&lt;/Group&gt;&lt;/Citation&gt;_x000a_"/>
    <w:docVar w:name="NE.Ref{E4F2BD39-A106-4A70-8796-10260B217E49}" w:val=" ADDIN NE.Ref.{E4F2BD39-A106-4A70-8796-10260B217E49}&lt;Citation&gt;&lt;Group&gt;&lt;References&gt;&lt;Item&gt;&lt;ID&gt;452&lt;/ID&gt;&lt;UID&gt;{0DC62273-5981-4039-BABD-1D0A686F0BC9}&lt;/UID&gt;&lt;Title&gt;Comparative Analysis of GSM Network and IS-95 CDMA Network Using Signal Strength.&lt;/Title&gt;&lt;Template&gt;Journal Article&lt;/Template&gt;&lt;Star&gt;0&lt;/Star&gt;&lt;Tag&gt;0&lt;/Tag&gt;&lt;Author&gt;Makanjuola, N T; Shoewu, O O; Akinyemi, L A; Ajasa, A A&lt;/Author&gt;&lt;Year&gt;2015&lt;/Year&gt;&lt;Details&gt;&lt;_created&gt;61216784&lt;/_created&gt;&lt;_journal&gt;The Pacific Journal of Science and Technology&lt;/_journal&gt;&lt;_modified&gt;61216793&lt;/_modified&gt;&lt;/Details&gt;&lt;Extra&gt;&lt;DBUID&gt;{F96A950B-833F-4880-A151-76DA2D6A2879}&lt;/DBUID&gt;&lt;/Extra&gt;&lt;/Item&gt;&lt;/References&gt;&lt;/Group&gt;&lt;Group&gt;&lt;References&gt;&lt;Item&gt;&lt;ID&gt;477&lt;/ID&gt;&lt;UID&gt;{9647FF5E-C63B-480C-B78E-2CECE19703DB}&lt;/UID&gt;&lt;Title&gt;Method for reducing power consumption of a mobile station and a mobile station&lt;/Title&gt;&lt;Template&gt;Generic&lt;/Template&gt;&lt;Star&gt;0&lt;/Star&gt;&lt;Tag&gt;0&lt;/Tag&gt;&lt;Author&gt;Ruohonen, Jari&lt;/Author&gt;&lt;Year&gt;2002&lt;/Year&gt;&lt;Details&gt;&lt;_created&gt;61216786&lt;/_created&gt;&lt;_modified&gt;61216788&lt;/_modified&gt;&lt;_publisher&gt;Google Patents&lt;/_publisher&gt;&lt;/Details&gt;&lt;Extra&gt;&lt;DBUID&gt;{F96A950B-833F-4880-A151-76DA2D6A2879}&lt;/DBUID&gt;&lt;/Extra&gt;&lt;/Item&gt;&lt;/References&gt;&lt;/Group&gt;&lt;/Citation&gt;_x000a_"/>
    <w:docVar w:name="NE.Ref{E721F492-3418-4826-9E32-A7A4A27311F3}" w:val=" ADDIN NE.Ref.{E721F492-3418-4826-9E32-A7A4A27311F3}&lt;Citation&gt;&lt;Group&gt;&lt;References&gt;&lt;Item&gt;&lt;ID&gt;459&lt;/ID&gt;&lt;UID&gt;{47BE5AAE-F9A6-4641-BEB0-805CBE11750C}&lt;/UID&gt;&lt;Title&gt;Erlang capacity of a power controlled CDMA system&lt;/Title&gt;&lt;Template&gt;Journal Article&lt;/Template&gt;&lt;Star&gt;0&lt;/Star&gt;&lt;Tag&gt;0&lt;/Tag&gt;&lt;Author&gt;Viterbi, Audrey M; Viterbi, Andrew J&lt;/Author&gt;&lt;Year&gt;1993&lt;/Year&gt;&lt;Details&gt;&lt;_created&gt;61216785&lt;/_created&gt;&lt;_modified&gt;61216789&lt;/_modified&gt;&lt;/Details&gt;&lt;Extra&gt;&lt;DBUID&gt;{F96A950B-833F-4880-A151-76DA2D6A2879}&lt;/DBUID&gt;&lt;/Extra&gt;&lt;/Item&gt;&lt;/References&gt;&lt;/Group&gt;&lt;Group&gt;&lt;References&gt;&lt;Item&gt;&lt;ID&gt;490&lt;/ID&gt;&lt;UID&gt;{C39458B0-385E-4E97-B207-AE4848A61EFA}&lt;/UID&gt;&lt;Title&gt;Erlang capacity of a power controlled integrated voice and data CDMA system&lt;/Title&gt;&lt;Template&gt;Conference Proceedings&lt;/Template&gt;&lt;Star&gt;0&lt;/Star&gt;&lt;Tag&gt;0&lt;/Tag&gt;&lt;Author&gt;Sampath, Ashwin; Mandayam, Narayan B; Holtzman, Jack M&lt;/Author&gt;&lt;Year&gt;1997&lt;/Year&gt;&lt;Details&gt;&lt;_created&gt;61216932&lt;/_created&gt;&lt;_isbn&gt;0780336593&lt;/_isbn&gt;&lt;_modified&gt;61216933&lt;/_modified&gt;&lt;_pages&gt;1557-1561&lt;/_pages&gt;&lt;_publisher&gt;IEEE&lt;/_publisher&gt;&lt;_secondary_title&gt;Vehicular Technology Conference, 1997, IEEE 47th&lt;/_secondary_title&gt;&lt;_volume&gt;3&lt;/_volume&gt;&lt;/Details&gt;&lt;Extra&gt;&lt;DBUID&gt;{F96A950B-833F-4880-A151-76DA2D6A2879}&lt;/DBUID&gt;&lt;/Extra&gt;&lt;/Item&gt;&lt;/References&gt;&lt;/Group&gt;&lt;/Citation&gt;_x000a_"/>
    <w:docVar w:name="NE.Ref{EC703CA2-EFB7-4837-ADF2-E1C22B16A756}" w:val=" ADDIN NE.Ref.{EC703CA2-EFB7-4837-ADF2-E1C22B16A756}&lt;Citation&gt;&lt;Group&gt;&lt;References&gt;&lt;Item&gt;&lt;ID&gt;444&lt;/ID&gt;&lt;UID&gt;{BE428262-4EC5-4E64-A2BE-093AA1FA041B}&lt;/UID&gt;&lt;Title&gt;A comparative analysis on the bisecting K-means and the PDDP clustering algorithms&lt;/Title&gt;&lt;Template&gt;Journal Article&lt;/Template&gt;&lt;Star&gt;0&lt;/Star&gt;&lt;Tag&gt;0&lt;/Tag&gt;&lt;Author&gt;Savaresi, Sergio M; Boley, Daniel L&lt;/Author&gt;&lt;Year&gt;2004&lt;/Year&gt;&lt;Details&gt;&lt;_collection_scope&gt;EI;SCIE;&lt;/_collection_scope&gt;&lt;_created&gt;61216783&lt;/_created&gt;&lt;_impact_factor&gt;   0.606&lt;/_impact_factor&gt;&lt;_isbn&gt;1088-467X&lt;/_isbn&gt;&lt;_issue&gt;4&lt;/_issue&gt;&lt;_journal&gt;Intelligent Data Analysis&lt;/_journal&gt;&lt;_modified&gt;61216789&lt;/_modified&gt;&lt;_pages&gt;345-362&lt;/_pages&gt;&lt;_volume&gt;8&lt;/_volume&gt;&lt;/Details&gt;&lt;Extra&gt;&lt;DBUID&gt;{F96A950B-833F-4880-A151-76DA2D6A2879}&lt;/DBUID&gt;&lt;/Extra&gt;&lt;/Item&gt;&lt;/References&gt;&lt;/Group&gt;&lt;Group&gt;&lt;References&gt;&lt;Item&gt;&lt;ID&gt;479&lt;/ID&gt;&lt;UID&gt;{4C0F1D2C-A06D-4124-9A47-F0B40C7D4CC7}&lt;/UID&gt;&lt;Title&gt;Refining Initial Points for K-Means Clustering.&lt;/Title&gt;&lt;Template&gt;Conference Proceedings&lt;/Template&gt;&lt;Star&gt;0&lt;/Star&gt;&lt;Tag&gt;0&lt;/Tag&gt;&lt;Author&gt;Bradley, Paul S; Fayyad, Usama M&lt;/Author&gt;&lt;Year&gt;1998&lt;/Year&gt;&lt;Details&gt;&lt;_created&gt;61216787&lt;/_created&gt;&lt;_modified&gt;61216790&lt;/_modified&gt;&lt;_pages&gt;91-99&lt;/_pages&gt;&lt;_publisher&gt;Citeseer&lt;/_publisher&gt;&lt;_secondary_title&gt;ICML&lt;/_secondary_title&gt;&lt;_volume&gt;98&lt;/_volume&gt;&lt;/Details&gt;&lt;Extra&gt;&lt;DBUID&gt;{F96A950B-833F-4880-A151-76DA2D6A2879}&lt;/DBUID&gt;&lt;/Extra&gt;&lt;/Item&gt;&lt;/References&gt;&lt;/Group&gt;&lt;/Citation&gt;_x000a_"/>
    <w:docVar w:name="NE.Ref{ED315798-3A9D-4B17-B4F2-CD057400838F}" w:val=" ADDIN NE.Ref.{ED315798-3A9D-4B17-B4F2-CD057400838F}&lt;Citation&gt;&lt;Group&gt;&lt;References&gt;&lt;Item&gt;&lt;ID&gt;460&lt;/ID&gt;&lt;UID&gt;{141EF8D8-2935-40E6-94D3-142E01CE7A6A}&lt;/UID&gt;&lt;Title&gt;Estimating wireless network properties with spatial statistics and models&lt;/Title&gt;&lt;Template&gt;Conference Proceedings&lt;/Template&gt;&lt;Star&gt;0&lt;/Star&gt;&lt;Tag&gt;0&lt;/Tag&gt;&lt;Author&gt;Riihijärvi, Janne; Mähönen, Petri&lt;/Author&gt;&lt;Year&gt;2012&lt;/Year&gt;&lt;Details&gt;&lt;_created&gt;61216785&lt;/_created&gt;&lt;_isbn&gt;1467322946&lt;/_isbn&gt;&lt;_modified&gt;61216789&lt;/_modified&gt;&lt;_pages&gt;331-336&lt;/_pages&gt;&lt;_publisher&gt;IEEE&lt;/_publisher&gt;&lt;_secondary_title&gt;Modeling and Optimization in Mobile, Ad Hoc and Wireless Networks (WiOpt), 2012 10th International Symposium on&lt;/_secondary_title&gt;&lt;/Details&gt;&lt;Extra&gt;&lt;DBUID&gt;{F96A950B-833F-4880-A151-76DA2D6A2879}&lt;/DBUID&gt;&lt;/Extra&gt;&lt;/Item&gt;&lt;/References&gt;&lt;/Group&gt;&lt;Group&gt;&lt;References&gt;&lt;Item&gt;&lt;ID&gt;447&lt;/ID&gt;&lt;UID&gt;{495F567D-299B-480C-ADBC-C72991B8BD0B}&lt;/UID&gt;&lt;Title&gt;Automated coverage hole detection for cellular networks using radio environment maps&lt;/Title&gt;&lt;Template&gt;Conference Proceedings&lt;/Template&gt;&lt;Star&gt;0&lt;/Star&gt;&lt;Tag&gt;0&lt;/Tag&gt;&lt;Author&gt;Galindo-Serrano, Ana; Sayrac, Berna; Ben Jemaa, Sana; Riihijarvi, Janne; Mahonen, Petri&lt;/Author&gt;&lt;Year&gt;2013&lt;/Year&gt;&lt;Details&gt;&lt;_created&gt;61216784&lt;/_created&gt;&lt;_isbn&gt;1612848249&lt;/_isbn&gt;&lt;_modified&gt;61216789&lt;/_modified&gt;&lt;_pages&gt;35-40&lt;/_pages&gt;&lt;_publisher&gt;IEEE&lt;/_publisher&gt;&lt;_secondary_title&gt;Modeling &amp;amp; Optimization in Mobile, Ad Hoc &amp;amp; Wireless Networks (WiOpt), 2013 11th International Symposium on&lt;/_secondary_title&gt;&lt;/Details&gt;&lt;Extra&gt;&lt;DBUID&gt;{F96A950B-833F-4880-A151-76DA2D6A2879}&lt;/DBUID&gt;&lt;/Extra&gt;&lt;/Item&gt;&lt;/References&gt;&lt;/Group&gt;&lt;Group&gt;&lt;References&gt;&lt;Item&gt;&lt;ID&gt;466&lt;/ID&gt;&lt;UID&gt;{94E9E40B-E009-489E-9F68-CE2AB41A147D}&lt;/UID&gt;&lt;Title&gt;Harvesting MDT data: Radio environment maps for coverage analysis in cellular networks&lt;/Title&gt;&lt;Template&gt;Conference Proceedings&lt;/Template&gt;&lt;Star&gt;0&lt;/Star&gt;&lt;Tag&gt;0&lt;/Tag&gt;&lt;Author&gt;Galindo-Serrano, Ana; Sayrac, Berna; Ben Jemaa, Sana; Riihijarvi, Janne; Mahonen, Petri&lt;/Author&gt;&lt;Year&gt;2013&lt;/Year&gt;&lt;Details&gt;&lt;_created&gt;61216786&lt;/_created&gt;&lt;_modified&gt;61216788&lt;/_modified&gt;&lt;_pages&gt;37-42&lt;/_pages&gt;&lt;_publisher&gt;IEEE&lt;/_publisher&gt;&lt;_secondary_title&gt;Cognitive Radio Oriented Wireless Networks (CROWNCOM), 2013 8th International Conference on&lt;/_secondary_title&gt;&lt;/Details&gt;&lt;Extra&gt;&lt;DBUID&gt;{F96A950B-833F-4880-A151-76DA2D6A2879}&lt;/DBUID&gt;&lt;/Extra&gt;&lt;/Item&gt;&lt;/References&gt;&lt;/Group&gt;&lt;/Citation&gt;_x000a_"/>
    <w:docVar w:name="NE.Ref{ED377463-45D6-4B3A-A4C6-4F40B192575C}" w:val=" ADDIN NE.Ref.{ED377463-45D6-4B3A-A4C6-4F40B192575C}&lt;Citation&gt;&lt;Group&gt;&lt;References&gt;&lt;Item&gt;&lt;ID&gt;473&lt;/ID&gt;&lt;UID&gt;{940F6BD2-CA51-4960-8DAB-0424A6446F4F}&lt;/UID&gt;&lt;Title&gt;Method and apparatus for controlling transmission power in a CDMA cellular mobile telephone system&lt;/Title&gt;&lt;Template&gt;Generic&lt;/Template&gt;&lt;Star&gt;0&lt;/Star&gt;&lt;Tag&gt;0&lt;/Tag&gt;&lt;Author&gt;Gilhousen, Klein S; Padovani, Roberto; Wheatley III, Charles E&lt;/Author&gt;&lt;Year&gt;1991&lt;/Year&gt;&lt;Details&gt;&lt;_created&gt;61216786&lt;/_created&gt;&lt;_modified&gt;61216788&lt;/_modified&gt;&lt;_publisher&gt;Google Patents&lt;/_publisher&gt;&lt;/Details&gt;&lt;Extra&gt;&lt;DBUID&gt;{F96A950B-833F-4880-A151-76DA2D6A2879}&lt;/DBUID&gt;&lt;/Extra&gt;&lt;/Item&gt;&lt;/References&gt;&lt;/Group&gt;&lt;/Citation&gt;_x000a_"/>
    <w:docVar w:name="NE.Ref{EFD34998-D2E2-449C-95BC-2B6D97E92EBF}" w:val=" ADDIN NE.Ref.{EFD34998-D2E2-449C-95BC-2B6D97E92EBF}&lt;Citation&gt;&lt;Group&gt;&lt;References&gt;&lt;Item&gt;&lt;ID&gt;397&lt;/ID&gt;&lt;UID&gt;{F87F932E-A1F1-42D1-A16B-95327F547B72}&lt;/UID&gt;&lt;Title&gt;第四代GIS软件研究&lt;/Title&gt;&lt;Template&gt;Journal Article&lt;/Template&gt;&lt;Star&gt;0&lt;/Star&gt;&lt;Tag&gt;0&lt;/Tag&gt;&lt;Author&gt;方裕; 周成虎; 景贵飞; 陆锋; 骆剑承&lt;/Author&gt;&lt;Year&gt;2001&lt;/Year&gt;&lt;Details&gt;&lt;_accessed&gt;61216864&lt;/_accessed&gt;&lt;_author_aff&gt;中国科学院资源与环境信息系统国家重点实验室;中国科学院资源与环境信息系统国家重点实验室;科学技术部高新技术与产业化司;中国科学院资源与环境信息系统国家重点实验室;中国科学院资源与环境信息系统国家重点实验室 北京100101;北京大学计算机科学技术系;北京100871_x000d__x000a__x000d__x000a__x000d__x000a__x000d__x000a__x000d__x000a__x000d__x000a__x000d__x000a__x000d__x000a__x000d__x000a_;北京1&lt;/_author_aff&gt;&lt;_collection_scope&gt;中国科技核心期刊;中文核心期刊;CSCD;&lt;/_collection_scope&gt;&lt;_created&gt;61216768&lt;/_created&gt;&lt;_date&gt;2001-09-25&lt;/_date&gt;&lt;_db_provider&gt;CNKI: 期刊&lt;/_db_provider&gt;&lt;_db_updated&gt;CNKI - Reference&lt;/_db_updated&gt;&lt;_issue&gt;09&lt;/_issue&gt;&lt;_journal&gt;中国图象图形学报&lt;/_journal&gt;&lt;_keywords&gt;GIS;面向对象;OPENGIS;元数据;空间数据;互操作&lt;/_keywords&gt;&lt;_modified&gt;61216864&lt;/_modified&gt;&lt;_pages&gt;5-11&lt;/_pages&gt;&lt;_url&gt;http://www.cnki.net/KCMS/detail/detail.aspx?FileName=ZGTB200109001&amp;amp;DbName=CJFQ2001&lt;/_url&gt;&lt;_translated_author&gt;Fang, Yu;Zhou, Chenghu;Jing, Guifei;Lu, Feng;Luo, Jiancheng&lt;/_translated_author&gt;&lt;/Details&gt;&lt;Extra&gt;&lt;DBUID&gt;{F96A950B-833F-4880-A151-76DA2D6A2879}&lt;/DBUID&gt;&lt;/Extra&gt;&lt;/Item&gt;&lt;/References&gt;&lt;/Group&gt;&lt;/Citation&gt;_x000a_"/>
    <w:docVar w:name="NE.Ref{F27B563B-CBDE-4462-A4E7-917C34D8BA1F}" w:val=" ADDIN NE.Ref.{F27B563B-CBDE-4462-A4E7-917C34D8BA1F}&lt;Citation&gt;&lt;Group&gt;&lt;References&gt;&lt;Item&gt;&lt;ID&gt;398&lt;/ID&gt;&lt;UID&gt;{6F7029D3-1B96-4265-8C2D-4661FC011E55}&lt;/UID&gt;&lt;Title&gt;地理信息系统在通信领域的应用研究进展&lt;/Title&gt;&lt;Template&gt;Journal Article&lt;/Template&gt;&lt;Star&gt;0&lt;/Star&gt;&lt;Tag&gt;0&lt;/Tag&gt;&lt;Author&gt;刘学锋; 李先华; 何幼斌&lt;/Author&gt;&lt;Year&gt;2007&lt;/Year&gt;&lt;Details&gt;&lt;_author_aff&gt;上海大学通信与信息工程学院;上海大学通信与信息工程学院;长江大学地球科学学院 上海200072;长江大学地球科学学院;荆州434023;上海200072;荆州434023&lt;/_author_aff&gt;&lt;_created&gt;61216768&lt;/_created&gt;&lt;_date&gt;2007-08-15&lt;/_date&gt;&lt;_db_provider&gt;CNKI: 期刊&lt;/_db_provider&gt;&lt;_db_updated&gt;CNKI - Reference&lt;/_db_updated&gt;&lt;_issue&gt;04&lt;/_issue&gt;&lt;_journal&gt;上海大学学报(自然科学版)&lt;/_journal&gt;&lt;_keywords&gt;地理信息系统;通信;移动通信服务;空间分析&lt;/_keywords&gt;&lt;_modified&gt;61216864&lt;/_modified&gt;&lt;_pages&gt;389-393&lt;/_pages&gt;&lt;_url&gt;http://www.cnki.net/KCMS/detail/detail.aspx?FileName=SDXZ200704012&amp;amp;DbName=CJFQ2007&lt;/_url&gt;&lt;_translated_author&gt;Liu, Xuefeng;Li, Xianhua;He, Youbin&lt;/_translated_author&gt;&lt;/Details&gt;&lt;Extra&gt;&lt;DBUID&gt;{F96A950B-833F-4880-A151-76DA2D6A2879}&lt;/DBUID&gt;&lt;/Extra&gt;&lt;/Item&gt;&lt;/References&gt;&lt;/Group&gt;&lt;/Citation&gt;_x000a_"/>
    <w:docVar w:name="NE.Ref{F6161EE0-218D-4EB2-8442-53ECFB1C5E4E}" w:val=" ADDIN NE.Ref.{F6161EE0-218D-4EB2-8442-53ECFB1C5E4E}&lt;Citation&gt;&lt;Group&gt;&lt;References&gt;&lt;Item&gt;&lt;ID&gt;483&lt;/ID&gt;&lt;UID&gt;{98849659-91E4-418B-80AC-B0E3DFA518A4}&lt;/UID&gt;&lt;Title&gt;Coverage mapping using spatial interpolation with field measurements&lt;/Title&gt;&lt;Template&gt;Conference Proceedings&lt;/Template&gt;&lt;Star&gt;0&lt;/Star&gt;&lt;Tag&gt;0&lt;/Tag&gt;&lt;Author&gt;Braham, Hajer; Ben Jemaa, Sana; Sayrac, Berna; Fort, Gersende; Moulines, Eric&lt;/Author&gt;&lt;Year&gt;2014&lt;/Year&gt;&lt;Details&gt;&lt;_created&gt;61216790&lt;/_created&gt;&lt;_modified&gt;61216794&lt;/_modified&gt;&lt;_pages&gt;1743-1747&lt;/_pages&gt;&lt;_publisher&gt;IEEE&lt;/_publisher&gt;&lt;_secondary_title&gt;Personal, Indoor, and Mobile Radio Communication (PIMRC), 2014 IEEE 25th Annual International Symposium on&lt;/_secondary_title&gt;&lt;/Details&gt;&lt;Extra&gt;&lt;DBUID&gt;{F96A950B-833F-4880-A151-76DA2D6A2879}&lt;/DBUID&gt;&lt;/Extra&gt;&lt;/Item&gt;&lt;/References&gt;&lt;/Group&gt;&lt;Group&gt;&lt;References&gt;&lt;Item&gt;&lt;ID&gt;472&lt;/ID&gt;&lt;UID&gt;{7A424B7C-B8C7-4B14-AB68-32210AFA8325}&lt;/UID&gt;&lt;Title&gt;Low complexity spatial interpolation for cellular coverage analysis&lt;/Title&gt;&lt;Template&gt;Conference Proceedings&lt;/Template&gt;&lt;Star&gt;0&lt;/Star&gt;&lt;Tag&gt;0&lt;/Tag&gt;&lt;Author&gt;Braham, Hajer; Ben Jemaa, Sana; Sayrac, Berna; Fort, Gersende; Moulines, Eric&lt;/Author&gt;&lt;Year&gt;2014&lt;/Year&gt;&lt;Details&gt;&lt;_created&gt;61216786&lt;/_created&gt;&lt;_modified&gt;61216788&lt;/_modified&gt;&lt;_pages&gt;188-195&lt;/_pages&gt;&lt;_publisher&gt;IEEE&lt;/_publisher&gt;&lt;_secondary_title&gt;Modeling and Optimization in Mobile, Ad Hoc, and Wireless Networks (WiOpt), 2014 12th International Symposium on&lt;/_secondary_title&gt;&lt;/Details&gt;&lt;Extra&gt;&lt;DBUID&gt;{F96A950B-833F-4880-A151-76DA2D6A2879}&lt;/DBUID&gt;&lt;/Extra&gt;&lt;/Item&gt;&lt;/References&gt;&lt;/Group&gt;&lt;/Citation&gt;_x000a_"/>
    <w:docVar w:name="NE.Ref{FAFC1C5C-F191-4BD5-BD7C-61B028290F6F}" w:val=" ADDIN NE.Ref.{FAFC1C5C-F191-4BD5-BD7C-61B028290F6F}&lt;Citation&gt;&lt;Group&gt;&lt;References&gt;&lt;Item&gt;&lt;ID&gt;485&lt;/ID&gt;&lt;UID&gt;{7C77E6D4-B1A6-44BA-B5C8-D48019DBF0F2}&lt;/UID&gt;&lt;Title&gt;移动通信系统&lt;/Title&gt;&lt;Template&gt;Book&lt;/Template&gt;&lt;Star&gt;0&lt;/Star&gt;&lt;Tag&gt;0&lt;/Tag&gt;&lt;Author&gt;陈威兵; 何松华; 彭曙光&lt;/Author&gt;&lt;Year&gt;2010&lt;/Year&gt;&lt;Details&gt;&lt;_accessed&gt;61216797&lt;/_accessed&gt;&lt;_created&gt;61216797&lt;/_created&gt;&lt;_edition&gt;1&lt;/_edition&gt;&lt;_modified&gt;61216798&lt;/_modified&gt;&lt;_place_published&gt;北京&lt;/_place_published&gt;&lt;_publisher&gt;清华大学出版社&lt;/_publisher&gt;&lt;_translated_author&gt;Chen, Weibing;He, Songhua;Peng, Shuguang&lt;/_translated_author&gt;&lt;/Details&gt;&lt;Extra&gt;&lt;DBUID&gt;{F96A950B-833F-4880-A151-76DA2D6A2879}&lt;/DBUID&gt;&lt;/Extra&gt;&lt;/Item&gt;&lt;/References&gt;&lt;/Group&gt;&lt;/Citation&gt;_x000a_"/>
    <w:docVar w:name="NE.Ref{FBE0F93A-4632-432D-8F78-13599B9CBFDC}" w:val=" ADDIN NE.Ref.{FBE0F93A-4632-432D-8F78-13599B9CBFDC}&lt;Citation&gt;&lt;Group&gt;&lt;References&gt;&lt;Item&gt;&lt;ID&gt;484&lt;/ID&gt;&lt;UID&gt;{B74757A3-6A03-4E5B-A4FE-E39AC9A9BCDE}&lt;/UID&gt;&lt;Title&gt;An Overview of LTE Positioning&lt;/Title&gt;&lt;Template&gt;Web Page&lt;/Template&gt;&lt;Star&gt;0&lt;/Star&gt;&lt;Tag&gt;0&lt;/Tag&gt;&lt;Author&gt;WhitePaper&lt;/Author&gt;&lt;Year&gt;2016&lt;/Year&gt;&lt;Details&gt;&lt;_accessed&gt;61216796&lt;/_accessed&gt;&lt;_created&gt;61216796&lt;/_created&gt;&lt;_modified&gt;61216802&lt;/_modified&gt;&lt;_url&gt;http://www.spirent.com/White-Papers/Mobile/_x000d__x000a_LTEPositioning&lt;/_url&gt;&lt;_volume&gt;2016&lt;/_volume&gt;&lt;/Details&gt;&lt;Extra&gt;&lt;DBUID&gt;{F96A950B-833F-4880-A151-76DA2D6A2879}&lt;/DBUID&gt;&lt;/Extra&gt;&lt;/Item&gt;&lt;/References&gt;&lt;/Group&gt;&lt;/Citation&gt;_x000a_"/>
    <w:docVar w:name="NE.Ref{FDB36EFA-D546-4404-B1C6-43DA2B620C98}" w:val=" ADDIN NE.Ref.{FDB36EFA-D546-4404-B1C6-43DA2B620C98}&lt;Citation&gt;&lt;Group&gt;&lt;References&gt;&lt;Item&gt;&lt;ID&gt;393&lt;/ID&gt;&lt;UID&gt;{36B06698-36E9-4102-A18E-7B30D67F3347}&lt;/UID&gt;&lt;Title&gt;移动通信网络优化技术与实践&lt;/Title&gt;&lt;Template&gt;Book&lt;/Template&gt;&lt;Star&gt;0&lt;/Star&gt;&lt;Tag&gt;0&lt;/Tag&gt;&lt;Author&gt;邹铁刚; 刘建民; 张明臣&lt;/Author&gt;&lt;Year&gt;2015&lt;/Year&gt;&lt;Details&gt;&lt;_accessed&gt;61216703&lt;/_accessed&gt;&lt;_created&gt;61216703&lt;/_created&gt;&lt;_edition&gt;1&lt;/_edition&gt;&lt;_modified&gt;61216750&lt;/_modified&gt;&lt;_place_published&gt;北京&lt;/_place_published&gt;&lt;_publisher&gt; 清华大学出版社&lt;/_publisher&gt;&lt;_translated_author&gt;Zou, Tiegang;Liu, Jianmin;Zhang, Mingchen&lt;/_translated_author&gt;&lt;/Details&gt;&lt;Extra&gt;&lt;DBUID&gt;{F96A950B-833F-4880-A151-76DA2D6A2879}&lt;/DBUID&gt;&lt;/Extra&gt;&lt;/Item&gt;&lt;/References&gt;&lt;/Group&gt;&lt;/Citation&gt;_x000a_"/>
  </w:docVars>
  <w:rsids>
    <w:rsidRoot w:val="00B724C5"/>
    <w:rsid w:val="000004D6"/>
    <w:rsid w:val="000019DE"/>
    <w:rsid w:val="00001A7E"/>
    <w:rsid w:val="00002892"/>
    <w:rsid w:val="0000330A"/>
    <w:rsid w:val="00004026"/>
    <w:rsid w:val="00004265"/>
    <w:rsid w:val="00007186"/>
    <w:rsid w:val="000078CB"/>
    <w:rsid w:val="00010530"/>
    <w:rsid w:val="0001145A"/>
    <w:rsid w:val="00011C92"/>
    <w:rsid w:val="000142C3"/>
    <w:rsid w:val="00014758"/>
    <w:rsid w:val="00015240"/>
    <w:rsid w:val="00015420"/>
    <w:rsid w:val="00015F67"/>
    <w:rsid w:val="000172ED"/>
    <w:rsid w:val="00020A9B"/>
    <w:rsid w:val="00021577"/>
    <w:rsid w:val="000215E6"/>
    <w:rsid w:val="00021D66"/>
    <w:rsid w:val="00023DEB"/>
    <w:rsid w:val="000246A5"/>
    <w:rsid w:val="00025E85"/>
    <w:rsid w:val="00027A92"/>
    <w:rsid w:val="00030F82"/>
    <w:rsid w:val="0003164A"/>
    <w:rsid w:val="00034BF9"/>
    <w:rsid w:val="00034DD5"/>
    <w:rsid w:val="0003586E"/>
    <w:rsid w:val="000417D4"/>
    <w:rsid w:val="000417D6"/>
    <w:rsid w:val="0004220B"/>
    <w:rsid w:val="00044AF2"/>
    <w:rsid w:val="00047C44"/>
    <w:rsid w:val="00050B2B"/>
    <w:rsid w:val="0005333B"/>
    <w:rsid w:val="00055AA7"/>
    <w:rsid w:val="000563BB"/>
    <w:rsid w:val="00062507"/>
    <w:rsid w:val="00064264"/>
    <w:rsid w:val="00064B4D"/>
    <w:rsid w:val="000653D8"/>
    <w:rsid w:val="00066464"/>
    <w:rsid w:val="000711E5"/>
    <w:rsid w:val="00073701"/>
    <w:rsid w:val="00075158"/>
    <w:rsid w:val="00075D3E"/>
    <w:rsid w:val="00080BD5"/>
    <w:rsid w:val="00080DDA"/>
    <w:rsid w:val="00080EDB"/>
    <w:rsid w:val="000817F7"/>
    <w:rsid w:val="00084B81"/>
    <w:rsid w:val="00084EE0"/>
    <w:rsid w:val="00085AA8"/>
    <w:rsid w:val="00086231"/>
    <w:rsid w:val="0008771F"/>
    <w:rsid w:val="000879D0"/>
    <w:rsid w:val="00087A0F"/>
    <w:rsid w:val="00091655"/>
    <w:rsid w:val="0009217B"/>
    <w:rsid w:val="000922D1"/>
    <w:rsid w:val="00093356"/>
    <w:rsid w:val="00093662"/>
    <w:rsid w:val="00093749"/>
    <w:rsid w:val="000938AE"/>
    <w:rsid w:val="000939EF"/>
    <w:rsid w:val="0009485A"/>
    <w:rsid w:val="000952FB"/>
    <w:rsid w:val="00096938"/>
    <w:rsid w:val="00097049"/>
    <w:rsid w:val="00097D6D"/>
    <w:rsid w:val="000A0546"/>
    <w:rsid w:val="000A08B1"/>
    <w:rsid w:val="000A0B6C"/>
    <w:rsid w:val="000A2080"/>
    <w:rsid w:val="000A2DE8"/>
    <w:rsid w:val="000A3BA0"/>
    <w:rsid w:val="000A59C6"/>
    <w:rsid w:val="000A668D"/>
    <w:rsid w:val="000A6754"/>
    <w:rsid w:val="000A69E3"/>
    <w:rsid w:val="000A74DD"/>
    <w:rsid w:val="000B34A3"/>
    <w:rsid w:val="000B37BB"/>
    <w:rsid w:val="000B390C"/>
    <w:rsid w:val="000B53D6"/>
    <w:rsid w:val="000B652D"/>
    <w:rsid w:val="000B6740"/>
    <w:rsid w:val="000B6834"/>
    <w:rsid w:val="000B7577"/>
    <w:rsid w:val="000C0DAC"/>
    <w:rsid w:val="000C1060"/>
    <w:rsid w:val="000C1B00"/>
    <w:rsid w:val="000C1D91"/>
    <w:rsid w:val="000C2A74"/>
    <w:rsid w:val="000C2B9E"/>
    <w:rsid w:val="000C2F76"/>
    <w:rsid w:val="000C3114"/>
    <w:rsid w:val="000C412E"/>
    <w:rsid w:val="000C51E6"/>
    <w:rsid w:val="000C5321"/>
    <w:rsid w:val="000C5837"/>
    <w:rsid w:val="000C6696"/>
    <w:rsid w:val="000D1069"/>
    <w:rsid w:val="000D39A0"/>
    <w:rsid w:val="000D5529"/>
    <w:rsid w:val="000D7938"/>
    <w:rsid w:val="000E0F07"/>
    <w:rsid w:val="000E4461"/>
    <w:rsid w:val="000E4EE6"/>
    <w:rsid w:val="000E6D31"/>
    <w:rsid w:val="000F4E4D"/>
    <w:rsid w:val="000F6193"/>
    <w:rsid w:val="000F6BA0"/>
    <w:rsid w:val="000F7245"/>
    <w:rsid w:val="000F76EC"/>
    <w:rsid w:val="000F7BD7"/>
    <w:rsid w:val="001000F0"/>
    <w:rsid w:val="00101433"/>
    <w:rsid w:val="0010241E"/>
    <w:rsid w:val="00102F68"/>
    <w:rsid w:val="0010482E"/>
    <w:rsid w:val="00104F0F"/>
    <w:rsid w:val="001061AE"/>
    <w:rsid w:val="00112C18"/>
    <w:rsid w:val="00114246"/>
    <w:rsid w:val="001152A5"/>
    <w:rsid w:val="00117599"/>
    <w:rsid w:val="00120A8B"/>
    <w:rsid w:val="00120D57"/>
    <w:rsid w:val="001218F6"/>
    <w:rsid w:val="001246D8"/>
    <w:rsid w:val="00124A96"/>
    <w:rsid w:val="00125473"/>
    <w:rsid w:val="0012572D"/>
    <w:rsid w:val="00125E66"/>
    <w:rsid w:val="00125EFB"/>
    <w:rsid w:val="00126BBA"/>
    <w:rsid w:val="00126EC5"/>
    <w:rsid w:val="00130F45"/>
    <w:rsid w:val="00132831"/>
    <w:rsid w:val="00133B7C"/>
    <w:rsid w:val="001345AF"/>
    <w:rsid w:val="00134608"/>
    <w:rsid w:val="0013521A"/>
    <w:rsid w:val="001359B4"/>
    <w:rsid w:val="00136860"/>
    <w:rsid w:val="001368F5"/>
    <w:rsid w:val="00141254"/>
    <w:rsid w:val="00141732"/>
    <w:rsid w:val="00144856"/>
    <w:rsid w:val="001463F2"/>
    <w:rsid w:val="0015008C"/>
    <w:rsid w:val="00151244"/>
    <w:rsid w:val="00151960"/>
    <w:rsid w:val="0015200E"/>
    <w:rsid w:val="0015297C"/>
    <w:rsid w:val="00153331"/>
    <w:rsid w:val="001533E1"/>
    <w:rsid w:val="00153C61"/>
    <w:rsid w:val="00153C87"/>
    <w:rsid w:val="00155FD5"/>
    <w:rsid w:val="0015656C"/>
    <w:rsid w:val="00156D52"/>
    <w:rsid w:val="00160354"/>
    <w:rsid w:val="00160885"/>
    <w:rsid w:val="001615CA"/>
    <w:rsid w:val="001627D2"/>
    <w:rsid w:val="00162BD4"/>
    <w:rsid w:val="0016371E"/>
    <w:rsid w:val="001647AE"/>
    <w:rsid w:val="00164A2A"/>
    <w:rsid w:val="001658D7"/>
    <w:rsid w:val="0017095A"/>
    <w:rsid w:val="00171F77"/>
    <w:rsid w:val="001740A6"/>
    <w:rsid w:val="00174BA1"/>
    <w:rsid w:val="001804D0"/>
    <w:rsid w:val="001811E6"/>
    <w:rsid w:val="00183847"/>
    <w:rsid w:val="00184139"/>
    <w:rsid w:val="00184CE5"/>
    <w:rsid w:val="00184D10"/>
    <w:rsid w:val="001866CF"/>
    <w:rsid w:val="001936AB"/>
    <w:rsid w:val="001958A8"/>
    <w:rsid w:val="001A02A4"/>
    <w:rsid w:val="001A030C"/>
    <w:rsid w:val="001A0ADD"/>
    <w:rsid w:val="001A295C"/>
    <w:rsid w:val="001A3045"/>
    <w:rsid w:val="001A33FD"/>
    <w:rsid w:val="001B3062"/>
    <w:rsid w:val="001B3426"/>
    <w:rsid w:val="001B4288"/>
    <w:rsid w:val="001B4592"/>
    <w:rsid w:val="001B53EC"/>
    <w:rsid w:val="001B5DFE"/>
    <w:rsid w:val="001B6790"/>
    <w:rsid w:val="001B7565"/>
    <w:rsid w:val="001C0927"/>
    <w:rsid w:val="001C2378"/>
    <w:rsid w:val="001C2ECB"/>
    <w:rsid w:val="001C4417"/>
    <w:rsid w:val="001C4DD0"/>
    <w:rsid w:val="001C72F1"/>
    <w:rsid w:val="001C771D"/>
    <w:rsid w:val="001C7822"/>
    <w:rsid w:val="001D0D83"/>
    <w:rsid w:val="001D15F8"/>
    <w:rsid w:val="001D4A56"/>
    <w:rsid w:val="001D4D55"/>
    <w:rsid w:val="001D4E42"/>
    <w:rsid w:val="001D6559"/>
    <w:rsid w:val="001D716A"/>
    <w:rsid w:val="001E3B55"/>
    <w:rsid w:val="001E6684"/>
    <w:rsid w:val="001E76A4"/>
    <w:rsid w:val="001F07C7"/>
    <w:rsid w:val="001F2C0F"/>
    <w:rsid w:val="001F2F9B"/>
    <w:rsid w:val="001F377C"/>
    <w:rsid w:val="001F3C17"/>
    <w:rsid w:val="001F447D"/>
    <w:rsid w:val="001F7975"/>
    <w:rsid w:val="00200BDC"/>
    <w:rsid w:val="002024D7"/>
    <w:rsid w:val="00202961"/>
    <w:rsid w:val="00203CD5"/>
    <w:rsid w:val="00203F09"/>
    <w:rsid w:val="00206152"/>
    <w:rsid w:val="00207272"/>
    <w:rsid w:val="00207AC2"/>
    <w:rsid w:val="00207F08"/>
    <w:rsid w:val="002101A5"/>
    <w:rsid w:val="00211290"/>
    <w:rsid w:val="002116DF"/>
    <w:rsid w:val="00211D78"/>
    <w:rsid w:val="0021227F"/>
    <w:rsid w:val="002127FF"/>
    <w:rsid w:val="00213C26"/>
    <w:rsid w:val="00214529"/>
    <w:rsid w:val="0021475F"/>
    <w:rsid w:val="00214881"/>
    <w:rsid w:val="00214D06"/>
    <w:rsid w:val="00220D4D"/>
    <w:rsid w:val="00220DA3"/>
    <w:rsid w:val="0022517F"/>
    <w:rsid w:val="002265C4"/>
    <w:rsid w:val="00226BBD"/>
    <w:rsid w:val="00230E6C"/>
    <w:rsid w:val="00234A33"/>
    <w:rsid w:val="00236865"/>
    <w:rsid w:val="0023749B"/>
    <w:rsid w:val="00240508"/>
    <w:rsid w:val="0024073D"/>
    <w:rsid w:val="002409AD"/>
    <w:rsid w:val="00246E1B"/>
    <w:rsid w:val="002539A1"/>
    <w:rsid w:val="002558AD"/>
    <w:rsid w:val="00255C02"/>
    <w:rsid w:val="00256FF3"/>
    <w:rsid w:val="00260276"/>
    <w:rsid w:val="00260A02"/>
    <w:rsid w:val="00260A6D"/>
    <w:rsid w:val="00260BDB"/>
    <w:rsid w:val="00261053"/>
    <w:rsid w:val="0026422D"/>
    <w:rsid w:val="002654B9"/>
    <w:rsid w:val="00266C4D"/>
    <w:rsid w:val="0027004A"/>
    <w:rsid w:val="00272187"/>
    <w:rsid w:val="0027314D"/>
    <w:rsid w:val="002739F1"/>
    <w:rsid w:val="00273E11"/>
    <w:rsid w:val="00274269"/>
    <w:rsid w:val="002761DF"/>
    <w:rsid w:val="00276475"/>
    <w:rsid w:val="00277F5E"/>
    <w:rsid w:val="00280252"/>
    <w:rsid w:val="002806BC"/>
    <w:rsid w:val="00280D8C"/>
    <w:rsid w:val="002815DB"/>
    <w:rsid w:val="00282180"/>
    <w:rsid w:val="002833EC"/>
    <w:rsid w:val="00284C3C"/>
    <w:rsid w:val="00285A95"/>
    <w:rsid w:val="00286C29"/>
    <w:rsid w:val="00290B13"/>
    <w:rsid w:val="0029190C"/>
    <w:rsid w:val="00293CFC"/>
    <w:rsid w:val="00295AE7"/>
    <w:rsid w:val="00295EB6"/>
    <w:rsid w:val="002961F0"/>
    <w:rsid w:val="002969F6"/>
    <w:rsid w:val="002971BD"/>
    <w:rsid w:val="002A0013"/>
    <w:rsid w:val="002A282E"/>
    <w:rsid w:val="002A2C33"/>
    <w:rsid w:val="002A37D0"/>
    <w:rsid w:val="002A5AE6"/>
    <w:rsid w:val="002A6A51"/>
    <w:rsid w:val="002B1DF3"/>
    <w:rsid w:val="002B2835"/>
    <w:rsid w:val="002B28BE"/>
    <w:rsid w:val="002B2E78"/>
    <w:rsid w:val="002B4001"/>
    <w:rsid w:val="002B48F0"/>
    <w:rsid w:val="002B5E40"/>
    <w:rsid w:val="002C030E"/>
    <w:rsid w:val="002C1FAD"/>
    <w:rsid w:val="002C2DB6"/>
    <w:rsid w:val="002C43CB"/>
    <w:rsid w:val="002C4401"/>
    <w:rsid w:val="002C4996"/>
    <w:rsid w:val="002C4FEA"/>
    <w:rsid w:val="002C581A"/>
    <w:rsid w:val="002C5D14"/>
    <w:rsid w:val="002D0F0F"/>
    <w:rsid w:val="002D1A11"/>
    <w:rsid w:val="002D2376"/>
    <w:rsid w:val="002D2379"/>
    <w:rsid w:val="002D261B"/>
    <w:rsid w:val="002D2EC9"/>
    <w:rsid w:val="002D7BEF"/>
    <w:rsid w:val="002E04BD"/>
    <w:rsid w:val="002E09C3"/>
    <w:rsid w:val="002E2894"/>
    <w:rsid w:val="002E3535"/>
    <w:rsid w:val="002E5E87"/>
    <w:rsid w:val="002E5F0E"/>
    <w:rsid w:val="002E7122"/>
    <w:rsid w:val="002F0E51"/>
    <w:rsid w:val="002F1EB5"/>
    <w:rsid w:val="002F20DC"/>
    <w:rsid w:val="002F24EA"/>
    <w:rsid w:val="002F288B"/>
    <w:rsid w:val="002F2AB7"/>
    <w:rsid w:val="002F3A5E"/>
    <w:rsid w:val="002F3CE5"/>
    <w:rsid w:val="002F685E"/>
    <w:rsid w:val="002F7E08"/>
    <w:rsid w:val="003002BD"/>
    <w:rsid w:val="00300432"/>
    <w:rsid w:val="00300ED3"/>
    <w:rsid w:val="003010D7"/>
    <w:rsid w:val="00302418"/>
    <w:rsid w:val="00304CFA"/>
    <w:rsid w:val="00307333"/>
    <w:rsid w:val="00310147"/>
    <w:rsid w:val="0031190A"/>
    <w:rsid w:val="003145D7"/>
    <w:rsid w:val="00314C20"/>
    <w:rsid w:val="003153B8"/>
    <w:rsid w:val="003161C6"/>
    <w:rsid w:val="00317983"/>
    <w:rsid w:val="00321C58"/>
    <w:rsid w:val="003243B2"/>
    <w:rsid w:val="003245D1"/>
    <w:rsid w:val="003251F0"/>
    <w:rsid w:val="003268C4"/>
    <w:rsid w:val="00327695"/>
    <w:rsid w:val="00331DA6"/>
    <w:rsid w:val="00335371"/>
    <w:rsid w:val="003378D2"/>
    <w:rsid w:val="00343BDA"/>
    <w:rsid w:val="00346122"/>
    <w:rsid w:val="00351341"/>
    <w:rsid w:val="00353260"/>
    <w:rsid w:val="0035399E"/>
    <w:rsid w:val="0035562C"/>
    <w:rsid w:val="003572BE"/>
    <w:rsid w:val="00361BFE"/>
    <w:rsid w:val="00362445"/>
    <w:rsid w:val="00362887"/>
    <w:rsid w:val="00363C28"/>
    <w:rsid w:val="003659A1"/>
    <w:rsid w:val="00370066"/>
    <w:rsid w:val="00370BD8"/>
    <w:rsid w:val="00371703"/>
    <w:rsid w:val="00371CBC"/>
    <w:rsid w:val="00372475"/>
    <w:rsid w:val="00373DDF"/>
    <w:rsid w:val="00374386"/>
    <w:rsid w:val="0037494C"/>
    <w:rsid w:val="00375571"/>
    <w:rsid w:val="00375EB3"/>
    <w:rsid w:val="00376658"/>
    <w:rsid w:val="003766A8"/>
    <w:rsid w:val="003766BE"/>
    <w:rsid w:val="003770EC"/>
    <w:rsid w:val="00382B81"/>
    <w:rsid w:val="003847B7"/>
    <w:rsid w:val="00385112"/>
    <w:rsid w:val="0038546B"/>
    <w:rsid w:val="0038639A"/>
    <w:rsid w:val="003869A9"/>
    <w:rsid w:val="00386DD2"/>
    <w:rsid w:val="00387D8A"/>
    <w:rsid w:val="00390508"/>
    <w:rsid w:val="0039076E"/>
    <w:rsid w:val="00391233"/>
    <w:rsid w:val="00392601"/>
    <w:rsid w:val="0039303E"/>
    <w:rsid w:val="003939B8"/>
    <w:rsid w:val="003967AA"/>
    <w:rsid w:val="00397911"/>
    <w:rsid w:val="00397EF9"/>
    <w:rsid w:val="003A0EB0"/>
    <w:rsid w:val="003A2047"/>
    <w:rsid w:val="003A20EF"/>
    <w:rsid w:val="003A22EB"/>
    <w:rsid w:val="003A3C82"/>
    <w:rsid w:val="003A3CCE"/>
    <w:rsid w:val="003A40E1"/>
    <w:rsid w:val="003A59FF"/>
    <w:rsid w:val="003A5BD9"/>
    <w:rsid w:val="003A6029"/>
    <w:rsid w:val="003A65D7"/>
    <w:rsid w:val="003A6FE8"/>
    <w:rsid w:val="003A7EB5"/>
    <w:rsid w:val="003B0662"/>
    <w:rsid w:val="003B2E62"/>
    <w:rsid w:val="003B2F34"/>
    <w:rsid w:val="003B4D6D"/>
    <w:rsid w:val="003B65AC"/>
    <w:rsid w:val="003C2087"/>
    <w:rsid w:val="003C306D"/>
    <w:rsid w:val="003C3D24"/>
    <w:rsid w:val="003C61EC"/>
    <w:rsid w:val="003C668A"/>
    <w:rsid w:val="003C7494"/>
    <w:rsid w:val="003C7B77"/>
    <w:rsid w:val="003D0697"/>
    <w:rsid w:val="003D1387"/>
    <w:rsid w:val="003D28BD"/>
    <w:rsid w:val="003D2E54"/>
    <w:rsid w:val="003D352E"/>
    <w:rsid w:val="003D3568"/>
    <w:rsid w:val="003D60D1"/>
    <w:rsid w:val="003D640B"/>
    <w:rsid w:val="003D6B08"/>
    <w:rsid w:val="003D6D5A"/>
    <w:rsid w:val="003D72A8"/>
    <w:rsid w:val="003E1909"/>
    <w:rsid w:val="003E3933"/>
    <w:rsid w:val="003E3BFA"/>
    <w:rsid w:val="003E4555"/>
    <w:rsid w:val="003E4E15"/>
    <w:rsid w:val="003E56F4"/>
    <w:rsid w:val="003E5B27"/>
    <w:rsid w:val="003F0E9E"/>
    <w:rsid w:val="003F1D85"/>
    <w:rsid w:val="003F2111"/>
    <w:rsid w:val="003F5FDA"/>
    <w:rsid w:val="003F6F2D"/>
    <w:rsid w:val="003F7B5F"/>
    <w:rsid w:val="00400445"/>
    <w:rsid w:val="00400641"/>
    <w:rsid w:val="00401DCA"/>
    <w:rsid w:val="00403772"/>
    <w:rsid w:val="00403B0A"/>
    <w:rsid w:val="00405076"/>
    <w:rsid w:val="004066C0"/>
    <w:rsid w:val="00410512"/>
    <w:rsid w:val="0041275E"/>
    <w:rsid w:val="00414972"/>
    <w:rsid w:val="004179D0"/>
    <w:rsid w:val="004201EE"/>
    <w:rsid w:val="0042532C"/>
    <w:rsid w:val="0042574A"/>
    <w:rsid w:val="00425AB6"/>
    <w:rsid w:val="00425FB6"/>
    <w:rsid w:val="004309B4"/>
    <w:rsid w:val="00430E0F"/>
    <w:rsid w:val="00432F5E"/>
    <w:rsid w:val="00434F90"/>
    <w:rsid w:val="004362A2"/>
    <w:rsid w:val="0044030A"/>
    <w:rsid w:val="0044416C"/>
    <w:rsid w:val="004444BB"/>
    <w:rsid w:val="004448C8"/>
    <w:rsid w:val="00445737"/>
    <w:rsid w:val="0044645D"/>
    <w:rsid w:val="00446EE0"/>
    <w:rsid w:val="004471AB"/>
    <w:rsid w:val="00447756"/>
    <w:rsid w:val="004529F0"/>
    <w:rsid w:val="00452C01"/>
    <w:rsid w:val="004551EE"/>
    <w:rsid w:val="00461D8E"/>
    <w:rsid w:val="00462033"/>
    <w:rsid w:val="00462677"/>
    <w:rsid w:val="00464F60"/>
    <w:rsid w:val="004707F0"/>
    <w:rsid w:val="00473A7E"/>
    <w:rsid w:val="00475A84"/>
    <w:rsid w:val="00475F4D"/>
    <w:rsid w:val="00477AB0"/>
    <w:rsid w:val="00477F47"/>
    <w:rsid w:val="00481D7C"/>
    <w:rsid w:val="00483939"/>
    <w:rsid w:val="0048467F"/>
    <w:rsid w:val="00485893"/>
    <w:rsid w:val="00490AAD"/>
    <w:rsid w:val="0049171D"/>
    <w:rsid w:val="00491DB8"/>
    <w:rsid w:val="0049442A"/>
    <w:rsid w:val="00494F90"/>
    <w:rsid w:val="004976CF"/>
    <w:rsid w:val="004A1873"/>
    <w:rsid w:val="004A1F0B"/>
    <w:rsid w:val="004A3849"/>
    <w:rsid w:val="004A47F1"/>
    <w:rsid w:val="004A4B12"/>
    <w:rsid w:val="004B0270"/>
    <w:rsid w:val="004B0316"/>
    <w:rsid w:val="004B0430"/>
    <w:rsid w:val="004B0A98"/>
    <w:rsid w:val="004B348A"/>
    <w:rsid w:val="004B3B51"/>
    <w:rsid w:val="004B3F62"/>
    <w:rsid w:val="004B4845"/>
    <w:rsid w:val="004B58F3"/>
    <w:rsid w:val="004B6EAA"/>
    <w:rsid w:val="004C06F3"/>
    <w:rsid w:val="004C0F37"/>
    <w:rsid w:val="004C13E0"/>
    <w:rsid w:val="004C3400"/>
    <w:rsid w:val="004C3B38"/>
    <w:rsid w:val="004C3E54"/>
    <w:rsid w:val="004C4159"/>
    <w:rsid w:val="004C4709"/>
    <w:rsid w:val="004C47A0"/>
    <w:rsid w:val="004C6C37"/>
    <w:rsid w:val="004D2ECF"/>
    <w:rsid w:val="004D3034"/>
    <w:rsid w:val="004D37C0"/>
    <w:rsid w:val="004D473C"/>
    <w:rsid w:val="004D5726"/>
    <w:rsid w:val="004D6379"/>
    <w:rsid w:val="004D7E72"/>
    <w:rsid w:val="004E2EE5"/>
    <w:rsid w:val="004E357F"/>
    <w:rsid w:val="004E53F9"/>
    <w:rsid w:val="004E5634"/>
    <w:rsid w:val="004E602C"/>
    <w:rsid w:val="004F008F"/>
    <w:rsid w:val="004F387A"/>
    <w:rsid w:val="004F3D86"/>
    <w:rsid w:val="004F4826"/>
    <w:rsid w:val="004F4A6B"/>
    <w:rsid w:val="004F56F5"/>
    <w:rsid w:val="004F6671"/>
    <w:rsid w:val="004F7774"/>
    <w:rsid w:val="00500957"/>
    <w:rsid w:val="00500AC6"/>
    <w:rsid w:val="005010B0"/>
    <w:rsid w:val="00501986"/>
    <w:rsid w:val="00501A1B"/>
    <w:rsid w:val="00501D2A"/>
    <w:rsid w:val="00502B76"/>
    <w:rsid w:val="005052EB"/>
    <w:rsid w:val="0050613E"/>
    <w:rsid w:val="00506665"/>
    <w:rsid w:val="0050777A"/>
    <w:rsid w:val="00507C7A"/>
    <w:rsid w:val="00511D1A"/>
    <w:rsid w:val="005126D3"/>
    <w:rsid w:val="0051429F"/>
    <w:rsid w:val="00516DD7"/>
    <w:rsid w:val="00517F6F"/>
    <w:rsid w:val="00521A43"/>
    <w:rsid w:val="0052279F"/>
    <w:rsid w:val="00523E6E"/>
    <w:rsid w:val="00525CC8"/>
    <w:rsid w:val="00526798"/>
    <w:rsid w:val="00526D4D"/>
    <w:rsid w:val="005275E3"/>
    <w:rsid w:val="00527A9F"/>
    <w:rsid w:val="00527E8B"/>
    <w:rsid w:val="005314A8"/>
    <w:rsid w:val="0053267F"/>
    <w:rsid w:val="00533112"/>
    <w:rsid w:val="00534462"/>
    <w:rsid w:val="00536452"/>
    <w:rsid w:val="0053743E"/>
    <w:rsid w:val="00537FAF"/>
    <w:rsid w:val="00543371"/>
    <w:rsid w:val="00547214"/>
    <w:rsid w:val="00550701"/>
    <w:rsid w:val="005507E6"/>
    <w:rsid w:val="00550CD4"/>
    <w:rsid w:val="0055115F"/>
    <w:rsid w:val="005513A7"/>
    <w:rsid w:val="00552E40"/>
    <w:rsid w:val="00554CE7"/>
    <w:rsid w:val="00555632"/>
    <w:rsid w:val="00555B0D"/>
    <w:rsid w:val="00555F05"/>
    <w:rsid w:val="00556497"/>
    <w:rsid w:val="00560545"/>
    <w:rsid w:val="00561BA6"/>
    <w:rsid w:val="00561D7A"/>
    <w:rsid w:val="00563476"/>
    <w:rsid w:val="00563A92"/>
    <w:rsid w:val="00564CCC"/>
    <w:rsid w:val="00565FC8"/>
    <w:rsid w:val="00572835"/>
    <w:rsid w:val="005745E6"/>
    <w:rsid w:val="00574BA5"/>
    <w:rsid w:val="00575723"/>
    <w:rsid w:val="0057592F"/>
    <w:rsid w:val="00582F79"/>
    <w:rsid w:val="00583B57"/>
    <w:rsid w:val="00590337"/>
    <w:rsid w:val="0059044A"/>
    <w:rsid w:val="005907E2"/>
    <w:rsid w:val="00590DA6"/>
    <w:rsid w:val="00591A46"/>
    <w:rsid w:val="00591EB6"/>
    <w:rsid w:val="00592761"/>
    <w:rsid w:val="005950BF"/>
    <w:rsid w:val="00596DFB"/>
    <w:rsid w:val="005A056A"/>
    <w:rsid w:val="005A13B3"/>
    <w:rsid w:val="005A2DA5"/>
    <w:rsid w:val="005A5C87"/>
    <w:rsid w:val="005A66C4"/>
    <w:rsid w:val="005A696B"/>
    <w:rsid w:val="005B0537"/>
    <w:rsid w:val="005B2B63"/>
    <w:rsid w:val="005B3E7C"/>
    <w:rsid w:val="005B415B"/>
    <w:rsid w:val="005B59D9"/>
    <w:rsid w:val="005B6968"/>
    <w:rsid w:val="005C2E87"/>
    <w:rsid w:val="005C3387"/>
    <w:rsid w:val="005C55E8"/>
    <w:rsid w:val="005C79CD"/>
    <w:rsid w:val="005D033E"/>
    <w:rsid w:val="005D04C4"/>
    <w:rsid w:val="005D0534"/>
    <w:rsid w:val="005D0C2E"/>
    <w:rsid w:val="005D24CC"/>
    <w:rsid w:val="005D31EC"/>
    <w:rsid w:val="005D36E3"/>
    <w:rsid w:val="005D48DA"/>
    <w:rsid w:val="005D51D2"/>
    <w:rsid w:val="005D6731"/>
    <w:rsid w:val="005E0156"/>
    <w:rsid w:val="005E0315"/>
    <w:rsid w:val="005E1CFE"/>
    <w:rsid w:val="005E1D7C"/>
    <w:rsid w:val="005E1E28"/>
    <w:rsid w:val="005E2AD3"/>
    <w:rsid w:val="005E3BDE"/>
    <w:rsid w:val="005E4496"/>
    <w:rsid w:val="005E5758"/>
    <w:rsid w:val="005F032E"/>
    <w:rsid w:val="005F058D"/>
    <w:rsid w:val="005F2B29"/>
    <w:rsid w:val="005F4892"/>
    <w:rsid w:val="005F4D62"/>
    <w:rsid w:val="005F5AAF"/>
    <w:rsid w:val="005F70AF"/>
    <w:rsid w:val="0060004F"/>
    <w:rsid w:val="00601DBB"/>
    <w:rsid w:val="00602B95"/>
    <w:rsid w:val="0060531B"/>
    <w:rsid w:val="0060538F"/>
    <w:rsid w:val="006079A1"/>
    <w:rsid w:val="00607AE9"/>
    <w:rsid w:val="00613358"/>
    <w:rsid w:val="00613E5F"/>
    <w:rsid w:val="00614033"/>
    <w:rsid w:val="00622AE3"/>
    <w:rsid w:val="00626A4C"/>
    <w:rsid w:val="00631C12"/>
    <w:rsid w:val="00631D75"/>
    <w:rsid w:val="00633469"/>
    <w:rsid w:val="006340D7"/>
    <w:rsid w:val="00642A8A"/>
    <w:rsid w:val="006433EE"/>
    <w:rsid w:val="006434F8"/>
    <w:rsid w:val="00645C43"/>
    <w:rsid w:val="00645CA9"/>
    <w:rsid w:val="00646322"/>
    <w:rsid w:val="006467A4"/>
    <w:rsid w:val="00647616"/>
    <w:rsid w:val="00647BF5"/>
    <w:rsid w:val="00650393"/>
    <w:rsid w:val="00650CCD"/>
    <w:rsid w:val="00653404"/>
    <w:rsid w:val="00654E5C"/>
    <w:rsid w:val="00655036"/>
    <w:rsid w:val="00655143"/>
    <w:rsid w:val="00662AA0"/>
    <w:rsid w:val="00663BBD"/>
    <w:rsid w:val="00663E9A"/>
    <w:rsid w:val="006648BF"/>
    <w:rsid w:val="00664C93"/>
    <w:rsid w:val="00666E30"/>
    <w:rsid w:val="00666F19"/>
    <w:rsid w:val="006701C5"/>
    <w:rsid w:val="006710BC"/>
    <w:rsid w:val="00673445"/>
    <w:rsid w:val="00673CC4"/>
    <w:rsid w:val="00673FE4"/>
    <w:rsid w:val="0067654F"/>
    <w:rsid w:val="00677650"/>
    <w:rsid w:val="00677C93"/>
    <w:rsid w:val="006800D8"/>
    <w:rsid w:val="00680E27"/>
    <w:rsid w:val="00683592"/>
    <w:rsid w:val="00683CC9"/>
    <w:rsid w:val="00684E46"/>
    <w:rsid w:val="0068754A"/>
    <w:rsid w:val="006915A4"/>
    <w:rsid w:val="00691A55"/>
    <w:rsid w:val="00693F51"/>
    <w:rsid w:val="006940C5"/>
    <w:rsid w:val="006942C3"/>
    <w:rsid w:val="006947A1"/>
    <w:rsid w:val="00696C40"/>
    <w:rsid w:val="00696FA0"/>
    <w:rsid w:val="00697463"/>
    <w:rsid w:val="006A16B9"/>
    <w:rsid w:val="006A24AD"/>
    <w:rsid w:val="006A2EFB"/>
    <w:rsid w:val="006A38B8"/>
    <w:rsid w:val="006A426D"/>
    <w:rsid w:val="006A671A"/>
    <w:rsid w:val="006A6B7D"/>
    <w:rsid w:val="006B1061"/>
    <w:rsid w:val="006B1B38"/>
    <w:rsid w:val="006B367B"/>
    <w:rsid w:val="006B4F81"/>
    <w:rsid w:val="006B67B6"/>
    <w:rsid w:val="006B6B51"/>
    <w:rsid w:val="006C0F0E"/>
    <w:rsid w:val="006C4EF2"/>
    <w:rsid w:val="006C6874"/>
    <w:rsid w:val="006C757A"/>
    <w:rsid w:val="006C75BD"/>
    <w:rsid w:val="006D0825"/>
    <w:rsid w:val="006D38B9"/>
    <w:rsid w:val="006D3A0B"/>
    <w:rsid w:val="006D3B69"/>
    <w:rsid w:val="006D45AA"/>
    <w:rsid w:val="006D491D"/>
    <w:rsid w:val="006D4DE7"/>
    <w:rsid w:val="006D5454"/>
    <w:rsid w:val="006D6B17"/>
    <w:rsid w:val="006D76AD"/>
    <w:rsid w:val="006E0C00"/>
    <w:rsid w:val="006E2CE6"/>
    <w:rsid w:val="006E30BD"/>
    <w:rsid w:val="006E363E"/>
    <w:rsid w:val="006E373D"/>
    <w:rsid w:val="006E3A06"/>
    <w:rsid w:val="006E3CBC"/>
    <w:rsid w:val="006E5081"/>
    <w:rsid w:val="006E6462"/>
    <w:rsid w:val="006E7558"/>
    <w:rsid w:val="006F69AC"/>
    <w:rsid w:val="006F6E3D"/>
    <w:rsid w:val="00700F30"/>
    <w:rsid w:val="0070125B"/>
    <w:rsid w:val="00703C96"/>
    <w:rsid w:val="00704497"/>
    <w:rsid w:val="00704B1D"/>
    <w:rsid w:val="00705B24"/>
    <w:rsid w:val="00707221"/>
    <w:rsid w:val="00710EA3"/>
    <w:rsid w:val="0071108C"/>
    <w:rsid w:val="007116F2"/>
    <w:rsid w:val="007144E3"/>
    <w:rsid w:val="007151BA"/>
    <w:rsid w:val="00717046"/>
    <w:rsid w:val="00717E7D"/>
    <w:rsid w:val="00722FB6"/>
    <w:rsid w:val="00724E3B"/>
    <w:rsid w:val="00725058"/>
    <w:rsid w:val="0072775C"/>
    <w:rsid w:val="00727A97"/>
    <w:rsid w:val="00731C32"/>
    <w:rsid w:val="00734856"/>
    <w:rsid w:val="0073542E"/>
    <w:rsid w:val="007400B5"/>
    <w:rsid w:val="00740342"/>
    <w:rsid w:val="007412F4"/>
    <w:rsid w:val="00743F9C"/>
    <w:rsid w:val="0074449B"/>
    <w:rsid w:val="007444B3"/>
    <w:rsid w:val="00746598"/>
    <w:rsid w:val="00746609"/>
    <w:rsid w:val="00747BC0"/>
    <w:rsid w:val="00747C21"/>
    <w:rsid w:val="00751B20"/>
    <w:rsid w:val="007527C1"/>
    <w:rsid w:val="00753A0D"/>
    <w:rsid w:val="00754742"/>
    <w:rsid w:val="007575B6"/>
    <w:rsid w:val="00760DC5"/>
    <w:rsid w:val="00761884"/>
    <w:rsid w:val="007619DC"/>
    <w:rsid w:val="0076458B"/>
    <w:rsid w:val="00764C4A"/>
    <w:rsid w:val="00765D91"/>
    <w:rsid w:val="00766DDD"/>
    <w:rsid w:val="0077141A"/>
    <w:rsid w:val="00771A14"/>
    <w:rsid w:val="00773725"/>
    <w:rsid w:val="0077404E"/>
    <w:rsid w:val="0077537C"/>
    <w:rsid w:val="00775C8C"/>
    <w:rsid w:val="00775E33"/>
    <w:rsid w:val="007761D1"/>
    <w:rsid w:val="0077676C"/>
    <w:rsid w:val="007767D3"/>
    <w:rsid w:val="00776985"/>
    <w:rsid w:val="007806F9"/>
    <w:rsid w:val="00783C33"/>
    <w:rsid w:val="0078728D"/>
    <w:rsid w:val="0079139B"/>
    <w:rsid w:val="007913AC"/>
    <w:rsid w:val="00793C7C"/>
    <w:rsid w:val="00794B25"/>
    <w:rsid w:val="00794E59"/>
    <w:rsid w:val="00795A8E"/>
    <w:rsid w:val="00795C93"/>
    <w:rsid w:val="0079664F"/>
    <w:rsid w:val="00797327"/>
    <w:rsid w:val="007A092A"/>
    <w:rsid w:val="007A2B08"/>
    <w:rsid w:val="007A325E"/>
    <w:rsid w:val="007A3B67"/>
    <w:rsid w:val="007A46BC"/>
    <w:rsid w:val="007A4710"/>
    <w:rsid w:val="007A6315"/>
    <w:rsid w:val="007B03E6"/>
    <w:rsid w:val="007B09A0"/>
    <w:rsid w:val="007B307D"/>
    <w:rsid w:val="007B3AFD"/>
    <w:rsid w:val="007B50AA"/>
    <w:rsid w:val="007C0D61"/>
    <w:rsid w:val="007C114F"/>
    <w:rsid w:val="007C1F9A"/>
    <w:rsid w:val="007C2189"/>
    <w:rsid w:val="007C295B"/>
    <w:rsid w:val="007C3F31"/>
    <w:rsid w:val="007C56DE"/>
    <w:rsid w:val="007D0528"/>
    <w:rsid w:val="007D0561"/>
    <w:rsid w:val="007D2721"/>
    <w:rsid w:val="007D2D30"/>
    <w:rsid w:val="007D4185"/>
    <w:rsid w:val="007D47C6"/>
    <w:rsid w:val="007D529E"/>
    <w:rsid w:val="007D5D1D"/>
    <w:rsid w:val="007D5F03"/>
    <w:rsid w:val="007D6242"/>
    <w:rsid w:val="007D664C"/>
    <w:rsid w:val="007D7C96"/>
    <w:rsid w:val="007E015B"/>
    <w:rsid w:val="007E03F7"/>
    <w:rsid w:val="007E18D8"/>
    <w:rsid w:val="007E1BBA"/>
    <w:rsid w:val="007E3979"/>
    <w:rsid w:val="007E415F"/>
    <w:rsid w:val="007E4552"/>
    <w:rsid w:val="007E6284"/>
    <w:rsid w:val="007E6D3D"/>
    <w:rsid w:val="007E7C12"/>
    <w:rsid w:val="007F45DC"/>
    <w:rsid w:val="007F6BCB"/>
    <w:rsid w:val="007F6D95"/>
    <w:rsid w:val="007F729A"/>
    <w:rsid w:val="0080087A"/>
    <w:rsid w:val="00804E6E"/>
    <w:rsid w:val="00811E0C"/>
    <w:rsid w:val="0081206A"/>
    <w:rsid w:val="0081501A"/>
    <w:rsid w:val="00821691"/>
    <w:rsid w:val="008216CE"/>
    <w:rsid w:val="008224E7"/>
    <w:rsid w:val="0082282B"/>
    <w:rsid w:val="00826A20"/>
    <w:rsid w:val="00826C97"/>
    <w:rsid w:val="008276FF"/>
    <w:rsid w:val="00830FF4"/>
    <w:rsid w:val="008369B4"/>
    <w:rsid w:val="00840CC1"/>
    <w:rsid w:val="008415D9"/>
    <w:rsid w:val="00842EE2"/>
    <w:rsid w:val="00843486"/>
    <w:rsid w:val="00844405"/>
    <w:rsid w:val="00844E4A"/>
    <w:rsid w:val="00847D64"/>
    <w:rsid w:val="00855F2D"/>
    <w:rsid w:val="00857B33"/>
    <w:rsid w:val="0086046A"/>
    <w:rsid w:val="00860A45"/>
    <w:rsid w:val="008636A5"/>
    <w:rsid w:val="00863CF2"/>
    <w:rsid w:val="00863E33"/>
    <w:rsid w:val="008644B4"/>
    <w:rsid w:val="00864B50"/>
    <w:rsid w:val="00864F43"/>
    <w:rsid w:val="00865532"/>
    <w:rsid w:val="00865667"/>
    <w:rsid w:val="00865B0F"/>
    <w:rsid w:val="00866586"/>
    <w:rsid w:val="00873754"/>
    <w:rsid w:val="00873E8D"/>
    <w:rsid w:val="00875577"/>
    <w:rsid w:val="00876446"/>
    <w:rsid w:val="00877A0E"/>
    <w:rsid w:val="00877F87"/>
    <w:rsid w:val="008817B8"/>
    <w:rsid w:val="00884416"/>
    <w:rsid w:val="008844B0"/>
    <w:rsid w:val="008857F1"/>
    <w:rsid w:val="0089321D"/>
    <w:rsid w:val="00893289"/>
    <w:rsid w:val="008932C2"/>
    <w:rsid w:val="008956CE"/>
    <w:rsid w:val="00895762"/>
    <w:rsid w:val="00895FC4"/>
    <w:rsid w:val="008A1D36"/>
    <w:rsid w:val="008A3F11"/>
    <w:rsid w:val="008A5018"/>
    <w:rsid w:val="008A7C73"/>
    <w:rsid w:val="008B09C8"/>
    <w:rsid w:val="008B26D7"/>
    <w:rsid w:val="008B5D88"/>
    <w:rsid w:val="008B6FAA"/>
    <w:rsid w:val="008C080E"/>
    <w:rsid w:val="008C1955"/>
    <w:rsid w:val="008C1EE7"/>
    <w:rsid w:val="008C27C5"/>
    <w:rsid w:val="008C3456"/>
    <w:rsid w:val="008C3F28"/>
    <w:rsid w:val="008C4012"/>
    <w:rsid w:val="008C4920"/>
    <w:rsid w:val="008C532A"/>
    <w:rsid w:val="008C5378"/>
    <w:rsid w:val="008C6431"/>
    <w:rsid w:val="008C64D2"/>
    <w:rsid w:val="008D09AE"/>
    <w:rsid w:val="008D2FD5"/>
    <w:rsid w:val="008D4D2E"/>
    <w:rsid w:val="008D5CFF"/>
    <w:rsid w:val="008D6FF8"/>
    <w:rsid w:val="008D775A"/>
    <w:rsid w:val="008D7943"/>
    <w:rsid w:val="008D7B22"/>
    <w:rsid w:val="008E13C0"/>
    <w:rsid w:val="008E1CCC"/>
    <w:rsid w:val="008E27FA"/>
    <w:rsid w:val="008E3AAB"/>
    <w:rsid w:val="008E4510"/>
    <w:rsid w:val="008E7086"/>
    <w:rsid w:val="008E71C7"/>
    <w:rsid w:val="008F03B0"/>
    <w:rsid w:val="008F042F"/>
    <w:rsid w:val="008F1BE1"/>
    <w:rsid w:val="008F4D30"/>
    <w:rsid w:val="008F6253"/>
    <w:rsid w:val="00901B90"/>
    <w:rsid w:val="00902EC2"/>
    <w:rsid w:val="00906075"/>
    <w:rsid w:val="009067C1"/>
    <w:rsid w:val="009069A5"/>
    <w:rsid w:val="00910F1D"/>
    <w:rsid w:val="00912B7E"/>
    <w:rsid w:val="009134C6"/>
    <w:rsid w:val="009143C1"/>
    <w:rsid w:val="00915A97"/>
    <w:rsid w:val="00917465"/>
    <w:rsid w:val="0092006A"/>
    <w:rsid w:val="00921966"/>
    <w:rsid w:val="00922327"/>
    <w:rsid w:val="00924BF5"/>
    <w:rsid w:val="009251C0"/>
    <w:rsid w:val="0092564D"/>
    <w:rsid w:val="00925AB8"/>
    <w:rsid w:val="009273F7"/>
    <w:rsid w:val="00927FA1"/>
    <w:rsid w:val="00930EB2"/>
    <w:rsid w:val="00932D5D"/>
    <w:rsid w:val="00932EE3"/>
    <w:rsid w:val="00933ABA"/>
    <w:rsid w:val="009346DF"/>
    <w:rsid w:val="0093546D"/>
    <w:rsid w:val="0093564B"/>
    <w:rsid w:val="00935CAD"/>
    <w:rsid w:val="00935ED2"/>
    <w:rsid w:val="00940E1F"/>
    <w:rsid w:val="00941037"/>
    <w:rsid w:val="00941193"/>
    <w:rsid w:val="00941C8B"/>
    <w:rsid w:val="009438FC"/>
    <w:rsid w:val="00943B5D"/>
    <w:rsid w:val="00943B7F"/>
    <w:rsid w:val="00944092"/>
    <w:rsid w:val="00944DE7"/>
    <w:rsid w:val="00945EC7"/>
    <w:rsid w:val="009463BF"/>
    <w:rsid w:val="009464D0"/>
    <w:rsid w:val="00946F5A"/>
    <w:rsid w:val="00946F96"/>
    <w:rsid w:val="00950198"/>
    <w:rsid w:val="009510E1"/>
    <w:rsid w:val="00951629"/>
    <w:rsid w:val="00954C20"/>
    <w:rsid w:val="00954C3F"/>
    <w:rsid w:val="00957F44"/>
    <w:rsid w:val="00960361"/>
    <w:rsid w:val="00960672"/>
    <w:rsid w:val="00960F87"/>
    <w:rsid w:val="0096113B"/>
    <w:rsid w:val="00963032"/>
    <w:rsid w:val="009633CC"/>
    <w:rsid w:val="00964CB5"/>
    <w:rsid w:val="009650AC"/>
    <w:rsid w:val="0096737F"/>
    <w:rsid w:val="00967FD0"/>
    <w:rsid w:val="0097015D"/>
    <w:rsid w:val="009712C0"/>
    <w:rsid w:val="00973213"/>
    <w:rsid w:val="009734D8"/>
    <w:rsid w:val="00973630"/>
    <w:rsid w:val="0097755A"/>
    <w:rsid w:val="0098055C"/>
    <w:rsid w:val="00981713"/>
    <w:rsid w:val="0098181A"/>
    <w:rsid w:val="009833F1"/>
    <w:rsid w:val="00983751"/>
    <w:rsid w:val="009838CD"/>
    <w:rsid w:val="0098586E"/>
    <w:rsid w:val="0098610D"/>
    <w:rsid w:val="00987E3C"/>
    <w:rsid w:val="0099462F"/>
    <w:rsid w:val="00996679"/>
    <w:rsid w:val="009A094F"/>
    <w:rsid w:val="009A1215"/>
    <w:rsid w:val="009A1903"/>
    <w:rsid w:val="009A3FAA"/>
    <w:rsid w:val="009A4F95"/>
    <w:rsid w:val="009A6380"/>
    <w:rsid w:val="009A6776"/>
    <w:rsid w:val="009A6943"/>
    <w:rsid w:val="009A6987"/>
    <w:rsid w:val="009A74C7"/>
    <w:rsid w:val="009B0638"/>
    <w:rsid w:val="009B0E15"/>
    <w:rsid w:val="009B1881"/>
    <w:rsid w:val="009B1978"/>
    <w:rsid w:val="009B71F7"/>
    <w:rsid w:val="009B72F8"/>
    <w:rsid w:val="009B7B1D"/>
    <w:rsid w:val="009C0678"/>
    <w:rsid w:val="009C14C9"/>
    <w:rsid w:val="009C1569"/>
    <w:rsid w:val="009C1FF4"/>
    <w:rsid w:val="009C3153"/>
    <w:rsid w:val="009C4A05"/>
    <w:rsid w:val="009C5B54"/>
    <w:rsid w:val="009C5BDA"/>
    <w:rsid w:val="009C5E68"/>
    <w:rsid w:val="009C63A4"/>
    <w:rsid w:val="009C663C"/>
    <w:rsid w:val="009C69A2"/>
    <w:rsid w:val="009C6D93"/>
    <w:rsid w:val="009D3415"/>
    <w:rsid w:val="009D3E06"/>
    <w:rsid w:val="009D50ED"/>
    <w:rsid w:val="009D5494"/>
    <w:rsid w:val="009D5CB4"/>
    <w:rsid w:val="009D5F51"/>
    <w:rsid w:val="009E14E7"/>
    <w:rsid w:val="009E493B"/>
    <w:rsid w:val="009E6457"/>
    <w:rsid w:val="009E79A9"/>
    <w:rsid w:val="009E7D3C"/>
    <w:rsid w:val="009E7ECE"/>
    <w:rsid w:val="009F01FB"/>
    <w:rsid w:val="009F140E"/>
    <w:rsid w:val="009F1427"/>
    <w:rsid w:val="009F191F"/>
    <w:rsid w:val="009F1BFE"/>
    <w:rsid w:val="009F2C7A"/>
    <w:rsid w:val="009F32B1"/>
    <w:rsid w:val="009F4B54"/>
    <w:rsid w:val="009F4CEB"/>
    <w:rsid w:val="009F634B"/>
    <w:rsid w:val="009F6D12"/>
    <w:rsid w:val="00A0062A"/>
    <w:rsid w:val="00A00943"/>
    <w:rsid w:val="00A00A42"/>
    <w:rsid w:val="00A00BD6"/>
    <w:rsid w:val="00A00C81"/>
    <w:rsid w:val="00A00FA9"/>
    <w:rsid w:val="00A01BCB"/>
    <w:rsid w:val="00A02ED9"/>
    <w:rsid w:val="00A02FB6"/>
    <w:rsid w:val="00A06E10"/>
    <w:rsid w:val="00A07116"/>
    <w:rsid w:val="00A07D76"/>
    <w:rsid w:val="00A10F93"/>
    <w:rsid w:val="00A11164"/>
    <w:rsid w:val="00A111CF"/>
    <w:rsid w:val="00A11287"/>
    <w:rsid w:val="00A115D9"/>
    <w:rsid w:val="00A11A78"/>
    <w:rsid w:val="00A13FF9"/>
    <w:rsid w:val="00A14ACB"/>
    <w:rsid w:val="00A15D71"/>
    <w:rsid w:val="00A16250"/>
    <w:rsid w:val="00A1633F"/>
    <w:rsid w:val="00A16A53"/>
    <w:rsid w:val="00A16BED"/>
    <w:rsid w:val="00A216B2"/>
    <w:rsid w:val="00A22F13"/>
    <w:rsid w:val="00A25CAE"/>
    <w:rsid w:val="00A2756B"/>
    <w:rsid w:val="00A27646"/>
    <w:rsid w:val="00A31E45"/>
    <w:rsid w:val="00A322A7"/>
    <w:rsid w:val="00A331BB"/>
    <w:rsid w:val="00A34E14"/>
    <w:rsid w:val="00A36511"/>
    <w:rsid w:val="00A36B7B"/>
    <w:rsid w:val="00A37963"/>
    <w:rsid w:val="00A40689"/>
    <w:rsid w:val="00A412C2"/>
    <w:rsid w:val="00A41738"/>
    <w:rsid w:val="00A41847"/>
    <w:rsid w:val="00A41BCC"/>
    <w:rsid w:val="00A427B8"/>
    <w:rsid w:val="00A4451B"/>
    <w:rsid w:val="00A45525"/>
    <w:rsid w:val="00A46A18"/>
    <w:rsid w:val="00A46CF8"/>
    <w:rsid w:val="00A503A4"/>
    <w:rsid w:val="00A51305"/>
    <w:rsid w:val="00A53229"/>
    <w:rsid w:val="00A54A71"/>
    <w:rsid w:val="00A55104"/>
    <w:rsid w:val="00A5520B"/>
    <w:rsid w:val="00A55222"/>
    <w:rsid w:val="00A57E5F"/>
    <w:rsid w:val="00A606ED"/>
    <w:rsid w:val="00A622FD"/>
    <w:rsid w:val="00A62CB3"/>
    <w:rsid w:val="00A649E5"/>
    <w:rsid w:val="00A64B96"/>
    <w:rsid w:val="00A674AB"/>
    <w:rsid w:val="00A678C9"/>
    <w:rsid w:val="00A70231"/>
    <w:rsid w:val="00A70EB7"/>
    <w:rsid w:val="00A72EE1"/>
    <w:rsid w:val="00A73548"/>
    <w:rsid w:val="00A73AA8"/>
    <w:rsid w:val="00A7493D"/>
    <w:rsid w:val="00A76415"/>
    <w:rsid w:val="00A77658"/>
    <w:rsid w:val="00A77B52"/>
    <w:rsid w:val="00A819B7"/>
    <w:rsid w:val="00A839FF"/>
    <w:rsid w:val="00A8441E"/>
    <w:rsid w:val="00A84579"/>
    <w:rsid w:val="00A85C17"/>
    <w:rsid w:val="00A860FB"/>
    <w:rsid w:val="00A86C77"/>
    <w:rsid w:val="00A878A6"/>
    <w:rsid w:val="00A87E15"/>
    <w:rsid w:val="00A90FF2"/>
    <w:rsid w:val="00A93607"/>
    <w:rsid w:val="00A9542C"/>
    <w:rsid w:val="00A962E7"/>
    <w:rsid w:val="00AA044C"/>
    <w:rsid w:val="00AA0C4D"/>
    <w:rsid w:val="00AA0F28"/>
    <w:rsid w:val="00AA1493"/>
    <w:rsid w:val="00AA1E14"/>
    <w:rsid w:val="00AA22BB"/>
    <w:rsid w:val="00AA360B"/>
    <w:rsid w:val="00AA4240"/>
    <w:rsid w:val="00AA5537"/>
    <w:rsid w:val="00AA601C"/>
    <w:rsid w:val="00AA7326"/>
    <w:rsid w:val="00AB0D69"/>
    <w:rsid w:val="00AB2E0C"/>
    <w:rsid w:val="00AB58E3"/>
    <w:rsid w:val="00AB62CD"/>
    <w:rsid w:val="00AB755C"/>
    <w:rsid w:val="00AC1411"/>
    <w:rsid w:val="00AC21FB"/>
    <w:rsid w:val="00AC5C4A"/>
    <w:rsid w:val="00AC629D"/>
    <w:rsid w:val="00AC7227"/>
    <w:rsid w:val="00AD04E5"/>
    <w:rsid w:val="00AD0D9B"/>
    <w:rsid w:val="00AD3341"/>
    <w:rsid w:val="00AD46AC"/>
    <w:rsid w:val="00AD4ACA"/>
    <w:rsid w:val="00AD6A0B"/>
    <w:rsid w:val="00AD6B6D"/>
    <w:rsid w:val="00AD7DFF"/>
    <w:rsid w:val="00AE0ED5"/>
    <w:rsid w:val="00AE1AA2"/>
    <w:rsid w:val="00AE30B8"/>
    <w:rsid w:val="00AE3DED"/>
    <w:rsid w:val="00AE5250"/>
    <w:rsid w:val="00AE756F"/>
    <w:rsid w:val="00AF0CF1"/>
    <w:rsid w:val="00AF1341"/>
    <w:rsid w:val="00AF29D4"/>
    <w:rsid w:val="00AF42C3"/>
    <w:rsid w:val="00AF4D5E"/>
    <w:rsid w:val="00AF6F30"/>
    <w:rsid w:val="00B00581"/>
    <w:rsid w:val="00B00D4D"/>
    <w:rsid w:val="00B0351E"/>
    <w:rsid w:val="00B045C5"/>
    <w:rsid w:val="00B04963"/>
    <w:rsid w:val="00B05A06"/>
    <w:rsid w:val="00B06453"/>
    <w:rsid w:val="00B07699"/>
    <w:rsid w:val="00B114CD"/>
    <w:rsid w:val="00B13FE5"/>
    <w:rsid w:val="00B172D1"/>
    <w:rsid w:val="00B17881"/>
    <w:rsid w:val="00B20589"/>
    <w:rsid w:val="00B21D08"/>
    <w:rsid w:val="00B22CBD"/>
    <w:rsid w:val="00B23F83"/>
    <w:rsid w:val="00B2558C"/>
    <w:rsid w:val="00B25649"/>
    <w:rsid w:val="00B26408"/>
    <w:rsid w:val="00B30392"/>
    <w:rsid w:val="00B31C31"/>
    <w:rsid w:val="00B3301E"/>
    <w:rsid w:val="00B34BFC"/>
    <w:rsid w:val="00B3523A"/>
    <w:rsid w:val="00B35AB9"/>
    <w:rsid w:val="00B3736A"/>
    <w:rsid w:val="00B3756A"/>
    <w:rsid w:val="00B37658"/>
    <w:rsid w:val="00B41D11"/>
    <w:rsid w:val="00B4274A"/>
    <w:rsid w:val="00B42FC0"/>
    <w:rsid w:val="00B44332"/>
    <w:rsid w:val="00B44B9D"/>
    <w:rsid w:val="00B4579C"/>
    <w:rsid w:val="00B461CA"/>
    <w:rsid w:val="00B475CE"/>
    <w:rsid w:val="00B4788B"/>
    <w:rsid w:val="00B50099"/>
    <w:rsid w:val="00B50730"/>
    <w:rsid w:val="00B51DEE"/>
    <w:rsid w:val="00B53E60"/>
    <w:rsid w:val="00B53EA5"/>
    <w:rsid w:val="00B54ED3"/>
    <w:rsid w:val="00B55965"/>
    <w:rsid w:val="00B574F8"/>
    <w:rsid w:val="00B624C2"/>
    <w:rsid w:val="00B659C9"/>
    <w:rsid w:val="00B6607D"/>
    <w:rsid w:val="00B66888"/>
    <w:rsid w:val="00B67148"/>
    <w:rsid w:val="00B6758E"/>
    <w:rsid w:val="00B704AF"/>
    <w:rsid w:val="00B7076B"/>
    <w:rsid w:val="00B7094B"/>
    <w:rsid w:val="00B724C5"/>
    <w:rsid w:val="00B74425"/>
    <w:rsid w:val="00B753F7"/>
    <w:rsid w:val="00B75BA9"/>
    <w:rsid w:val="00B760A1"/>
    <w:rsid w:val="00B837B2"/>
    <w:rsid w:val="00B84E89"/>
    <w:rsid w:val="00B85319"/>
    <w:rsid w:val="00B86864"/>
    <w:rsid w:val="00B87DAC"/>
    <w:rsid w:val="00B915A1"/>
    <w:rsid w:val="00B93991"/>
    <w:rsid w:val="00B93D3C"/>
    <w:rsid w:val="00B95007"/>
    <w:rsid w:val="00B95081"/>
    <w:rsid w:val="00B96219"/>
    <w:rsid w:val="00B9678D"/>
    <w:rsid w:val="00B97BB4"/>
    <w:rsid w:val="00BA09DB"/>
    <w:rsid w:val="00BA0AF8"/>
    <w:rsid w:val="00BA23BF"/>
    <w:rsid w:val="00BA368F"/>
    <w:rsid w:val="00BA43C7"/>
    <w:rsid w:val="00BA5A91"/>
    <w:rsid w:val="00BA683A"/>
    <w:rsid w:val="00BA7914"/>
    <w:rsid w:val="00BB0C08"/>
    <w:rsid w:val="00BB18CA"/>
    <w:rsid w:val="00BB2077"/>
    <w:rsid w:val="00BB291D"/>
    <w:rsid w:val="00BB2D55"/>
    <w:rsid w:val="00BB4633"/>
    <w:rsid w:val="00BB665F"/>
    <w:rsid w:val="00BB75F7"/>
    <w:rsid w:val="00BC1024"/>
    <w:rsid w:val="00BC118F"/>
    <w:rsid w:val="00BC1A98"/>
    <w:rsid w:val="00BC1D1D"/>
    <w:rsid w:val="00BC52A2"/>
    <w:rsid w:val="00BC67E1"/>
    <w:rsid w:val="00BD0252"/>
    <w:rsid w:val="00BD0F97"/>
    <w:rsid w:val="00BD1312"/>
    <w:rsid w:val="00BD262A"/>
    <w:rsid w:val="00BD2B3D"/>
    <w:rsid w:val="00BD2B5F"/>
    <w:rsid w:val="00BD2EB8"/>
    <w:rsid w:val="00BD3F9D"/>
    <w:rsid w:val="00BD4605"/>
    <w:rsid w:val="00BD4A75"/>
    <w:rsid w:val="00BD4FB3"/>
    <w:rsid w:val="00BD6309"/>
    <w:rsid w:val="00BD6CDE"/>
    <w:rsid w:val="00BE0FAC"/>
    <w:rsid w:val="00BE2495"/>
    <w:rsid w:val="00BE2ED1"/>
    <w:rsid w:val="00BE36F1"/>
    <w:rsid w:val="00BE56BE"/>
    <w:rsid w:val="00BE6D8F"/>
    <w:rsid w:val="00BF01E2"/>
    <w:rsid w:val="00BF0A4F"/>
    <w:rsid w:val="00BF174F"/>
    <w:rsid w:val="00BF3C5C"/>
    <w:rsid w:val="00BF4DE6"/>
    <w:rsid w:val="00BF5B2D"/>
    <w:rsid w:val="00BF6127"/>
    <w:rsid w:val="00BF65C4"/>
    <w:rsid w:val="00BF7641"/>
    <w:rsid w:val="00BF7B64"/>
    <w:rsid w:val="00C002AD"/>
    <w:rsid w:val="00C0075D"/>
    <w:rsid w:val="00C0119E"/>
    <w:rsid w:val="00C03FC5"/>
    <w:rsid w:val="00C042B9"/>
    <w:rsid w:val="00C05B48"/>
    <w:rsid w:val="00C05E30"/>
    <w:rsid w:val="00C07945"/>
    <w:rsid w:val="00C137F7"/>
    <w:rsid w:val="00C15B97"/>
    <w:rsid w:val="00C16197"/>
    <w:rsid w:val="00C1680C"/>
    <w:rsid w:val="00C22924"/>
    <w:rsid w:val="00C229E6"/>
    <w:rsid w:val="00C22D99"/>
    <w:rsid w:val="00C24377"/>
    <w:rsid w:val="00C245A1"/>
    <w:rsid w:val="00C2468F"/>
    <w:rsid w:val="00C306C6"/>
    <w:rsid w:val="00C33A4B"/>
    <w:rsid w:val="00C33DB3"/>
    <w:rsid w:val="00C33DF2"/>
    <w:rsid w:val="00C3557D"/>
    <w:rsid w:val="00C35871"/>
    <w:rsid w:val="00C36F5D"/>
    <w:rsid w:val="00C44495"/>
    <w:rsid w:val="00C4461F"/>
    <w:rsid w:val="00C44D72"/>
    <w:rsid w:val="00C4537A"/>
    <w:rsid w:val="00C460B9"/>
    <w:rsid w:val="00C46FD8"/>
    <w:rsid w:val="00C47353"/>
    <w:rsid w:val="00C47A3D"/>
    <w:rsid w:val="00C47BFB"/>
    <w:rsid w:val="00C55C97"/>
    <w:rsid w:val="00C55FCB"/>
    <w:rsid w:val="00C568E1"/>
    <w:rsid w:val="00C568FD"/>
    <w:rsid w:val="00C57E6E"/>
    <w:rsid w:val="00C57FC4"/>
    <w:rsid w:val="00C607A9"/>
    <w:rsid w:val="00C61A81"/>
    <w:rsid w:val="00C62026"/>
    <w:rsid w:val="00C6268B"/>
    <w:rsid w:val="00C6492D"/>
    <w:rsid w:val="00C66733"/>
    <w:rsid w:val="00C70E8B"/>
    <w:rsid w:val="00C71328"/>
    <w:rsid w:val="00C71984"/>
    <w:rsid w:val="00C71F7D"/>
    <w:rsid w:val="00C73BCA"/>
    <w:rsid w:val="00C75335"/>
    <w:rsid w:val="00C75667"/>
    <w:rsid w:val="00C76227"/>
    <w:rsid w:val="00C76505"/>
    <w:rsid w:val="00C766C5"/>
    <w:rsid w:val="00C77005"/>
    <w:rsid w:val="00C770B6"/>
    <w:rsid w:val="00C829C0"/>
    <w:rsid w:val="00C85126"/>
    <w:rsid w:val="00C906DE"/>
    <w:rsid w:val="00C9117F"/>
    <w:rsid w:val="00C91C57"/>
    <w:rsid w:val="00C92BF6"/>
    <w:rsid w:val="00C935DE"/>
    <w:rsid w:val="00C94F98"/>
    <w:rsid w:val="00C95585"/>
    <w:rsid w:val="00CA20FB"/>
    <w:rsid w:val="00CA3CDC"/>
    <w:rsid w:val="00CA6DE5"/>
    <w:rsid w:val="00CB0458"/>
    <w:rsid w:val="00CB1551"/>
    <w:rsid w:val="00CB197E"/>
    <w:rsid w:val="00CB1D8D"/>
    <w:rsid w:val="00CB4BBD"/>
    <w:rsid w:val="00CB4D85"/>
    <w:rsid w:val="00CB56F5"/>
    <w:rsid w:val="00CC0A43"/>
    <w:rsid w:val="00CC0EB1"/>
    <w:rsid w:val="00CC24BA"/>
    <w:rsid w:val="00CC2776"/>
    <w:rsid w:val="00CC3D7D"/>
    <w:rsid w:val="00CC405D"/>
    <w:rsid w:val="00CC4AA4"/>
    <w:rsid w:val="00CC4C6F"/>
    <w:rsid w:val="00CC5039"/>
    <w:rsid w:val="00CC7B9F"/>
    <w:rsid w:val="00CC7E32"/>
    <w:rsid w:val="00CD2D1F"/>
    <w:rsid w:val="00CD7491"/>
    <w:rsid w:val="00CE1668"/>
    <w:rsid w:val="00CE29E7"/>
    <w:rsid w:val="00CE3888"/>
    <w:rsid w:val="00CE3FD3"/>
    <w:rsid w:val="00CE5C9B"/>
    <w:rsid w:val="00CE6647"/>
    <w:rsid w:val="00CE70E7"/>
    <w:rsid w:val="00CF4B35"/>
    <w:rsid w:val="00CF5D39"/>
    <w:rsid w:val="00CF7AA1"/>
    <w:rsid w:val="00D02FC9"/>
    <w:rsid w:val="00D05C9D"/>
    <w:rsid w:val="00D060E2"/>
    <w:rsid w:val="00D1128A"/>
    <w:rsid w:val="00D11EAC"/>
    <w:rsid w:val="00D126D8"/>
    <w:rsid w:val="00D12A29"/>
    <w:rsid w:val="00D161A0"/>
    <w:rsid w:val="00D17104"/>
    <w:rsid w:val="00D1777D"/>
    <w:rsid w:val="00D21747"/>
    <w:rsid w:val="00D252F3"/>
    <w:rsid w:val="00D27907"/>
    <w:rsid w:val="00D300FA"/>
    <w:rsid w:val="00D328B4"/>
    <w:rsid w:val="00D32C46"/>
    <w:rsid w:val="00D32DD6"/>
    <w:rsid w:val="00D34092"/>
    <w:rsid w:val="00D3416A"/>
    <w:rsid w:val="00D345CF"/>
    <w:rsid w:val="00D363B6"/>
    <w:rsid w:val="00D36A99"/>
    <w:rsid w:val="00D36AFD"/>
    <w:rsid w:val="00D36CB2"/>
    <w:rsid w:val="00D4088F"/>
    <w:rsid w:val="00D4138E"/>
    <w:rsid w:val="00D41CA6"/>
    <w:rsid w:val="00D43C77"/>
    <w:rsid w:val="00D43FA8"/>
    <w:rsid w:val="00D472D2"/>
    <w:rsid w:val="00D503C4"/>
    <w:rsid w:val="00D537A6"/>
    <w:rsid w:val="00D563FE"/>
    <w:rsid w:val="00D603D6"/>
    <w:rsid w:val="00D60629"/>
    <w:rsid w:val="00D633E1"/>
    <w:rsid w:val="00D63DC4"/>
    <w:rsid w:val="00D64FED"/>
    <w:rsid w:val="00D6561D"/>
    <w:rsid w:val="00D65F1E"/>
    <w:rsid w:val="00D6767A"/>
    <w:rsid w:val="00D70110"/>
    <w:rsid w:val="00D706A2"/>
    <w:rsid w:val="00D70F67"/>
    <w:rsid w:val="00D720C8"/>
    <w:rsid w:val="00D72677"/>
    <w:rsid w:val="00D7392D"/>
    <w:rsid w:val="00D756B6"/>
    <w:rsid w:val="00D76097"/>
    <w:rsid w:val="00D76620"/>
    <w:rsid w:val="00D76E5E"/>
    <w:rsid w:val="00D7718C"/>
    <w:rsid w:val="00D80DBB"/>
    <w:rsid w:val="00D811B6"/>
    <w:rsid w:val="00D811D3"/>
    <w:rsid w:val="00D8232F"/>
    <w:rsid w:val="00D827AB"/>
    <w:rsid w:val="00D82921"/>
    <w:rsid w:val="00D83D32"/>
    <w:rsid w:val="00D842CC"/>
    <w:rsid w:val="00D848DC"/>
    <w:rsid w:val="00D84B9D"/>
    <w:rsid w:val="00D84DAB"/>
    <w:rsid w:val="00D865F3"/>
    <w:rsid w:val="00D86CC3"/>
    <w:rsid w:val="00D87950"/>
    <w:rsid w:val="00D91911"/>
    <w:rsid w:val="00D91B4B"/>
    <w:rsid w:val="00D92AC3"/>
    <w:rsid w:val="00D939DA"/>
    <w:rsid w:val="00D95547"/>
    <w:rsid w:val="00D96416"/>
    <w:rsid w:val="00DA097F"/>
    <w:rsid w:val="00DA0F6B"/>
    <w:rsid w:val="00DA1B28"/>
    <w:rsid w:val="00DA24E3"/>
    <w:rsid w:val="00DA2F3D"/>
    <w:rsid w:val="00DA4FFA"/>
    <w:rsid w:val="00DA528E"/>
    <w:rsid w:val="00DA5DEB"/>
    <w:rsid w:val="00DA5E8B"/>
    <w:rsid w:val="00DA7201"/>
    <w:rsid w:val="00DB0C29"/>
    <w:rsid w:val="00DB1360"/>
    <w:rsid w:val="00DB2C84"/>
    <w:rsid w:val="00DB475C"/>
    <w:rsid w:val="00DB588D"/>
    <w:rsid w:val="00DB5B59"/>
    <w:rsid w:val="00DB6D01"/>
    <w:rsid w:val="00DB7145"/>
    <w:rsid w:val="00DB7DD4"/>
    <w:rsid w:val="00DC02E4"/>
    <w:rsid w:val="00DC0590"/>
    <w:rsid w:val="00DC2115"/>
    <w:rsid w:val="00DC2792"/>
    <w:rsid w:val="00DC3FF2"/>
    <w:rsid w:val="00DC593F"/>
    <w:rsid w:val="00DC6187"/>
    <w:rsid w:val="00DC72B9"/>
    <w:rsid w:val="00DC79C3"/>
    <w:rsid w:val="00DD1366"/>
    <w:rsid w:val="00DD1482"/>
    <w:rsid w:val="00DD3440"/>
    <w:rsid w:val="00DD5DCB"/>
    <w:rsid w:val="00DE05A8"/>
    <w:rsid w:val="00DE33E3"/>
    <w:rsid w:val="00DE3C04"/>
    <w:rsid w:val="00DE3EBB"/>
    <w:rsid w:val="00DE4800"/>
    <w:rsid w:val="00DE4D15"/>
    <w:rsid w:val="00DE5295"/>
    <w:rsid w:val="00DE597F"/>
    <w:rsid w:val="00DE780C"/>
    <w:rsid w:val="00DF0278"/>
    <w:rsid w:val="00DF073E"/>
    <w:rsid w:val="00DF1998"/>
    <w:rsid w:val="00DF2476"/>
    <w:rsid w:val="00DF278F"/>
    <w:rsid w:val="00DF4335"/>
    <w:rsid w:val="00DF45E5"/>
    <w:rsid w:val="00DF4CAC"/>
    <w:rsid w:val="00DF738C"/>
    <w:rsid w:val="00E024A4"/>
    <w:rsid w:val="00E02533"/>
    <w:rsid w:val="00E02EF6"/>
    <w:rsid w:val="00E039C0"/>
    <w:rsid w:val="00E046E8"/>
    <w:rsid w:val="00E1037E"/>
    <w:rsid w:val="00E10903"/>
    <w:rsid w:val="00E1097F"/>
    <w:rsid w:val="00E119F7"/>
    <w:rsid w:val="00E11F06"/>
    <w:rsid w:val="00E12059"/>
    <w:rsid w:val="00E15636"/>
    <w:rsid w:val="00E16CB3"/>
    <w:rsid w:val="00E17266"/>
    <w:rsid w:val="00E175A3"/>
    <w:rsid w:val="00E204EB"/>
    <w:rsid w:val="00E21842"/>
    <w:rsid w:val="00E222E5"/>
    <w:rsid w:val="00E22934"/>
    <w:rsid w:val="00E22EC2"/>
    <w:rsid w:val="00E23826"/>
    <w:rsid w:val="00E238FD"/>
    <w:rsid w:val="00E253A5"/>
    <w:rsid w:val="00E26A26"/>
    <w:rsid w:val="00E303ED"/>
    <w:rsid w:val="00E30557"/>
    <w:rsid w:val="00E310E2"/>
    <w:rsid w:val="00E31732"/>
    <w:rsid w:val="00E318C7"/>
    <w:rsid w:val="00E32F43"/>
    <w:rsid w:val="00E34539"/>
    <w:rsid w:val="00E35940"/>
    <w:rsid w:val="00E35D33"/>
    <w:rsid w:val="00E360BC"/>
    <w:rsid w:val="00E40E4C"/>
    <w:rsid w:val="00E425C0"/>
    <w:rsid w:val="00E429FA"/>
    <w:rsid w:val="00E47CA7"/>
    <w:rsid w:val="00E47F80"/>
    <w:rsid w:val="00E51B63"/>
    <w:rsid w:val="00E51F3F"/>
    <w:rsid w:val="00E52399"/>
    <w:rsid w:val="00E53D66"/>
    <w:rsid w:val="00E54955"/>
    <w:rsid w:val="00E54A69"/>
    <w:rsid w:val="00E60E33"/>
    <w:rsid w:val="00E60FB4"/>
    <w:rsid w:val="00E621F1"/>
    <w:rsid w:val="00E6319D"/>
    <w:rsid w:val="00E63C9F"/>
    <w:rsid w:val="00E64703"/>
    <w:rsid w:val="00E65016"/>
    <w:rsid w:val="00E678D7"/>
    <w:rsid w:val="00E724FF"/>
    <w:rsid w:val="00E72958"/>
    <w:rsid w:val="00E72E03"/>
    <w:rsid w:val="00E7486E"/>
    <w:rsid w:val="00E75BDA"/>
    <w:rsid w:val="00E80F6F"/>
    <w:rsid w:val="00E816E9"/>
    <w:rsid w:val="00E81CC8"/>
    <w:rsid w:val="00E82BBD"/>
    <w:rsid w:val="00E83152"/>
    <w:rsid w:val="00E83BD5"/>
    <w:rsid w:val="00E8468E"/>
    <w:rsid w:val="00E84C24"/>
    <w:rsid w:val="00E8755B"/>
    <w:rsid w:val="00E8796F"/>
    <w:rsid w:val="00E91097"/>
    <w:rsid w:val="00E91AF4"/>
    <w:rsid w:val="00E91EEF"/>
    <w:rsid w:val="00E9257E"/>
    <w:rsid w:val="00E9259E"/>
    <w:rsid w:val="00E94652"/>
    <w:rsid w:val="00E96250"/>
    <w:rsid w:val="00E96FA7"/>
    <w:rsid w:val="00E97C62"/>
    <w:rsid w:val="00EA0316"/>
    <w:rsid w:val="00EA26DB"/>
    <w:rsid w:val="00EA6ADC"/>
    <w:rsid w:val="00EA7569"/>
    <w:rsid w:val="00EB0B8F"/>
    <w:rsid w:val="00EB168F"/>
    <w:rsid w:val="00EB23B2"/>
    <w:rsid w:val="00EB362A"/>
    <w:rsid w:val="00EB58F5"/>
    <w:rsid w:val="00EB65DC"/>
    <w:rsid w:val="00EB745C"/>
    <w:rsid w:val="00EC1089"/>
    <w:rsid w:val="00EC1EEF"/>
    <w:rsid w:val="00EC517F"/>
    <w:rsid w:val="00EC557B"/>
    <w:rsid w:val="00EC6AE2"/>
    <w:rsid w:val="00ED1BBA"/>
    <w:rsid w:val="00ED2A24"/>
    <w:rsid w:val="00ED408C"/>
    <w:rsid w:val="00ED40BB"/>
    <w:rsid w:val="00ED4257"/>
    <w:rsid w:val="00ED50D8"/>
    <w:rsid w:val="00ED522E"/>
    <w:rsid w:val="00ED5B81"/>
    <w:rsid w:val="00ED5BD8"/>
    <w:rsid w:val="00ED6D93"/>
    <w:rsid w:val="00ED6F3C"/>
    <w:rsid w:val="00EE110F"/>
    <w:rsid w:val="00EE1BF6"/>
    <w:rsid w:val="00EE2E3D"/>
    <w:rsid w:val="00EE4A63"/>
    <w:rsid w:val="00EE54E7"/>
    <w:rsid w:val="00EF09CE"/>
    <w:rsid w:val="00EF0F19"/>
    <w:rsid w:val="00EF4AFD"/>
    <w:rsid w:val="00EF6153"/>
    <w:rsid w:val="00EF6C95"/>
    <w:rsid w:val="00EF7D1F"/>
    <w:rsid w:val="00EF7F1A"/>
    <w:rsid w:val="00F01202"/>
    <w:rsid w:val="00F014DE"/>
    <w:rsid w:val="00F01AB9"/>
    <w:rsid w:val="00F02814"/>
    <w:rsid w:val="00F02921"/>
    <w:rsid w:val="00F11664"/>
    <w:rsid w:val="00F1311C"/>
    <w:rsid w:val="00F1499E"/>
    <w:rsid w:val="00F154CA"/>
    <w:rsid w:val="00F16AA0"/>
    <w:rsid w:val="00F177F8"/>
    <w:rsid w:val="00F227D5"/>
    <w:rsid w:val="00F228BB"/>
    <w:rsid w:val="00F23B72"/>
    <w:rsid w:val="00F24A2A"/>
    <w:rsid w:val="00F25311"/>
    <w:rsid w:val="00F25BE5"/>
    <w:rsid w:val="00F267DC"/>
    <w:rsid w:val="00F272C4"/>
    <w:rsid w:val="00F30995"/>
    <w:rsid w:val="00F31CE2"/>
    <w:rsid w:val="00F324B3"/>
    <w:rsid w:val="00F3293F"/>
    <w:rsid w:val="00F32C4C"/>
    <w:rsid w:val="00F32D4E"/>
    <w:rsid w:val="00F350F9"/>
    <w:rsid w:val="00F35EDF"/>
    <w:rsid w:val="00F35F80"/>
    <w:rsid w:val="00F41B1B"/>
    <w:rsid w:val="00F423CC"/>
    <w:rsid w:val="00F42463"/>
    <w:rsid w:val="00F430F6"/>
    <w:rsid w:val="00F436C6"/>
    <w:rsid w:val="00F44D06"/>
    <w:rsid w:val="00F4549E"/>
    <w:rsid w:val="00F465CB"/>
    <w:rsid w:val="00F50F06"/>
    <w:rsid w:val="00F51FD2"/>
    <w:rsid w:val="00F52457"/>
    <w:rsid w:val="00F542FE"/>
    <w:rsid w:val="00F54EED"/>
    <w:rsid w:val="00F56679"/>
    <w:rsid w:val="00F57D42"/>
    <w:rsid w:val="00F60714"/>
    <w:rsid w:val="00F620A2"/>
    <w:rsid w:val="00F64627"/>
    <w:rsid w:val="00F64ECB"/>
    <w:rsid w:val="00F72CC5"/>
    <w:rsid w:val="00F73253"/>
    <w:rsid w:val="00F73341"/>
    <w:rsid w:val="00F734D5"/>
    <w:rsid w:val="00F735EF"/>
    <w:rsid w:val="00F73B3F"/>
    <w:rsid w:val="00F73BBD"/>
    <w:rsid w:val="00F73E03"/>
    <w:rsid w:val="00F74667"/>
    <w:rsid w:val="00F74742"/>
    <w:rsid w:val="00F76FF6"/>
    <w:rsid w:val="00F8065E"/>
    <w:rsid w:val="00F8450A"/>
    <w:rsid w:val="00F84766"/>
    <w:rsid w:val="00F86381"/>
    <w:rsid w:val="00F876EB"/>
    <w:rsid w:val="00F87DF3"/>
    <w:rsid w:val="00F902FD"/>
    <w:rsid w:val="00F91932"/>
    <w:rsid w:val="00F91E29"/>
    <w:rsid w:val="00F9238D"/>
    <w:rsid w:val="00F92562"/>
    <w:rsid w:val="00F92780"/>
    <w:rsid w:val="00F92A91"/>
    <w:rsid w:val="00F93E20"/>
    <w:rsid w:val="00F95AFF"/>
    <w:rsid w:val="00F97966"/>
    <w:rsid w:val="00FA2E06"/>
    <w:rsid w:val="00FA359C"/>
    <w:rsid w:val="00FA35B4"/>
    <w:rsid w:val="00FA3A2F"/>
    <w:rsid w:val="00FA4065"/>
    <w:rsid w:val="00FA45EB"/>
    <w:rsid w:val="00FA6C31"/>
    <w:rsid w:val="00FB083B"/>
    <w:rsid w:val="00FB0EAF"/>
    <w:rsid w:val="00FB27AF"/>
    <w:rsid w:val="00FB6308"/>
    <w:rsid w:val="00FB7201"/>
    <w:rsid w:val="00FC0961"/>
    <w:rsid w:val="00FC19CA"/>
    <w:rsid w:val="00FC2839"/>
    <w:rsid w:val="00FC2922"/>
    <w:rsid w:val="00FC2B0D"/>
    <w:rsid w:val="00FC2CBD"/>
    <w:rsid w:val="00FC3BDD"/>
    <w:rsid w:val="00FC4FA7"/>
    <w:rsid w:val="00FC4FF4"/>
    <w:rsid w:val="00FC5646"/>
    <w:rsid w:val="00FC5D3E"/>
    <w:rsid w:val="00FC6025"/>
    <w:rsid w:val="00FC7F85"/>
    <w:rsid w:val="00FD167B"/>
    <w:rsid w:val="00FD2A40"/>
    <w:rsid w:val="00FD3FBF"/>
    <w:rsid w:val="00FD4A92"/>
    <w:rsid w:val="00FD6EC3"/>
    <w:rsid w:val="00FE2535"/>
    <w:rsid w:val="00FE51BA"/>
    <w:rsid w:val="00FF0007"/>
    <w:rsid w:val="00FF05CB"/>
    <w:rsid w:val="00FF0CEF"/>
    <w:rsid w:val="00FF1245"/>
    <w:rsid w:val="00FF2203"/>
    <w:rsid w:val="00FF47C9"/>
    <w:rsid w:val="00FF52C6"/>
    <w:rsid w:val="00FF57B5"/>
    <w:rsid w:val="00FF652A"/>
    <w:rsid w:val="00FF689E"/>
    <w:rsid w:val="00FF69A4"/>
    <w:rsid w:val="00FF73F4"/>
    <w:rsid w:val="00FF7B2A"/>
    <w:rsid w:val="01922E6E"/>
    <w:rsid w:val="01EE67F0"/>
    <w:rsid w:val="033F56D5"/>
    <w:rsid w:val="045D096F"/>
    <w:rsid w:val="060C2BAF"/>
    <w:rsid w:val="08C86C7F"/>
    <w:rsid w:val="09A948A9"/>
    <w:rsid w:val="0B713672"/>
    <w:rsid w:val="0C7D5FBF"/>
    <w:rsid w:val="0D89265C"/>
    <w:rsid w:val="0E6866DD"/>
    <w:rsid w:val="0EA91BBB"/>
    <w:rsid w:val="0F2D465F"/>
    <w:rsid w:val="0FB22F66"/>
    <w:rsid w:val="10CC4609"/>
    <w:rsid w:val="12246E90"/>
    <w:rsid w:val="12740D24"/>
    <w:rsid w:val="12A6763C"/>
    <w:rsid w:val="14A40F93"/>
    <w:rsid w:val="1A823435"/>
    <w:rsid w:val="1C487CDE"/>
    <w:rsid w:val="1D905E64"/>
    <w:rsid w:val="1DE94A96"/>
    <w:rsid w:val="1E25318F"/>
    <w:rsid w:val="21532F74"/>
    <w:rsid w:val="22D35EBD"/>
    <w:rsid w:val="23785877"/>
    <w:rsid w:val="26151F52"/>
    <w:rsid w:val="285B14A1"/>
    <w:rsid w:val="295D6C2B"/>
    <w:rsid w:val="2B6D45B3"/>
    <w:rsid w:val="2BF40BEB"/>
    <w:rsid w:val="2C4F4129"/>
    <w:rsid w:val="2E0925C6"/>
    <w:rsid w:val="2EEA173A"/>
    <w:rsid w:val="35023BF5"/>
    <w:rsid w:val="36995C95"/>
    <w:rsid w:val="37DE0662"/>
    <w:rsid w:val="383F0BFE"/>
    <w:rsid w:val="38C67A77"/>
    <w:rsid w:val="38EF76E0"/>
    <w:rsid w:val="3AD37478"/>
    <w:rsid w:val="3D2870A9"/>
    <w:rsid w:val="3F142741"/>
    <w:rsid w:val="421B5DBA"/>
    <w:rsid w:val="45547AA5"/>
    <w:rsid w:val="46677BB4"/>
    <w:rsid w:val="4756195A"/>
    <w:rsid w:val="47FB69A3"/>
    <w:rsid w:val="4B8F61EE"/>
    <w:rsid w:val="4BC3271F"/>
    <w:rsid w:val="4C17637A"/>
    <w:rsid w:val="4EA017F6"/>
    <w:rsid w:val="518E7115"/>
    <w:rsid w:val="52432ACC"/>
    <w:rsid w:val="52763C8E"/>
    <w:rsid w:val="545D13EA"/>
    <w:rsid w:val="546030A3"/>
    <w:rsid w:val="54782B85"/>
    <w:rsid w:val="5DB818E2"/>
    <w:rsid w:val="5F48569E"/>
    <w:rsid w:val="61BF1956"/>
    <w:rsid w:val="689926C4"/>
    <w:rsid w:val="68C11509"/>
    <w:rsid w:val="69127209"/>
    <w:rsid w:val="69A957B1"/>
    <w:rsid w:val="6AB56AC3"/>
    <w:rsid w:val="6D3D519F"/>
    <w:rsid w:val="72601E70"/>
    <w:rsid w:val="728423CE"/>
    <w:rsid w:val="7535222D"/>
    <w:rsid w:val="75A91102"/>
    <w:rsid w:val="76196DE7"/>
    <w:rsid w:val="77044A22"/>
    <w:rsid w:val="771B2F69"/>
    <w:rsid w:val="77560F49"/>
    <w:rsid w:val="789755DB"/>
    <w:rsid w:val="7A8D352A"/>
    <w:rsid w:val="7CEE4DF2"/>
    <w:rsid w:val="7D1E0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5D76E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1"/>
    <w:lsdException w:name="caption" w:semiHidden="1" w:unhideWhenUsed="1" w:qFormat="1"/>
    <w:lsdException w:name="annotation reference" w:semiHidden="1"/>
    <w:lsdException w:name="Title" w:uiPriority="10" w:qFormat="1"/>
    <w:lsdException w:name="Default Paragraph Font" w:semiHidden="1"/>
    <w:lsdException w:name="Subtitle" w:qFormat="1"/>
    <w:lsdException w:name="Hyperlink" w:uiPriority="99"/>
    <w:lsdException w:name="Strong" w:qFormat="1"/>
    <w:lsdException w:name="Emphasis" w:qFormat="1"/>
    <w:lsdException w:name="Document Map" w:semiHidden="1" w:uiPriority="99"/>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uiPriority="5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0">
    <w:name w:val="heading 1"/>
    <w:basedOn w:val="a"/>
    <w:next w:val="a"/>
    <w:link w:val="11"/>
    <w:uiPriority w:val="9"/>
    <w:qFormat/>
    <w:rsid w:val="00EA6ADC"/>
    <w:pPr>
      <w:keepNext/>
      <w:keepLines/>
      <w:pageBreakBefore/>
      <w:numPr>
        <w:numId w:val="23"/>
      </w:numPr>
      <w:snapToGrid w:val="0"/>
      <w:spacing w:before="360" w:after="360" w:line="360" w:lineRule="auto"/>
      <w:jc w:val="center"/>
      <w:outlineLvl w:val="0"/>
    </w:pPr>
    <w:rPr>
      <w:rFonts w:ascii="Arial" w:eastAsia="黑体" w:hAnsi="Arial"/>
      <w:caps/>
      <w:kern w:val="44"/>
      <w:sz w:val="32"/>
      <w:szCs w:val="32"/>
    </w:rPr>
  </w:style>
  <w:style w:type="paragraph" w:styleId="2">
    <w:name w:val="heading 2"/>
    <w:basedOn w:val="a"/>
    <w:next w:val="a"/>
    <w:link w:val="20"/>
    <w:qFormat/>
    <w:rsid w:val="004448C8"/>
    <w:pPr>
      <w:keepNext/>
      <w:keepLines/>
      <w:numPr>
        <w:ilvl w:val="1"/>
        <w:numId w:val="23"/>
      </w:numPr>
      <w:spacing w:before="200" w:after="140" w:line="360" w:lineRule="auto"/>
      <w:ind w:right="210"/>
      <w:outlineLvl w:val="1"/>
    </w:pPr>
    <w:rPr>
      <w:rFonts w:ascii="Arial" w:eastAsia="黑体" w:hAnsi="Arial"/>
      <w:sz w:val="28"/>
      <w:szCs w:val="28"/>
    </w:rPr>
  </w:style>
  <w:style w:type="paragraph" w:styleId="3">
    <w:name w:val="heading 3"/>
    <w:basedOn w:val="a"/>
    <w:next w:val="a"/>
    <w:link w:val="30"/>
    <w:uiPriority w:val="9"/>
    <w:qFormat/>
    <w:rsid w:val="00D1128A"/>
    <w:pPr>
      <w:keepNext/>
      <w:keepLines/>
      <w:numPr>
        <w:ilvl w:val="2"/>
        <w:numId w:val="23"/>
      </w:numPr>
      <w:spacing w:before="140" w:after="80" w:line="322" w:lineRule="auto"/>
      <w:outlineLvl w:val="2"/>
    </w:pPr>
    <w:rPr>
      <w:rFonts w:ascii="Arial" w:eastAsia="黑体" w:hAnsi="Arial"/>
      <w:kern w:val="0"/>
      <w:sz w:val="24"/>
    </w:rPr>
  </w:style>
  <w:style w:type="paragraph" w:styleId="4">
    <w:name w:val="heading 4"/>
    <w:basedOn w:val="a"/>
    <w:next w:val="a"/>
    <w:link w:val="40"/>
    <w:unhideWhenUsed/>
    <w:qFormat/>
    <w:rsid w:val="00B53E60"/>
    <w:pPr>
      <w:keepNext/>
      <w:keepLines/>
      <w:numPr>
        <w:ilvl w:val="3"/>
        <w:numId w:val="23"/>
      </w:numPr>
      <w:spacing w:before="280" w:after="290" w:line="300" w:lineRule="auto"/>
      <w:outlineLvl w:val="3"/>
    </w:pPr>
    <w:rPr>
      <w:rFonts w:ascii="黑体" w:eastAsia="黑体" w:hAnsi="黑体"/>
      <w:bCs/>
      <w:sz w:val="24"/>
      <w:szCs w:val="28"/>
    </w:rPr>
  </w:style>
  <w:style w:type="paragraph" w:styleId="5">
    <w:name w:val="heading 5"/>
    <w:basedOn w:val="a"/>
    <w:next w:val="a"/>
    <w:link w:val="50"/>
    <w:semiHidden/>
    <w:unhideWhenUsed/>
    <w:qFormat/>
    <w:rsid w:val="00C92BF6"/>
    <w:pPr>
      <w:keepNext/>
      <w:keepLines/>
      <w:numPr>
        <w:ilvl w:val="4"/>
        <w:numId w:val="23"/>
      </w:numPr>
      <w:spacing w:before="280" w:after="290" w:line="376" w:lineRule="auto"/>
      <w:outlineLvl w:val="4"/>
    </w:pPr>
    <w:rPr>
      <w:b/>
      <w:bCs/>
      <w:sz w:val="28"/>
      <w:szCs w:val="28"/>
    </w:rPr>
  </w:style>
  <w:style w:type="paragraph" w:styleId="6">
    <w:name w:val="heading 6"/>
    <w:basedOn w:val="a"/>
    <w:next w:val="a"/>
    <w:link w:val="60"/>
    <w:semiHidden/>
    <w:unhideWhenUsed/>
    <w:qFormat/>
    <w:rsid w:val="00C92BF6"/>
    <w:pPr>
      <w:keepNext/>
      <w:keepLines/>
      <w:numPr>
        <w:ilvl w:val="5"/>
        <w:numId w:val="23"/>
      </w:numPr>
      <w:spacing w:before="240" w:after="64" w:line="320" w:lineRule="auto"/>
      <w:outlineLvl w:val="5"/>
    </w:pPr>
    <w:rPr>
      <w:rFonts w:ascii="Cambria" w:hAnsi="Cambria"/>
      <w:b/>
      <w:bCs/>
      <w:sz w:val="24"/>
    </w:rPr>
  </w:style>
  <w:style w:type="paragraph" w:styleId="7">
    <w:name w:val="heading 7"/>
    <w:basedOn w:val="a"/>
    <w:next w:val="a"/>
    <w:link w:val="70"/>
    <w:semiHidden/>
    <w:unhideWhenUsed/>
    <w:qFormat/>
    <w:rsid w:val="00C92BF6"/>
    <w:pPr>
      <w:keepNext/>
      <w:keepLines/>
      <w:numPr>
        <w:ilvl w:val="6"/>
        <w:numId w:val="23"/>
      </w:numPr>
      <w:spacing w:before="240" w:after="64" w:line="320" w:lineRule="auto"/>
      <w:outlineLvl w:val="6"/>
    </w:pPr>
    <w:rPr>
      <w:b/>
      <w:bCs/>
      <w:sz w:val="24"/>
    </w:rPr>
  </w:style>
  <w:style w:type="paragraph" w:styleId="8">
    <w:name w:val="heading 8"/>
    <w:basedOn w:val="a"/>
    <w:next w:val="a"/>
    <w:link w:val="80"/>
    <w:semiHidden/>
    <w:unhideWhenUsed/>
    <w:qFormat/>
    <w:rsid w:val="00C92BF6"/>
    <w:pPr>
      <w:keepNext/>
      <w:keepLines/>
      <w:numPr>
        <w:ilvl w:val="7"/>
        <w:numId w:val="23"/>
      </w:numPr>
      <w:spacing w:before="240" w:after="64" w:line="320" w:lineRule="auto"/>
      <w:outlineLvl w:val="7"/>
    </w:pPr>
    <w:rPr>
      <w:rFonts w:ascii="Cambria" w:hAnsi="Cambria"/>
      <w:sz w:val="24"/>
    </w:rPr>
  </w:style>
  <w:style w:type="paragraph" w:styleId="9">
    <w:name w:val="heading 9"/>
    <w:basedOn w:val="a"/>
    <w:next w:val="a"/>
    <w:pPr>
      <w:keepNext/>
      <w:numPr>
        <w:ilvl w:val="8"/>
        <w:numId w:val="23"/>
      </w:numPr>
      <w:spacing w:line="360" w:lineRule="auto"/>
      <w:ind w:right="-202"/>
      <w:jc w:val="center"/>
      <w:outlineLvl w:val="8"/>
    </w:pPr>
    <w:rPr>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rPr>
      <w:kern w:val="2"/>
      <w:sz w:val="18"/>
      <w:szCs w:val="18"/>
    </w:rPr>
  </w:style>
  <w:style w:type="character" w:styleId="HTML">
    <w:name w:val="HTML Code"/>
    <w:uiPriority w:val="99"/>
    <w:unhideWhenUsed/>
    <w:rPr>
      <w:rFonts w:ascii="宋体" w:eastAsia="宋体" w:hAnsi="宋体" w:cs="宋体"/>
      <w:sz w:val="24"/>
      <w:szCs w:val="24"/>
    </w:rPr>
  </w:style>
  <w:style w:type="character" w:customStyle="1" w:styleId="JavaChar">
    <w:name w:val="Java Char"/>
    <w:link w:val="Java"/>
    <w:rPr>
      <w:rFonts w:ascii="Consolas" w:eastAsia="宋体" w:hAnsi="Consolas" w:cs="Consolas"/>
      <w:bCs/>
      <w:color w:val="7F0055"/>
      <w:sz w:val="21"/>
      <w:szCs w:val="21"/>
    </w:rPr>
  </w:style>
  <w:style w:type="character" w:styleId="a5">
    <w:name w:val="Placeholder Text"/>
    <w:uiPriority w:val="99"/>
    <w:semiHidden/>
    <w:rPr>
      <w:color w:val="808080"/>
    </w:rPr>
  </w:style>
  <w:style w:type="character" w:styleId="a6">
    <w:name w:val="FollowedHyperlink"/>
    <w:rPr>
      <w:color w:val="800080"/>
      <w:u w:val="single"/>
    </w:rPr>
  </w:style>
  <w:style w:type="character" w:customStyle="1" w:styleId="a7">
    <w:name w:val="列表段落 字符"/>
    <w:link w:val="a8"/>
    <w:uiPriority w:val="34"/>
    <w:rPr>
      <w:kern w:val="2"/>
      <w:sz w:val="21"/>
      <w:szCs w:val="24"/>
    </w:rPr>
  </w:style>
  <w:style w:type="character" w:customStyle="1" w:styleId="a9">
    <w:name w:val="正文文本缩进 字符"/>
    <w:link w:val="aa"/>
    <w:rPr>
      <w:kern w:val="2"/>
      <w:sz w:val="24"/>
      <w:szCs w:val="24"/>
    </w:rPr>
  </w:style>
  <w:style w:type="character" w:customStyle="1" w:styleId="Char">
    <w:name w:val="代码 Char"/>
    <w:link w:val="ab"/>
    <w:rsid w:val="001E3B55"/>
    <w:rPr>
      <w:rFonts w:ascii="Consolas" w:hAnsi="Consolas"/>
      <w:kern w:val="2"/>
      <w:sz w:val="21"/>
      <w:szCs w:val="24"/>
      <w:shd w:val="clear" w:color="auto" w:fill="F2F2F2"/>
    </w:rPr>
  </w:style>
  <w:style w:type="character" w:customStyle="1" w:styleId="11">
    <w:name w:val="标题 1 字符"/>
    <w:link w:val="10"/>
    <w:uiPriority w:val="9"/>
    <w:rsid w:val="00EA6ADC"/>
    <w:rPr>
      <w:rFonts w:ascii="Arial" w:eastAsia="黑体" w:hAnsi="Arial"/>
      <w:caps/>
      <w:kern w:val="44"/>
      <w:sz w:val="32"/>
      <w:szCs w:val="32"/>
    </w:rPr>
  </w:style>
  <w:style w:type="character" w:customStyle="1" w:styleId="HTML0">
    <w:name w:val="HTML 预设格式 字符"/>
    <w:link w:val="HTML1"/>
    <w:uiPriority w:val="99"/>
    <w:rPr>
      <w:rFonts w:ascii="宋体" w:hAnsi="宋体" w:cs="宋体"/>
      <w:sz w:val="24"/>
      <w:szCs w:val="24"/>
    </w:rPr>
  </w:style>
  <w:style w:type="character" w:customStyle="1" w:styleId="ac">
    <w:name w:val="页眉 字符"/>
    <w:link w:val="ad"/>
    <w:uiPriority w:val="99"/>
    <w:rPr>
      <w:kern w:val="2"/>
      <w:sz w:val="18"/>
      <w:szCs w:val="18"/>
    </w:rPr>
  </w:style>
  <w:style w:type="character" w:customStyle="1" w:styleId="2Char">
    <w:name w:val="标题 2 Char"/>
    <w:uiPriority w:val="9"/>
    <w:rPr>
      <w:rFonts w:eastAsia="黑体"/>
      <w:b/>
      <w:kern w:val="2"/>
      <w:sz w:val="28"/>
      <w:szCs w:val="32"/>
      <w:lang w:val="en-US" w:eastAsia="zh-CN" w:bidi="ar-SA"/>
    </w:rPr>
  </w:style>
  <w:style w:type="character" w:customStyle="1" w:styleId="ae">
    <w:name w:val="日期 字符"/>
    <w:link w:val="af"/>
    <w:uiPriority w:val="99"/>
    <w:rPr>
      <w:kern w:val="2"/>
      <w:sz w:val="21"/>
      <w:szCs w:val="24"/>
    </w:rPr>
  </w:style>
  <w:style w:type="character" w:customStyle="1" w:styleId="af0">
    <w:name w:val="页脚 字符"/>
    <w:link w:val="af1"/>
    <w:uiPriority w:val="99"/>
    <w:rPr>
      <w:kern w:val="2"/>
      <w:sz w:val="18"/>
      <w:szCs w:val="18"/>
    </w:rPr>
  </w:style>
  <w:style w:type="character" w:customStyle="1" w:styleId="membernamelink">
    <w:name w:val="membernamelink"/>
    <w:basedOn w:val="a0"/>
  </w:style>
  <w:style w:type="character" w:customStyle="1" w:styleId="20">
    <w:name w:val="标题 2 字符"/>
    <w:link w:val="2"/>
    <w:rsid w:val="004448C8"/>
    <w:rPr>
      <w:rFonts w:ascii="Arial" w:eastAsia="黑体" w:hAnsi="Arial"/>
      <w:kern w:val="2"/>
      <w:sz w:val="28"/>
      <w:szCs w:val="28"/>
    </w:rPr>
  </w:style>
  <w:style w:type="character" w:styleId="af2">
    <w:name w:val="page number"/>
    <w:basedOn w:val="a0"/>
  </w:style>
  <w:style w:type="character" w:customStyle="1" w:styleId="21">
    <w:name w:val="正文文本缩进 2 字符"/>
    <w:link w:val="22"/>
    <w:rPr>
      <w:bCs/>
      <w:kern w:val="2"/>
      <w:sz w:val="24"/>
      <w:szCs w:val="24"/>
    </w:rPr>
  </w:style>
  <w:style w:type="character" w:customStyle="1" w:styleId="30">
    <w:name w:val="标题 3 字符"/>
    <w:link w:val="3"/>
    <w:uiPriority w:val="9"/>
    <w:rsid w:val="00D1128A"/>
    <w:rPr>
      <w:rFonts w:ascii="Arial" w:eastAsia="黑体" w:hAnsi="Arial"/>
      <w:sz w:val="24"/>
      <w:szCs w:val="24"/>
    </w:rPr>
  </w:style>
  <w:style w:type="character" w:styleId="af3">
    <w:name w:val="Hyperlink"/>
    <w:uiPriority w:val="99"/>
    <w:rPr>
      <w:color w:val="0000FF"/>
      <w:u w:val="single"/>
    </w:rPr>
  </w:style>
  <w:style w:type="character" w:customStyle="1" w:styleId="af4">
    <w:name w:val="标题 字符"/>
    <w:link w:val="af5"/>
    <w:uiPriority w:val="10"/>
    <w:rPr>
      <w:b/>
      <w:bCs/>
      <w:kern w:val="2"/>
      <w:sz w:val="21"/>
      <w:szCs w:val="24"/>
    </w:rPr>
  </w:style>
  <w:style w:type="character" w:customStyle="1" w:styleId="apple-converted-space">
    <w:name w:val="apple-converted-space"/>
    <w:basedOn w:val="a0"/>
  </w:style>
  <w:style w:type="character" w:customStyle="1" w:styleId="af6">
    <w:name w:val="批注文字 字符"/>
    <w:link w:val="af7"/>
    <w:semiHidden/>
    <w:rPr>
      <w:kern w:val="2"/>
      <w:sz w:val="21"/>
      <w:szCs w:val="24"/>
    </w:rPr>
  </w:style>
  <w:style w:type="character" w:customStyle="1" w:styleId="23">
    <w:name w:val="正文文本 2 字符"/>
    <w:link w:val="24"/>
    <w:rPr>
      <w:kern w:val="2"/>
      <w:sz w:val="21"/>
      <w:szCs w:val="24"/>
    </w:rPr>
  </w:style>
  <w:style w:type="character" w:styleId="af8">
    <w:name w:val="annotation reference"/>
    <w:semiHidden/>
    <w:rPr>
      <w:sz w:val="21"/>
      <w:szCs w:val="21"/>
    </w:rPr>
  </w:style>
  <w:style w:type="character" w:customStyle="1" w:styleId="af9">
    <w:name w:val="文档结构图 字符"/>
    <w:link w:val="afa"/>
    <w:uiPriority w:val="99"/>
    <w:semiHidden/>
    <w:rPr>
      <w:kern w:val="2"/>
      <w:sz w:val="21"/>
      <w:szCs w:val="24"/>
      <w:shd w:val="clear" w:color="auto" w:fill="000080"/>
    </w:rPr>
  </w:style>
  <w:style w:type="character" w:customStyle="1" w:styleId="keyword">
    <w:name w:val="keyword"/>
    <w:basedOn w:val="a0"/>
  </w:style>
  <w:style w:type="paragraph" w:styleId="TOC6">
    <w:name w:val="toc 6"/>
    <w:basedOn w:val="a"/>
    <w:next w:val="a"/>
    <w:uiPriority w:val="39"/>
    <w:pPr>
      <w:ind w:leftChars="1000" w:left="2100"/>
    </w:pPr>
  </w:style>
  <w:style w:type="paragraph" w:styleId="afa">
    <w:name w:val="Document Map"/>
    <w:basedOn w:val="a"/>
    <w:link w:val="af9"/>
    <w:uiPriority w:val="99"/>
    <w:semiHidden/>
    <w:pPr>
      <w:shd w:val="clear" w:color="auto" w:fill="000080"/>
    </w:pPr>
  </w:style>
  <w:style w:type="paragraph" w:styleId="TOC1">
    <w:name w:val="toc 1"/>
    <w:next w:val="a"/>
    <w:uiPriority w:val="39"/>
    <w:qFormat/>
    <w:rsid w:val="009838CD"/>
    <w:pPr>
      <w:snapToGrid w:val="0"/>
      <w:spacing w:line="360" w:lineRule="auto"/>
    </w:pPr>
    <w:rPr>
      <w:rFonts w:ascii="Arial" w:eastAsia="黑体" w:hAnsi="Arial" w:cs="Arial"/>
      <w:bCs/>
      <w:kern w:val="2"/>
      <w:sz w:val="28"/>
      <w:szCs w:val="24"/>
    </w:rPr>
  </w:style>
  <w:style w:type="paragraph" w:customStyle="1" w:styleId="ab">
    <w:name w:val="代码"/>
    <w:basedOn w:val="a8"/>
    <w:link w:val="Char"/>
    <w:qFormat/>
    <w:rsid w:val="001E3B55"/>
    <w:pPr>
      <w:pBdr>
        <w:top w:val="single" w:sz="4" w:space="1" w:color="auto"/>
        <w:left w:val="single" w:sz="4" w:space="4" w:color="auto"/>
        <w:bottom w:val="single" w:sz="4" w:space="1" w:color="auto"/>
        <w:right w:val="single" w:sz="4" w:space="4" w:color="auto"/>
      </w:pBdr>
      <w:shd w:val="clear" w:color="auto" w:fill="F2F2F2"/>
    </w:pPr>
    <w:rPr>
      <w:rFonts w:ascii="Consolas" w:hAnsi="Consolas"/>
    </w:rPr>
  </w:style>
  <w:style w:type="paragraph" w:styleId="afb">
    <w:name w:val="annotation subject"/>
    <w:basedOn w:val="af7"/>
    <w:next w:val="af7"/>
    <w:semiHidden/>
    <w:rPr>
      <w:b/>
      <w:bCs/>
    </w:rPr>
  </w:style>
  <w:style w:type="paragraph" w:styleId="TOC8">
    <w:name w:val="toc 8"/>
    <w:basedOn w:val="a"/>
    <w:next w:val="a"/>
    <w:uiPriority w:val="39"/>
    <w:pPr>
      <w:ind w:leftChars="1400" w:left="2940"/>
    </w:pPr>
  </w:style>
  <w:style w:type="paragraph" w:styleId="HTML1">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24">
    <w:name w:val="Body Text 2"/>
    <w:basedOn w:val="a"/>
    <w:link w:val="23"/>
    <w:pPr>
      <w:spacing w:after="120" w:line="480" w:lineRule="auto"/>
    </w:pPr>
  </w:style>
  <w:style w:type="paragraph" w:styleId="afc">
    <w:name w:val="Plain Text"/>
    <w:basedOn w:val="a"/>
    <w:rPr>
      <w:rFonts w:ascii="宋体" w:hAnsi="Courier New" w:cs="Century"/>
      <w:szCs w:val="21"/>
    </w:rPr>
  </w:style>
  <w:style w:type="paragraph" w:styleId="TOC9">
    <w:name w:val="toc 9"/>
    <w:basedOn w:val="a"/>
    <w:next w:val="a"/>
    <w:uiPriority w:val="39"/>
    <w:pPr>
      <w:ind w:leftChars="1600" w:left="3360"/>
    </w:pPr>
  </w:style>
  <w:style w:type="paragraph" w:styleId="31">
    <w:name w:val="Body Text 3"/>
    <w:basedOn w:val="a"/>
    <w:pPr>
      <w:spacing w:after="120"/>
    </w:pPr>
    <w:rPr>
      <w:sz w:val="16"/>
      <w:szCs w:val="16"/>
    </w:rPr>
  </w:style>
  <w:style w:type="paragraph" w:styleId="af1">
    <w:name w:val="footer"/>
    <w:basedOn w:val="a"/>
    <w:link w:val="af0"/>
    <w:pPr>
      <w:tabs>
        <w:tab w:val="center" w:pos="4153"/>
        <w:tab w:val="right" w:pos="8306"/>
      </w:tabs>
      <w:snapToGrid w:val="0"/>
      <w:jc w:val="left"/>
    </w:pPr>
    <w:rPr>
      <w:sz w:val="18"/>
      <w:szCs w:val="18"/>
    </w:rPr>
  </w:style>
  <w:style w:type="paragraph" w:styleId="TOC7">
    <w:name w:val="toc 7"/>
    <w:basedOn w:val="a"/>
    <w:next w:val="a"/>
    <w:uiPriority w:val="39"/>
    <w:pPr>
      <w:ind w:leftChars="1200" w:left="2520"/>
    </w:pPr>
  </w:style>
  <w:style w:type="paragraph" w:styleId="aa">
    <w:name w:val="Body Text Indent"/>
    <w:basedOn w:val="a"/>
    <w:link w:val="a9"/>
    <w:pPr>
      <w:ind w:hanging="180"/>
    </w:pPr>
    <w:rPr>
      <w:sz w:val="24"/>
    </w:rPr>
  </w:style>
  <w:style w:type="paragraph" w:styleId="22">
    <w:name w:val="Body Text Indent 2"/>
    <w:basedOn w:val="a"/>
    <w:link w:val="21"/>
    <w:pPr>
      <w:spacing w:line="360" w:lineRule="auto"/>
      <w:ind w:firstLineChars="200" w:firstLine="480"/>
    </w:pPr>
    <w:rPr>
      <w:bCs/>
      <w:sz w:val="24"/>
    </w:rPr>
  </w:style>
  <w:style w:type="paragraph" w:styleId="a4">
    <w:name w:val="Balloon Text"/>
    <w:basedOn w:val="a"/>
    <w:link w:val="a3"/>
    <w:uiPriority w:val="99"/>
    <w:semiHidden/>
    <w:rPr>
      <w:sz w:val="18"/>
      <w:szCs w:val="18"/>
    </w:rPr>
  </w:style>
  <w:style w:type="paragraph" w:styleId="TOC2">
    <w:name w:val="toc 2"/>
    <w:basedOn w:val="a"/>
    <w:next w:val="a"/>
    <w:uiPriority w:val="39"/>
    <w:qFormat/>
    <w:rsid w:val="009838CD"/>
    <w:pPr>
      <w:snapToGrid w:val="0"/>
      <w:spacing w:line="312" w:lineRule="auto"/>
    </w:pPr>
    <w:rPr>
      <w:sz w:val="28"/>
    </w:rPr>
  </w:style>
  <w:style w:type="paragraph" w:customStyle="1" w:styleId="CharChar">
    <w:name w:val="Char Char"/>
    <w:basedOn w:val="a"/>
    <w:rPr>
      <w:szCs w:val="20"/>
    </w:rPr>
  </w:style>
  <w:style w:type="paragraph" w:styleId="32">
    <w:name w:val="Body Text Indent 3"/>
    <w:basedOn w:val="a"/>
    <w:pPr>
      <w:spacing w:line="360" w:lineRule="auto"/>
      <w:ind w:left="480"/>
    </w:pPr>
    <w:rPr>
      <w:sz w:val="24"/>
    </w:rPr>
  </w:style>
  <w:style w:type="paragraph" w:styleId="afd">
    <w:name w:val="List"/>
    <w:basedOn w:val="a"/>
    <w:pPr>
      <w:ind w:left="200" w:hangingChars="200" w:hanging="200"/>
    </w:pPr>
  </w:style>
  <w:style w:type="paragraph" w:styleId="TOC4">
    <w:name w:val="toc 4"/>
    <w:basedOn w:val="a"/>
    <w:next w:val="a"/>
    <w:uiPriority w:val="39"/>
    <w:pPr>
      <w:ind w:leftChars="600" w:left="1260"/>
    </w:pPr>
  </w:style>
  <w:style w:type="paragraph" w:styleId="af7">
    <w:name w:val="annotation text"/>
    <w:basedOn w:val="a"/>
    <w:link w:val="af6"/>
    <w:semiHidden/>
    <w:pPr>
      <w:jc w:val="left"/>
    </w:pPr>
  </w:style>
  <w:style w:type="paragraph" w:styleId="ad">
    <w:name w:val="header"/>
    <w:basedOn w:val="a"/>
    <w:link w:val="ac"/>
    <w:pPr>
      <w:pBdr>
        <w:bottom w:val="single" w:sz="6" w:space="1" w:color="auto"/>
      </w:pBdr>
      <w:tabs>
        <w:tab w:val="center" w:pos="4153"/>
        <w:tab w:val="right" w:pos="8306"/>
      </w:tabs>
      <w:snapToGrid w:val="0"/>
      <w:jc w:val="center"/>
    </w:pPr>
    <w:rPr>
      <w:sz w:val="18"/>
      <w:szCs w:val="18"/>
    </w:rPr>
  </w:style>
  <w:style w:type="paragraph" w:styleId="af">
    <w:name w:val="Date"/>
    <w:basedOn w:val="a"/>
    <w:next w:val="a"/>
    <w:link w:val="ae"/>
    <w:pPr>
      <w:ind w:leftChars="2500" w:left="100"/>
    </w:pPr>
  </w:style>
  <w:style w:type="paragraph" w:customStyle="1" w:styleId="12">
    <w:name w:val="1"/>
    <w:basedOn w:val="a"/>
    <w:pPr>
      <w:snapToGrid w:val="0"/>
      <w:spacing w:before="120" w:after="120" w:line="360" w:lineRule="auto"/>
      <w:jc w:val="center"/>
    </w:pPr>
    <w:rPr>
      <w:rFonts w:ascii="Arial" w:eastAsia="黑体" w:hAnsi="Arial" w:cs="Arial"/>
      <w:bCs/>
    </w:rPr>
  </w:style>
  <w:style w:type="paragraph" w:customStyle="1" w:styleId="25">
    <w:name w:val="样式 标题 2 + 小四"/>
    <w:basedOn w:val="2"/>
    <w:pPr>
      <w:spacing w:before="260" w:after="260" w:line="416" w:lineRule="auto"/>
    </w:pPr>
    <w:rPr>
      <w:bCs/>
    </w:rPr>
  </w:style>
  <w:style w:type="paragraph" w:styleId="TOC5">
    <w:name w:val="toc 5"/>
    <w:basedOn w:val="a"/>
    <w:next w:val="a"/>
    <w:uiPriority w:val="39"/>
    <w:pPr>
      <w:ind w:leftChars="800" w:left="1680"/>
    </w:pPr>
  </w:style>
  <w:style w:type="paragraph" w:customStyle="1" w:styleId="Java">
    <w:name w:val="Java"/>
    <w:basedOn w:val="a"/>
    <w:link w:val="JavaChar"/>
    <w:qFormat/>
    <w:pPr>
      <w:pBdr>
        <w:top w:val="single" w:sz="4" w:space="1" w:color="auto"/>
        <w:left w:val="single" w:sz="4" w:space="4" w:color="auto"/>
        <w:bottom w:val="single" w:sz="4" w:space="1" w:color="auto"/>
        <w:right w:val="single" w:sz="4" w:space="4" w:color="auto"/>
      </w:pBdr>
      <w:autoSpaceDE w:val="0"/>
      <w:autoSpaceDN w:val="0"/>
      <w:adjustRightInd w:val="0"/>
      <w:jc w:val="left"/>
    </w:pPr>
    <w:rPr>
      <w:rFonts w:ascii="Consolas" w:hAnsi="Consolas"/>
      <w:bCs/>
      <w:color w:val="7F0055"/>
      <w:kern w:val="0"/>
      <w:szCs w:val="21"/>
    </w:rPr>
  </w:style>
  <w:style w:type="paragraph" w:styleId="TOC3">
    <w:name w:val="toc 3"/>
    <w:basedOn w:val="a"/>
    <w:next w:val="a"/>
    <w:uiPriority w:val="39"/>
    <w:qFormat/>
    <w:pPr>
      <w:ind w:leftChars="400" w:left="840"/>
    </w:pPr>
  </w:style>
  <w:style w:type="paragraph" w:styleId="afe">
    <w:name w:val="Normal (Web)"/>
    <w:basedOn w:val="a"/>
    <w:uiPriority w:val="99"/>
    <w:pPr>
      <w:widowControl/>
      <w:spacing w:before="100" w:beforeAutospacing="1" w:after="100" w:afterAutospacing="1"/>
      <w:jc w:val="left"/>
    </w:pPr>
    <w:rPr>
      <w:rFonts w:ascii="宋体" w:hAnsi="宋体" w:cs="宋体"/>
      <w:kern w:val="0"/>
      <w:sz w:val="24"/>
    </w:rPr>
  </w:style>
  <w:style w:type="paragraph" w:customStyle="1" w:styleId="aff">
    <w:name w:val="文献编号"/>
    <w:basedOn w:val="afd"/>
    <w:pPr>
      <w:tabs>
        <w:tab w:val="left" w:pos="425"/>
      </w:tabs>
      <w:spacing w:line="300" w:lineRule="auto"/>
      <w:ind w:left="425" w:hanging="425"/>
    </w:pPr>
  </w:style>
  <w:style w:type="paragraph" w:styleId="a8">
    <w:name w:val="List Paragraph"/>
    <w:basedOn w:val="a"/>
    <w:link w:val="a7"/>
    <w:uiPriority w:val="34"/>
    <w:qFormat/>
    <w:pPr>
      <w:ind w:firstLineChars="200" w:firstLine="420"/>
    </w:pPr>
  </w:style>
  <w:style w:type="paragraph" w:styleId="af5">
    <w:name w:val="Title"/>
    <w:basedOn w:val="a"/>
    <w:link w:val="af4"/>
    <w:uiPriority w:val="10"/>
    <w:qFormat/>
    <w:pPr>
      <w:jc w:val="center"/>
    </w:pPr>
    <w:rPr>
      <w:b/>
      <w:bCs/>
    </w:rPr>
  </w:style>
  <w:style w:type="paragraph" w:styleId="TOC">
    <w:name w:val="TOC Heading"/>
    <w:basedOn w:val="10"/>
    <w:next w:val="a"/>
    <w:uiPriority w:val="39"/>
    <w:qFormat/>
    <w:pPr>
      <w:pageBreakBefore w:val="0"/>
      <w:widowControl/>
      <w:spacing w:before="480" w:line="276" w:lineRule="auto"/>
      <w:jc w:val="left"/>
      <w:outlineLvl w:val="9"/>
    </w:pPr>
    <w:rPr>
      <w:rFonts w:ascii="Cambria" w:eastAsia="宋体" w:hAnsi="Cambria"/>
      <w:bCs/>
      <w:caps w:val="0"/>
      <w:color w:val="365F91"/>
      <w:kern w:val="0"/>
      <w:sz w:val="28"/>
      <w:szCs w:val="28"/>
    </w:rPr>
  </w:style>
  <w:style w:type="table" w:styleId="aff0">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1">
    <w:name w:val="宋体小四"/>
    <w:link w:val="Char0"/>
    <w:qFormat/>
    <w:rsid w:val="00C92BF6"/>
    <w:pPr>
      <w:spacing w:line="300" w:lineRule="auto"/>
      <w:ind w:firstLineChars="200" w:firstLine="480"/>
      <w:jc w:val="both"/>
    </w:pPr>
    <w:rPr>
      <w:kern w:val="2"/>
      <w:sz w:val="24"/>
      <w:szCs w:val="24"/>
    </w:rPr>
  </w:style>
  <w:style w:type="paragraph" w:customStyle="1" w:styleId="aff2">
    <w:name w:val="无编号标题"/>
    <w:basedOn w:val="10"/>
    <w:link w:val="Char1"/>
    <w:qFormat/>
    <w:rsid w:val="00C92BF6"/>
    <w:pPr>
      <w:numPr>
        <w:numId w:val="0"/>
      </w:numPr>
      <w:snapToGrid/>
      <w:spacing w:before="310" w:after="280"/>
    </w:pPr>
    <w:rPr>
      <w:rFonts w:ascii="Times New Roman" w:hAnsi="Times New Roman" w:cs="Arial"/>
      <w:b/>
      <w:caps w:val="0"/>
      <w:noProof/>
    </w:rPr>
  </w:style>
  <w:style w:type="character" w:customStyle="1" w:styleId="Char0">
    <w:name w:val="宋体小四 Char"/>
    <w:link w:val="aff1"/>
    <w:rsid w:val="00C92BF6"/>
    <w:rPr>
      <w:kern w:val="2"/>
      <w:sz w:val="24"/>
      <w:szCs w:val="24"/>
    </w:rPr>
  </w:style>
  <w:style w:type="character" w:customStyle="1" w:styleId="Char1">
    <w:name w:val="无编号标题 Char"/>
    <w:link w:val="aff2"/>
    <w:rsid w:val="00C92BF6"/>
    <w:rPr>
      <w:rFonts w:eastAsia="黑体" w:cs="Arial"/>
      <w:b/>
      <w:noProof/>
      <w:kern w:val="44"/>
      <w:sz w:val="32"/>
      <w:szCs w:val="32"/>
    </w:rPr>
  </w:style>
  <w:style w:type="character" w:customStyle="1" w:styleId="40">
    <w:name w:val="标题 4 字符"/>
    <w:link w:val="4"/>
    <w:rsid w:val="00B53E60"/>
    <w:rPr>
      <w:rFonts w:ascii="黑体" w:eastAsia="黑体" w:hAnsi="黑体"/>
      <w:bCs/>
      <w:kern w:val="2"/>
      <w:sz w:val="24"/>
      <w:szCs w:val="28"/>
    </w:rPr>
  </w:style>
  <w:style w:type="character" w:customStyle="1" w:styleId="50">
    <w:name w:val="标题 5 字符"/>
    <w:link w:val="5"/>
    <w:semiHidden/>
    <w:rsid w:val="00C92BF6"/>
    <w:rPr>
      <w:b/>
      <w:bCs/>
      <w:kern w:val="2"/>
      <w:sz w:val="28"/>
      <w:szCs w:val="28"/>
    </w:rPr>
  </w:style>
  <w:style w:type="character" w:customStyle="1" w:styleId="60">
    <w:name w:val="标题 6 字符"/>
    <w:link w:val="6"/>
    <w:semiHidden/>
    <w:rsid w:val="00C92BF6"/>
    <w:rPr>
      <w:rFonts w:ascii="Cambria" w:hAnsi="Cambria"/>
      <w:b/>
      <w:bCs/>
      <w:kern w:val="2"/>
      <w:sz w:val="24"/>
      <w:szCs w:val="24"/>
    </w:rPr>
  </w:style>
  <w:style w:type="character" w:customStyle="1" w:styleId="70">
    <w:name w:val="标题 7 字符"/>
    <w:link w:val="7"/>
    <w:semiHidden/>
    <w:rsid w:val="00C92BF6"/>
    <w:rPr>
      <w:b/>
      <w:bCs/>
      <w:kern w:val="2"/>
      <w:sz w:val="24"/>
      <w:szCs w:val="24"/>
    </w:rPr>
  </w:style>
  <w:style w:type="character" w:customStyle="1" w:styleId="80">
    <w:name w:val="标题 8 字符"/>
    <w:link w:val="8"/>
    <w:semiHidden/>
    <w:rsid w:val="00C92BF6"/>
    <w:rPr>
      <w:rFonts w:ascii="Cambria" w:hAnsi="Cambria"/>
      <w:kern w:val="2"/>
      <w:sz w:val="24"/>
      <w:szCs w:val="24"/>
    </w:rPr>
  </w:style>
  <w:style w:type="numbering" w:customStyle="1" w:styleId="1">
    <w:name w:val="样式1"/>
    <w:uiPriority w:val="99"/>
    <w:rsid w:val="00DF2476"/>
    <w:pPr>
      <w:numPr>
        <w:numId w:val="29"/>
      </w:numPr>
    </w:pPr>
  </w:style>
  <w:style w:type="paragraph" w:styleId="aff3">
    <w:name w:val="caption"/>
    <w:basedOn w:val="a"/>
    <w:next w:val="a"/>
    <w:link w:val="aff4"/>
    <w:qFormat/>
    <w:rsid w:val="004448C8"/>
    <w:pPr>
      <w:adjustRightInd w:val="0"/>
      <w:snapToGrid w:val="0"/>
      <w:spacing w:before="152" w:after="160" w:line="312" w:lineRule="auto"/>
      <w:jc w:val="center"/>
    </w:pPr>
    <w:rPr>
      <w:rFonts w:eastAsia="黑体" w:cs="Arial"/>
      <w:szCs w:val="21"/>
    </w:rPr>
  </w:style>
  <w:style w:type="character" w:customStyle="1" w:styleId="aff4">
    <w:name w:val="题注 字符"/>
    <w:basedOn w:val="a0"/>
    <w:link w:val="aff3"/>
    <w:rsid w:val="004448C8"/>
    <w:rPr>
      <w:rFonts w:eastAsia="黑体" w:cs="Arial"/>
      <w:kern w:val="2"/>
      <w:sz w:val="21"/>
      <w:szCs w:val="21"/>
    </w:rPr>
  </w:style>
  <w:style w:type="paragraph" w:customStyle="1" w:styleId="aff5">
    <w:name w:val="公式"/>
    <w:basedOn w:val="a"/>
    <w:rsid w:val="004448C8"/>
    <w:pPr>
      <w:tabs>
        <w:tab w:val="center" w:pos="4140"/>
        <w:tab w:val="right" w:pos="8280"/>
      </w:tabs>
      <w:adjustRightInd w:val="0"/>
      <w:snapToGrid w:val="0"/>
      <w:spacing w:line="312" w:lineRule="auto"/>
    </w:pPr>
    <w:rPr>
      <w:sz w:val="24"/>
    </w:rPr>
  </w:style>
  <w:style w:type="paragraph" w:customStyle="1" w:styleId="aff6">
    <w:name w:val="图片居中"/>
    <w:basedOn w:val="aff1"/>
    <w:link w:val="Char2"/>
    <w:qFormat/>
    <w:rsid w:val="004B58F3"/>
    <w:pPr>
      <w:ind w:firstLineChars="0" w:firstLine="0"/>
      <w:jc w:val="center"/>
    </w:pPr>
    <w:rPr>
      <w:noProof/>
    </w:rPr>
  </w:style>
  <w:style w:type="paragraph" w:customStyle="1" w:styleId="Default">
    <w:name w:val="Default"/>
    <w:rsid w:val="00DA528E"/>
    <w:pPr>
      <w:widowControl w:val="0"/>
      <w:autoSpaceDE w:val="0"/>
      <w:autoSpaceDN w:val="0"/>
      <w:adjustRightInd w:val="0"/>
    </w:pPr>
    <w:rPr>
      <w:rFonts w:ascii="宋体" w:hAnsiTheme="minorHAnsi" w:cs="宋体"/>
      <w:color w:val="000000"/>
      <w:sz w:val="24"/>
      <w:szCs w:val="24"/>
    </w:rPr>
  </w:style>
  <w:style w:type="character" w:customStyle="1" w:styleId="Char2">
    <w:name w:val="图片居中 Char"/>
    <w:basedOn w:val="Char0"/>
    <w:link w:val="aff6"/>
    <w:rsid w:val="004B58F3"/>
    <w:rPr>
      <w:noProof/>
      <w:kern w:val="2"/>
      <w:sz w:val="24"/>
      <w:szCs w:val="24"/>
    </w:rPr>
  </w:style>
  <w:style w:type="paragraph" w:customStyle="1" w:styleId="CM1">
    <w:name w:val="CM1"/>
    <w:basedOn w:val="Default"/>
    <w:next w:val="Default"/>
    <w:uiPriority w:val="99"/>
    <w:rsid w:val="00DA528E"/>
    <w:rPr>
      <w:rFonts w:cstheme="minorBidi"/>
      <w:color w:val="auto"/>
    </w:rPr>
  </w:style>
  <w:style w:type="paragraph" w:customStyle="1" w:styleId="CM72">
    <w:name w:val="CM72"/>
    <w:basedOn w:val="Default"/>
    <w:next w:val="Default"/>
    <w:uiPriority w:val="99"/>
    <w:rsid w:val="00DA528E"/>
    <w:rPr>
      <w:rFonts w:cstheme="minorBidi"/>
      <w:color w:val="auto"/>
    </w:rPr>
  </w:style>
  <w:style w:type="paragraph" w:customStyle="1" w:styleId="CM74">
    <w:name w:val="CM74"/>
    <w:basedOn w:val="Default"/>
    <w:next w:val="Default"/>
    <w:uiPriority w:val="99"/>
    <w:rsid w:val="00DA528E"/>
    <w:rPr>
      <w:rFonts w:cstheme="minorBidi"/>
      <w:color w:val="auto"/>
    </w:rPr>
  </w:style>
  <w:style w:type="paragraph" w:customStyle="1" w:styleId="CM77">
    <w:name w:val="CM77"/>
    <w:basedOn w:val="Default"/>
    <w:next w:val="Default"/>
    <w:uiPriority w:val="99"/>
    <w:rsid w:val="00DA528E"/>
    <w:rPr>
      <w:rFonts w:cstheme="minorBidi"/>
      <w:color w:val="auto"/>
    </w:rPr>
  </w:style>
  <w:style w:type="paragraph" w:customStyle="1" w:styleId="CM78">
    <w:name w:val="CM78"/>
    <w:basedOn w:val="Default"/>
    <w:next w:val="Default"/>
    <w:uiPriority w:val="99"/>
    <w:rsid w:val="00DA528E"/>
    <w:rPr>
      <w:rFonts w:cstheme="minorBidi"/>
      <w:color w:val="auto"/>
    </w:rPr>
  </w:style>
  <w:style w:type="paragraph" w:customStyle="1" w:styleId="CM79">
    <w:name w:val="CM79"/>
    <w:basedOn w:val="Default"/>
    <w:next w:val="Default"/>
    <w:uiPriority w:val="99"/>
    <w:rsid w:val="00DA528E"/>
    <w:rPr>
      <w:rFonts w:cstheme="minorBidi"/>
      <w:color w:val="auto"/>
    </w:rPr>
  </w:style>
  <w:style w:type="paragraph" w:customStyle="1" w:styleId="CM80">
    <w:name w:val="CM80"/>
    <w:basedOn w:val="Default"/>
    <w:next w:val="Default"/>
    <w:uiPriority w:val="99"/>
    <w:rsid w:val="00DA528E"/>
    <w:rPr>
      <w:rFonts w:cstheme="minorBidi"/>
      <w:color w:val="auto"/>
    </w:rPr>
  </w:style>
  <w:style w:type="paragraph" w:customStyle="1" w:styleId="CM5">
    <w:name w:val="CM5"/>
    <w:basedOn w:val="Default"/>
    <w:next w:val="Default"/>
    <w:uiPriority w:val="99"/>
    <w:rsid w:val="00DA528E"/>
    <w:pPr>
      <w:spacing w:line="360" w:lineRule="atLeast"/>
    </w:pPr>
    <w:rPr>
      <w:rFonts w:cstheme="minorBidi"/>
      <w:color w:val="auto"/>
    </w:rPr>
  </w:style>
  <w:style w:type="paragraph" w:customStyle="1" w:styleId="CM6">
    <w:name w:val="CM6"/>
    <w:basedOn w:val="Default"/>
    <w:next w:val="Default"/>
    <w:uiPriority w:val="99"/>
    <w:rsid w:val="00DA528E"/>
    <w:pPr>
      <w:spacing w:line="360" w:lineRule="atLeast"/>
    </w:pPr>
    <w:rPr>
      <w:rFonts w:cstheme="minorBidi"/>
      <w:color w:val="auto"/>
    </w:rPr>
  </w:style>
  <w:style w:type="paragraph" w:customStyle="1" w:styleId="CM82">
    <w:name w:val="CM82"/>
    <w:basedOn w:val="Default"/>
    <w:next w:val="Default"/>
    <w:uiPriority w:val="99"/>
    <w:rsid w:val="00DA528E"/>
    <w:rPr>
      <w:rFonts w:cstheme="minorBidi"/>
      <w:color w:val="auto"/>
    </w:rPr>
  </w:style>
  <w:style w:type="paragraph" w:customStyle="1" w:styleId="CM84">
    <w:name w:val="CM84"/>
    <w:basedOn w:val="Default"/>
    <w:next w:val="Default"/>
    <w:uiPriority w:val="99"/>
    <w:rsid w:val="00DA528E"/>
    <w:rPr>
      <w:rFonts w:cstheme="minorBidi"/>
      <w:color w:val="auto"/>
    </w:rPr>
  </w:style>
  <w:style w:type="paragraph" w:customStyle="1" w:styleId="CM22">
    <w:name w:val="CM22"/>
    <w:basedOn w:val="Default"/>
    <w:next w:val="Default"/>
    <w:uiPriority w:val="99"/>
    <w:rsid w:val="00DA528E"/>
    <w:pPr>
      <w:spacing w:line="358" w:lineRule="atLeast"/>
    </w:pPr>
    <w:rPr>
      <w:rFonts w:cstheme="minorBidi"/>
      <w:color w:val="auto"/>
    </w:rPr>
  </w:style>
  <w:style w:type="paragraph" w:customStyle="1" w:styleId="CM23">
    <w:name w:val="CM23"/>
    <w:basedOn w:val="Default"/>
    <w:next w:val="Default"/>
    <w:uiPriority w:val="99"/>
    <w:rsid w:val="00DA528E"/>
    <w:pPr>
      <w:spacing w:line="358" w:lineRule="atLeast"/>
    </w:pPr>
    <w:rPr>
      <w:rFonts w:cstheme="minorBidi"/>
      <w:color w:val="auto"/>
    </w:rPr>
  </w:style>
  <w:style w:type="paragraph" w:customStyle="1" w:styleId="CM24">
    <w:name w:val="CM24"/>
    <w:basedOn w:val="Default"/>
    <w:next w:val="Default"/>
    <w:uiPriority w:val="99"/>
    <w:rsid w:val="00DA528E"/>
    <w:pPr>
      <w:spacing w:line="358" w:lineRule="atLeast"/>
    </w:pPr>
    <w:rPr>
      <w:rFonts w:cstheme="minorBidi"/>
      <w:color w:val="auto"/>
    </w:rPr>
  </w:style>
  <w:style w:type="paragraph" w:customStyle="1" w:styleId="CM27">
    <w:name w:val="CM27"/>
    <w:basedOn w:val="Default"/>
    <w:next w:val="Default"/>
    <w:uiPriority w:val="99"/>
    <w:rsid w:val="00DA528E"/>
    <w:pPr>
      <w:spacing w:line="360" w:lineRule="atLeast"/>
    </w:pPr>
    <w:rPr>
      <w:rFonts w:cstheme="minorBidi"/>
      <w:color w:val="auto"/>
    </w:rPr>
  </w:style>
  <w:style w:type="paragraph" w:customStyle="1" w:styleId="CM87">
    <w:name w:val="CM87"/>
    <w:basedOn w:val="Default"/>
    <w:next w:val="Default"/>
    <w:uiPriority w:val="99"/>
    <w:rsid w:val="00DA528E"/>
    <w:rPr>
      <w:rFonts w:cstheme="minorBidi"/>
      <w:color w:val="auto"/>
    </w:rPr>
  </w:style>
  <w:style w:type="paragraph" w:customStyle="1" w:styleId="CM83">
    <w:name w:val="CM83"/>
    <w:basedOn w:val="Default"/>
    <w:next w:val="Default"/>
    <w:uiPriority w:val="99"/>
    <w:rsid w:val="00DA528E"/>
    <w:rPr>
      <w:rFonts w:cstheme="minorBidi"/>
      <w:color w:val="auto"/>
    </w:rPr>
  </w:style>
  <w:style w:type="paragraph" w:customStyle="1" w:styleId="CM33">
    <w:name w:val="CM33"/>
    <w:basedOn w:val="Default"/>
    <w:next w:val="Default"/>
    <w:uiPriority w:val="99"/>
    <w:rsid w:val="00DA528E"/>
    <w:pPr>
      <w:spacing w:line="360" w:lineRule="atLeast"/>
    </w:pPr>
    <w:rPr>
      <w:rFonts w:cstheme="minorBidi"/>
      <w:color w:val="auto"/>
    </w:rPr>
  </w:style>
  <w:style w:type="paragraph" w:customStyle="1" w:styleId="CM90">
    <w:name w:val="CM90"/>
    <w:basedOn w:val="Default"/>
    <w:next w:val="Default"/>
    <w:uiPriority w:val="99"/>
    <w:rsid w:val="00DA528E"/>
    <w:rPr>
      <w:rFonts w:cstheme="minorBidi"/>
      <w:color w:val="auto"/>
    </w:rPr>
  </w:style>
  <w:style w:type="paragraph" w:customStyle="1" w:styleId="CM36">
    <w:name w:val="CM36"/>
    <w:basedOn w:val="Default"/>
    <w:next w:val="Default"/>
    <w:uiPriority w:val="99"/>
    <w:rsid w:val="00DA528E"/>
    <w:pPr>
      <w:spacing w:line="358" w:lineRule="atLeast"/>
    </w:pPr>
    <w:rPr>
      <w:rFonts w:cstheme="minorBidi"/>
      <w:color w:val="auto"/>
    </w:rPr>
  </w:style>
  <w:style w:type="character" w:styleId="aff7">
    <w:name w:val="Emphasis"/>
    <w:basedOn w:val="a0"/>
    <w:qFormat/>
    <w:rsid w:val="009D5CB4"/>
    <w:rPr>
      <w:i/>
      <w:iCs/>
    </w:rPr>
  </w:style>
  <w:style w:type="paragraph" w:customStyle="1" w:styleId="26">
    <w:name w:val="正文首行缩进2字"/>
    <w:basedOn w:val="a"/>
    <w:rsid w:val="007527C1"/>
    <w:pPr>
      <w:adjustRightInd w:val="0"/>
      <w:snapToGrid w:val="0"/>
      <w:spacing w:line="312" w:lineRule="auto"/>
      <w:ind w:firstLineChars="200" w:firstLine="20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footnotes" Target="footnotes.xml"/><Relationship Id="rId17"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面向神经退行性疾病的分层知识图谱构建与证据驱动问答研究</dc:title>
  <dc:subject>NeuroGRA 开题报告</dc:subject>
  <dc:creator/>
  <cp:keywords/>
  <dc:description/>
  <cp:lastModifiedBy/>
  <cp:revision>1</cp:revision>
  <dcterms:created xsi:type="dcterms:W3CDTF">2013-12-23T23:15:00Z</dcterms:created>
  <dcterms:modified xsi:type="dcterms:W3CDTF">2013-12-23T23:15:00Z</dcterms:modified>
  <cp:category/>
</cp:coreProperties>
</file>