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68C04">
      <w:pPr>
        <w:pStyle w:val="31"/>
        <w:spacing w:after="200"/>
        <w:jc w:val="center"/>
      </w:pPr>
      <w:r>
        <w:rPr>
          <w:rFonts w:ascii="Times New Roman" w:hAnsi="Times New Roman" w:eastAsia="宋体"/>
          <w:b/>
          <w:sz w:val="32"/>
        </w:rPr>
        <w:t>知识图谱与 RAG 在医疗领域应用研究现状综述</w:t>
      </w:r>
    </w:p>
    <w:p w14:paraId="0B969775">
      <w:pPr>
        <w:pStyle w:val="3"/>
        <w:spacing w:before="240" w:after="0"/>
      </w:pPr>
      <w:r>
        <w:rPr>
          <w:rFonts w:ascii="Times New Roman" w:hAnsi="Times New Roman" w:eastAsia="宋体"/>
          <w:b/>
          <w:sz w:val="30"/>
        </w:rPr>
        <w:t>1. 研究背景与问题界定</w:t>
      </w:r>
    </w:p>
    <w:p w14:paraId="596BA56A">
      <w:pPr>
        <w:spacing w:before="0" w:after="100" w:line="276" w:lineRule="auto"/>
        <w:ind w:firstLine="420"/>
      </w:pPr>
      <w:r>
        <w:rPr>
          <w:rFonts w:ascii="Times New Roman" w:hAnsi="Times New Roman" w:eastAsia="宋体"/>
          <w:b w:val="0"/>
          <w:sz w:val="24"/>
        </w:rPr>
        <w:t>近年来，大语言模型在医学问答、病例摘要、辅助诊疗、病历质控和医学文献处理等任务中表现出较强的自然语言理解与生成能力。与传统机器学习模型相比，大语言模型能够处理非结构化医学文本，解释复杂医学概念，并通过对话形式支持医生、患者和研究者获取医学信息。但是，医疗场景对可靠性、可解释性和可追溯性要求极高，单纯依赖模型参数记忆生成回答，容易出现知识过时、事实错误、文献引用不准确和医学幻觉等问题[1-3]。</w:t>
      </w:r>
      <w:bookmarkStart w:id="0" w:name="_GoBack"/>
      <w:bookmarkEnd w:id="0"/>
    </w:p>
    <w:p w14:paraId="694EE803">
      <w:pPr>
        <w:spacing w:before="0" w:after="100" w:line="276" w:lineRule="auto"/>
        <w:ind w:firstLine="420"/>
      </w:pPr>
      <w:r>
        <w:rPr>
          <w:rFonts w:ascii="Times New Roman" w:hAnsi="Times New Roman" w:eastAsia="宋体"/>
          <w:b w:val="0"/>
          <w:sz w:val="24"/>
        </w:rPr>
        <w:t>检索增强生成（Retrieval-Augmented Generation，RAG）和知识图谱（Knowledge Graph，KG）正是在这一背景下受到关注。RAG 通过从外部知识库中检索相关文档片段，为大语言模型提供可更新的领域知识；知识图谱则通过实体、关系和路径显式组织医学知识，能够表达疾病、症状、检查、药物、指南、证据和诊疗规则之间的结构化联系。二者结合后，医疗智能系统不仅可以利用文本知识，还可以借助图结构进行候选知识扩展、关系约束、证据追踪和推理路径解释[4-7]。</w:t>
      </w:r>
    </w:p>
    <w:p w14:paraId="1E24F121">
      <w:pPr>
        <w:spacing w:before="0" w:after="100" w:line="276" w:lineRule="auto"/>
        <w:ind w:firstLine="420"/>
      </w:pPr>
      <w:r>
        <w:rPr>
          <w:rFonts w:ascii="Times New Roman" w:hAnsi="Times New Roman" w:eastAsia="宋体"/>
          <w:b w:val="0"/>
          <w:sz w:val="24"/>
        </w:rPr>
        <w:t>从 2025 年以来的研究进展看，医疗领域中的知识图谱和 RAG 应用已经从早期的医学知识问答，逐渐扩展到临床辅助决策、电子病历分析、医疗质控、疾病预测、健康事实核查、患者教育、多模态报告生成和医学科研支持等场景。2026 年多篇系统综述进一步指出，医疗 RAG 仍处在快速发展和临床验证不足并存的阶段：一方面，研究数量快速增长，应用覆盖医学问答、报告生成、信息抽取、临床决策支持和患者教育；另一方面，私有临床数据使用不足、英文中心化检索明显、安全性和公平性评价不足、神经内科等高价值专科场景仍相对缺乏[14-17]。特别是在辅助诊疗任务中，模型输出不应只是流畅的诊断建议，而应能够说明依据了哪些病例证据、指南条款、医学文献和图谱路径。因此，梳理知识图谱与 RAG 在医疗领域的研究现状，有助于明确当前方法的技术路线、应用边界和后续改进方向。</w:t>
      </w:r>
    </w:p>
    <w:p w14:paraId="18E12E85">
      <w:pPr>
        <w:pStyle w:val="3"/>
        <w:spacing w:before="240" w:after="0"/>
      </w:pPr>
      <w:r>
        <w:rPr>
          <w:rFonts w:ascii="Times New Roman" w:hAnsi="Times New Roman" w:eastAsia="宋体"/>
          <w:b/>
          <w:sz w:val="30"/>
        </w:rPr>
        <w:t>2. 医疗知识图谱研究现状</w:t>
      </w:r>
    </w:p>
    <w:p w14:paraId="5101D91A">
      <w:pPr>
        <w:spacing w:before="0" w:after="100" w:line="276" w:lineRule="auto"/>
        <w:ind w:firstLine="420"/>
      </w:pPr>
      <w:r>
        <w:rPr>
          <w:rFonts w:ascii="Times New Roman" w:hAnsi="Times New Roman" w:eastAsia="宋体"/>
          <w:b w:val="0"/>
          <w:sz w:val="24"/>
        </w:rPr>
        <w:t>医疗知识图谱是知识图谱技术在医学领域的典型应用形式，其核心目标是将医学概念和临床事实转化为结构化知识网络。与普通文本资料相比，医疗知识图谱能够显式表达疾病与症状、疾病与检查、药物与适应证、药物与不良反应、检查结果与诊断依据、指南条款与临床决策之间的关系。因此，它不仅可以用于医学知识检索，还可以为医学推理、临床路径推荐和模型解释提供结构化支撑[5-6]。</w:t>
      </w:r>
    </w:p>
    <w:p w14:paraId="530F612A">
      <w:pPr>
        <w:spacing w:before="0" w:after="100" w:line="276" w:lineRule="auto"/>
        <w:ind w:firstLine="420"/>
      </w:pPr>
      <w:r>
        <w:rPr>
          <w:rFonts w:ascii="Times New Roman" w:hAnsi="Times New Roman" w:eastAsia="宋体"/>
          <w:b w:val="0"/>
          <w:sz w:val="24"/>
        </w:rPr>
        <w:t>早期医疗知识图谱研究主要关注医学知识的构建、融合和补全。数据来源通常包括医学本体、临床指南、医学教材、电子病历、医学文献、药物数据库和公共生物医学知识库等。Murali 等围绕基于电子健康记录的医学知识图谱构建、补全与应用进行了综述，指出电子病历中包含大量患者级临床事件和纵向病程信息，知识图谱能够将这些信息组织为可计算的语义网络，从而支持疾病预测、风险分层和临床决策[8]。Budhdeo 等对生物医学和医疗健康领域的知识图谱研究进行了范围综述，发现药物重定位、医学科学发现、疾病机制挖掘和医学知识管理是当前研究较多的方向，同时指出面向具体临床任务的专病图谱仍相对不足[9]。</w:t>
      </w:r>
    </w:p>
    <w:p w14:paraId="599E8440">
      <w:pPr>
        <w:spacing w:before="0" w:after="100" w:line="276" w:lineRule="auto"/>
        <w:ind w:firstLine="420"/>
      </w:pPr>
      <w:r>
        <w:rPr>
          <w:rFonts w:ascii="Times New Roman" w:hAnsi="Times New Roman" w:eastAsia="宋体"/>
          <w:b w:val="0"/>
          <w:sz w:val="24"/>
        </w:rPr>
        <w:t>在可解释医学人工智能方面，知识图谱也具有重要价值。Rajabi 和 Kafaie 认为，知识图谱可以在模型输入、模型内部推理和模型输出解释三个层面支持可解释 AI：在输入层面，图谱用于组织和筛选外部知识；在推理层面，图谱路径能够辅助模型进行多跳推断；在输出层面，图谱可以为模型结论提供实体关系和路径依据[6]。对于临床辅助诊疗而言，这种可解释性并不是附加功能，而是模型进入真实医疗流程的基本前提。</w:t>
      </w:r>
    </w:p>
    <w:p w14:paraId="0E8A5279">
      <w:pPr>
        <w:spacing w:before="0" w:after="100" w:line="276" w:lineRule="auto"/>
        <w:ind w:firstLine="420"/>
      </w:pPr>
      <w:r>
        <w:rPr>
          <w:rFonts w:ascii="Times New Roman" w:hAnsi="Times New Roman" w:eastAsia="宋体"/>
          <w:b w:val="0"/>
          <w:sz w:val="24"/>
        </w:rPr>
        <w:t>随着大语言模型的发展，医疗知识图谱的研究重点开始从静态知识库建设转向与大语言模型协同，并进一步转向动态更新和时序知识建模。姚行志在《基于大语言模型的医疗知识图谱扩充与应用》中利用大语言模型从医学文本中抽取关系三元组，并通过实体对齐和关系一致性检查扩充医疗知识图谱；在下游任务中，该研究将向量知识库与医疗知识图谱结合，先从向量知识库中检索外部医学文本，再利用知识图谱子图对大语言模型输出进行校正[10]。这一思路说明，医疗知识图谱不仅可以作为查询对象，也可以作为大语言模型输出结果的校验和补充机制。2026 年 Zhang 等提出 MedKGent，利用两个专门智能体从 1975—2023 年超过 1000 万篇 PubMed 摘要中增量构建时序医学知识图谱，形成 156275 个实体和 2971384 条三元组，并在多个医学问答基准上增强了 5 类大语言模型的 RAG 表现[10]。该研究说明，医学知识图谱已经不再只是人工整理的静态资源，而正在成为可持续更新、可处理知识冲突和时间演化的医学 AI 基础设施。</w:t>
      </w:r>
    </w:p>
    <w:p w14:paraId="7CC6EA34">
      <w:pPr>
        <w:spacing w:before="0" w:after="100" w:line="276" w:lineRule="auto"/>
        <w:ind w:firstLine="420"/>
      </w:pPr>
      <w:r>
        <w:rPr>
          <w:rFonts w:ascii="Times New Roman" w:hAnsi="Times New Roman" w:eastAsia="宋体"/>
          <w:b w:val="0"/>
          <w:sz w:val="24"/>
        </w:rPr>
        <w:t>高福财在《基于知识图谱和大语言模型的医疗辅助诊断系统》中提出全局修剪检索方法，通过广度优先搜索从知识图谱中检索相关实体和关系，并从全局视角剪枝形成高相关实体子图，再通过最短路径连接多个子图，用于辅助大语言模型生成诊断建议；同时，该研究引入事实核查模块，对生成结果进行支持和反驳论证，以降低医疗场景中的幻觉风险[11]。刘览在《基于检索增强大语言模型的病案质检方法研究》中将知识图谱用于病案质检任务，通过外部知识库和实体关系挖掘提升检索知识与病历输入之间的相关性[12]。这些研究体现出国内医疗知识图谱应用正在从“知识展示”走向“任务增强”。</w:t>
      </w:r>
    </w:p>
    <w:p w14:paraId="0D6ED5EE">
      <w:pPr>
        <w:pStyle w:val="3"/>
        <w:spacing w:before="240" w:after="0"/>
      </w:pPr>
      <w:r>
        <w:rPr>
          <w:rFonts w:ascii="Times New Roman" w:hAnsi="Times New Roman" w:eastAsia="宋体"/>
          <w:b/>
          <w:sz w:val="30"/>
        </w:rPr>
        <w:t>3. RAG 在医疗领域的应用研究现状</w:t>
      </w:r>
    </w:p>
    <w:p w14:paraId="786E9CC1">
      <w:pPr>
        <w:spacing w:before="0" w:after="100" w:line="276" w:lineRule="auto"/>
        <w:ind w:firstLine="420"/>
      </w:pPr>
      <w:r>
        <w:rPr>
          <w:rFonts w:ascii="Times New Roman" w:hAnsi="Times New Roman" w:eastAsia="宋体"/>
          <w:b w:val="0"/>
          <w:sz w:val="24"/>
        </w:rPr>
        <w:t>RAG 的基本思想是在大语言模型生成回答之前，从外部知识库中检索与问题相关的文档、证据或知识片段，并将检索结果作为上下文输入模型。Lewis 等较早提出 RAG 框架，用于知识密集型自然语言处理任务[13]。随后，RAG 逐渐发展出基础 RAG、高级 RAG 和模块化 RAG 等形式，检索、重排序、上下文压缩、生成约束和结果验证等环节不断被细化[4]。</w:t>
      </w:r>
    </w:p>
    <w:p w14:paraId="01D2D7B4">
      <w:pPr>
        <w:spacing w:before="0" w:after="100" w:line="276" w:lineRule="auto"/>
        <w:ind w:firstLine="420"/>
      </w:pPr>
      <w:r>
        <w:rPr>
          <w:rFonts w:ascii="Times New Roman" w:hAnsi="Times New Roman" w:eastAsia="宋体"/>
          <w:b w:val="0"/>
          <w:sz w:val="24"/>
        </w:rPr>
        <w:t>医疗领域对 RAG 的需求尤为突出。医学知识更新快，专业术语复杂，且许多问题需要结合指南、药品说明书、医学文献和患者病历进行判断。如果大语言模型只依赖训练阶段获得的参数知识，就难以及时反映最新指南和研究证据。RAG 通过接入外部医学知识库，可以在一定程度上缓解知识过时问题，并为模型回答提供可追溯来源。Abo El-Enen 等在医疗 RAG 综述中指出，RAG 已被用于医学问答、临床决策支持、治疗建议、医学教育、患者沟通和多模态医学数据解释等任务，但同时必须面对数据隐私、知识源可信度、算法偏差、临床工作流集成和监管合规等挑战[15]。2026 年 Cell Reports Medicine 的范围综述进一步纳入 251 项医学 RAG 研究，指出现有研究主要依赖公开数据，私有临床数据使用有限，检索模型仍以英文嵌入模型为主，生成模型多采用通用 LLM，安全性、公平性和偏倚评估仍不足[16]。另一项 2026 年系统综述则从 10 个医学领域分析 RAG 应用，指出多数实现仍停留在基础 RAG，对查询改写、重排序、后检索验证、多轮自适应检索等高级技术利用不足，且神经内科等高优先级领域仍明显缺乏应用研究[14]。</w:t>
      </w:r>
    </w:p>
    <w:p w14:paraId="2F66B6CA">
      <w:pPr>
        <w:spacing w:before="0" w:after="100" w:line="276" w:lineRule="auto"/>
        <w:ind w:firstLine="420"/>
      </w:pPr>
      <w:r>
        <w:rPr>
          <w:rFonts w:ascii="Times New Roman" w:hAnsi="Times New Roman" w:eastAsia="宋体"/>
          <w:b w:val="0"/>
          <w:sz w:val="24"/>
        </w:rPr>
        <w:t>从应用类型看，医疗 RAG 主要可分为四类。第一类是面向医学知识问答的 RAG，即基于医学教材、指南、PubMed 文献、临床路径和药品数据库构建检索库，为医学问题提供证据支持。第二类是面向电子病历和临床文书的 RAG，即将医院内部规范、质控规则、病案首页要求和病历书写规则接入模型，用于病案质检、病历摘要和医疗文书审核。第三类是面向辅助诊疗的 RAG，即围绕患者症状、检查结果和病史描述检索相关指南与文献，生成诊断倾向、鉴别诊断和补充检查建议。第四类是面向健康事实核查和患者教育的 RAG，即对医学声明、患者咨询和健康科普内容进行证据检索与真实性判断[11-14]。</w:t>
      </w:r>
    </w:p>
    <w:p w14:paraId="5381600F">
      <w:pPr>
        <w:spacing w:before="0" w:after="100" w:line="276" w:lineRule="auto"/>
        <w:ind w:firstLine="420"/>
      </w:pPr>
      <w:r>
        <w:rPr>
          <w:rFonts w:ascii="Times New Roman" w:hAnsi="Times New Roman" w:eastAsia="宋体"/>
          <w:b w:val="0"/>
          <w:sz w:val="24"/>
        </w:rPr>
        <w:t>然而，普通 RAG 在医疗场景中仍存在明显局限。2026 年的多篇综述共同指出，医疗 RAG 的问题已不只是“是否能检索到文本”，而是能否在复杂临床任务中实现可信、可复核和可部署的证据组织。首先，基于向量相似度的检索容易得到语义相近但医学关系不明确的文本片段，不能保证覆盖诊断标准、反证信息和鉴别诊断依据。其次，医学推理常常需要多跳关系，例如从症状到疾病假设，再到检查证据、诊断标准和治疗策略，普通文本片段检索难以显式表达这种链式关系。再次，医疗证据之间可能存在支持、反驳、缺失和冲突等不同极性，普通 RAG 往往只是把检索片段拼接到上下文中，缺少对证据作用方向的建模。最后，RAG 并不天然保证生成结果中的每个关键结论都能准确对应到原始证据和知识来源。</w:t>
      </w:r>
    </w:p>
    <w:p w14:paraId="023DCA54">
      <w:pPr>
        <w:pStyle w:val="3"/>
        <w:spacing w:before="240" w:after="0"/>
      </w:pPr>
      <w:r>
        <w:rPr>
          <w:rFonts w:ascii="Times New Roman" w:hAnsi="Times New Roman" w:eastAsia="宋体"/>
          <w:b/>
          <w:sz w:val="30"/>
        </w:rPr>
        <w:t>4. 知识图谱增强 RAG 研究现状</w:t>
      </w:r>
    </w:p>
    <w:p w14:paraId="232A2249">
      <w:pPr>
        <w:spacing w:before="0" w:after="100" w:line="276" w:lineRule="auto"/>
        <w:ind w:firstLine="420"/>
      </w:pPr>
      <w:r>
        <w:rPr>
          <w:rFonts w:ascii="Times New Roman" w:hAnsi="Times New Roman" w:eastAsia="宋体"/>
          <w:b w:val="0"/>
          <w:sz w:val="24"/>
        </w:rPr>
        <w:t>知识图谱增强 RAG 是近年来 RAG 方法的重要发展方向。传统 RAG 通常以文档块为基本检索单元，而知识图谱增强 RAG 进一步将实体、关系、路径、子图和文档之间的链接纳入检索过程，使模型能够利用结构化知识进行候选扩展和关系约束。Peng 等在 GraphRAG 综述中指出，GraphRAG 通过图索引、图引导检索和图增强生成等方式，将图结构知识引入大语言模型，在复杂推理、上下文组织和多跳知识利用方面具有潜力[7]。</w:t>
      </w:r>
    </w:p>
    <w:p w14:paraId="44181446">
      <w:pPr>
        <w:spacing w:before="0" w:after="100" w:line="276" w:lineRule="auto"/>
        <w:ind w:firstLine="420"/>
      </w:pPr>
      <w:r>
        <w:rPr>
          <w:rFonts w:ascii="Times New Roman" w:hAnsi="Times New Roman" w:eastAsia="宋体"/>
          <w:b w:val="0"/>
          <w:sz w:val="24"/>
        </w:rPr>
        <w:t>在生物医学领域，Soman 等提出 KG-RAG 框架，将大规模生物医学知识图谱 SPOKE 与大语言模型结合。该方法先识别用户问题中的生物医学实体，再从知识图谱中抽取相关概念和路径，并对上下文进行剪枝和提示构造，为大语言模型提供结构化医学背景。实验结果显示，KG-RAG 能够提升多个大语言模型在生物医学问答任务中的表现，并减少上下文 token 消耗[15]。这类研究说明，知识图谱可以作为医学 RAG 的结构化中介，将原本分散的文本检索转化为围绕实体和关系展开的知识组织过程。</w:t>
      </w:r>
    </w:p>
    <w:p w14:paraId="1C8F60D7">
      <w:pPr>
        <w:spacing w:before="0" w:after="100" w:line="276" w:lineRule="auto"/>
        <w:ind w:firstLine="420"/>
      </w:pPr>
      <w:r>
        <w:rPr>
          <w:rFonts w:ascii="Times New Roman" w:hAnsi="Times New Roman" w:eastAsia="宋体"/>
          <w:b w:val="0"/>
          <w:sz w:val="24"/>
        </w:rPr>
        <w:t>Wu 等提出的 MedGraphRAG 则进一步将 GraphRAG 引入医学证据生成场景。该方法通过三元图构建和 U-Retrieval 检索机制，将用户文档与可信医学来源连接起来，并结合自上而下的精确检索与自下而上的回答优化，在多个医学问答、健康事实核查和长文本生成任务中取得较好效果[16]。该研究的意义在于，它将医疗 RAG 的目标从“生成医学回答”推进到“生成有证据支持的医学回答”，强调医学知识来源的可信性和回答依据的可追溯性。</w:t>
      </w:r>
    </w:p>
    <w:p w14:paraId="7AE5D09E">
      <w:pPr>
        <w:spacing w:before="0" w:after="100" w:line="276" w:lineRule="auto"/>
        <w:ind w:firstLine="420"/>
      </w:pPr>
      <w:r>
        <w:rPr>
          <w:rFonts w:ascii="Times New Roman" w:hAnsi="Times New Roman" w:eastAsia="宋体"/>
          <w:b w:val="0"/>
          <w:sz w:val="24"/>
        </w:rPr>
        <w:t>Zhao 等提出的 MedRAG 面向 Healthcare Copilot 场景，将知识图谱诱导推理引入 RAG 模型。该方法构建四层层级诊断知识图谱，刻画不同疾病之间的关键诊断差异，并将图谱中的诊断差异与电子病历相似病例检索结果结合，用于提升诊断建议的准确性和特异性[17]。与普通医学问答不同，临床诊断往往需要区分表现相似但病因不同的疾病，因此 MedRAG 对“相似疾病之间关键差异”的建模，对辅助诊疗系统具有较强启发。</w:t>
      </w:r>
    </w:p>
    <w:p w14:paraId="7AE5D09E">
      <w:pPr>
        <w:spacing w:before="0" w:after="100" w:line="276" w:lineRule="auto"/>
        <w:ind w:firstLine="420"/>
      </w:pPr>
      <w:r>
        <w:rPr>
          <w:rFonts w:ascii="Times New Roman" w:hAnsi="Times New Roman" w:eastAsia="宋体"/>
          <w:b w:val="0"/>
          <w:sz w:val="24"/>
        </w:rPr>
        <w:t>Li 等提出的 MedCoRAG 面向肝病辅助诊断，将临床指南检索、UMLS 知识图谱路径与多专科智能体协作结合。该方法先从病例中提取并规范化异常发现，生成候选诊断，再联合检索指南片段与图谱路径，依据完整病例语境和指南对路径进行修剪，形成患者相关证据包。在推理阶段，路由智能体根据病例复杂程度调度相关专科智能体；当现有证据不足时，专科智能体提出具体问题并触发定向再检索，最后由综合智能体整合分析结果，形成可追溯的诊断结论[29]。研究在 MIMIC-IV 肝病病例上进行了评价，报告了诊断表现和推理可解释性的改善。该工作说明，知识图谱增强 RAG 可以进一步与指南约束和迭代协作结合，使证据检索参与诊断判断的更新，为专病辅助诊疗系统提供方法参考。</w:t>
      </w:r>
    </w:p>
    <w:p w14:paraId="52B6CF5E">
      <w:pPr>
        <w:spacing w:before="0" w:after="100" w:line="276" w:lineRule="auto"/>
        <w:ind w:firstLine="420"/>
      </w:pPr>
      <w:r>
        <w:rPr>
          <w:rFonts w:ascii="Times New Roman" w:hAnsi="Times New Roman" w:eastAsia="宋体"/>
          <w:b w:val="0"/>
          <w:sz w:val="24"/>
        </w:rPr>
        <w:t>除文本知识外，2026 年研究开始强调多模态 RAG 和神经符号 RAG。医学多模态 RAG 综述指出，传统 RAG 主要依赖文本知识，但真实临床决策还依赖影像、病理切片、生理信号、结构化检查和医患对话等多模态信息，单纯文本检索可能削弱诊断准确性[17]。2026 年关于心理健康神经符号 RAG 的综述则将可解释 RAG 视为信息融合问题，从检索前、检索中和检索后三个阶段讨论符号知识、规则约束、时序信息和不确定性建模，强调忠实性、一致性、审计性和临床部署[22]。这些进展提示，医疗 KG-RAG 的前沿已经从“文本增强生成”转向“结构化知识、多模态证据和可审计推理的融合”。国内研究也开始从不同角度探索知识图谱与 RAG 的结合。王梦涵在知识图谱问答研究中将大语言模型用于多跳推理路径规划和迭代知识检索，说明图谱问答任务中相关三元组检索和推理链验证仍是关键问题[18]。卿正将知识图谱问答、检索增强生成和大模型问答组织为多通道问答框架，根据问题复杂度选择不同问答路径[19]。这些工作虽不完全局限于医疗领域，但对医疗 KG-RAG 系统具有方法借鉴意义，即不同复杂度的问题可能需要不同程度的图谱推理、文本检索和模型生成协同。</w:t>
      </w:r>
    </w:p>
    <w:p w14:paraId="60E85458">
      <w:pPr>
        <w:pStyle w:val="3"/>
        <w:spacing w:before="240" w:after="0"/>
      </w:pPr>
      <w:r>
        <w:rPr>
          <w:rFonts w:ascii="Times New Roman" w:hAnsi="Times New Roman" w:eastAsia="宋体"/>
          <w:b/>
          <w:sz w:val="30"/>
        </w:rPr>
        <w:t>5. 医疗应用场景中的代表性进展</w:t>
      </w:r>
    </w:p>
    <w:p w14:paraId="4D77E528">
      <w:pPr>
        <w:spacing w:before="0" w:after="100" w:line="276" w:lineRule="auto"/>
        <w:ind w:firstLine="420"/>
      </w:pPr>
      <w:r>
        <w:rPr>
          <w:rFonts w:ascii="Times New Roman" w:hAnsi="Times New Roman" w:eastAsia="宋体"/>
          <w:b w:val="0"/>
          <w:sz w:val="24"/>
        </w:rPr>
        <w:t>从现有文献看，知识图谱和 RAG 在医疗领域的应用已经覆盖多个层面。为便于比较，可将代表性研究概括为表 1。</w:t>
      </w:r>
    </w:p>
    <w:p w14:paraId="55AEE38F">
      <w:pPr>
        <w:spacing w:after="80"/>
        <w:jc w:val="center"/>
      </w:pPr>
      <w:r>
        <w:rPr>
          <w:rFonts w:ascii="Times New Roman" w:hAnsi="Times New Roman" w:eastAsia="宋体"/>
          <w:b w:val="0"/>
          <w:sz w:val="21"/>
        </w:rPr>
        <w:t>表 1  知识图谱与 RAG 在医疗领域应用的代表性研究</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05"/>
        <w:gridCol w:w="2705"/>
        <w:gridCol w:w="2705"/>
        <w:gridCol w:w="2705"/>
      </w:tblGrid>
      <w:tr w14:paraId="1CA7B8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shd w:val="clear" w:color="auto" w:fill="D9EAF7"/>
          </w:tcPr>
          <w:p w14:paraId="2D7A4688">
            <w:pPr>
              <w:spacing w:after="0"/>
              <w:jc w:val="center"/>
            </w:pPr>
            <w:r>
              <w:rPr>
                <w:rFonts w:ascii="Times New Roman" w:hAnsi="Times New Roman" w:eastAsia="宋体"/>
                <w:b/>
                <w:sz w:val="21"/>
              </w:rPr>
              <w:t>研究方向</w:t>
            </w:r>
          </w:p>
        </w:tc>
        <w:tc>
          <w:tcPr>
            <w:tcW w:w="2705" w:type="dxa"/>
            <w:shd w:val="clear" w:color="auto" w:fill="D9EAF7"/>
          </w:tcPr>
          <w:p w14:paraId="50BFE444">
            <w:pPr>
              <w:spacing w:after="0"/>
              <w:jc w:val="center"/>
            </w:pPr>
            <w:r>
              <w:rPr>
                <w:rFonts w:ascii="Times New Roman" w:hAnsi="Times New Roman" w:eastAsia="宋体"/>
                <w:b/>
                <w:sz w:val="21"/>
              </w:rPr>
              <w:t>代表性工作</w:t>
            </w:r>
          </w:p>
        </w:tc>
        <w:tc>
          <w:tcPr>
            <w:tcW w:w="2705" w:type="dxa"/>
            <w:shd w:val="clear" w:color="auto" w:fill="D9EAF7"/>
          </w:tcPr>
          <w:p w14:paraId="7872C935">
            <w:pPr>
              <w:spacing w:after="0"/>
              <w:jc w:val="center"/>
            </w:pPr>
            <w:r>
              <w:rPr>
                <w:rFonts w:ascii="Times New Roman" w:hAnsi="Times New Roman" w:eastAsia="宋体"/>
                <w:b/>
                <w:sz w:val="21"/>
              </w:rPr>
              <w:t>主要方法</w:t>
            </w:r>
          </w:p>
        </w:tc>
        <w:tc>
          <w:tcPr>
            <w:tcW w:w="2705" w:type="dxa"/>
            <w:shd w:val="clear" w:color="auto" w:fill="D9EAF7"/>
          </w:tcPr>
          <w:p w14:paraId="3D3C2F3C">
            <w:pPr>
              <w:spacing w:after="0"/>
              <w:jc w:val="center"/>
            </w:pPr>
            <w:r>
              <w:rPr>
                <w:rFonts w:ascii="Times New Roman" w:hAnsi="Times New Roman" w:eastAsia="宋体"/>
                <w:b/>
                <w:sz w:val="21"/>
              </w:rPr>
              <w:t>应用价值</w:t>
            </w:r>
          </w:p>
        </w:tc>
      </w:tr>
      <w:tr w14:paraId="4E8A4D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5B7837B7">
            <w:pPr>
              <w:spacing w:after="0"/>
              <w:jc w:val="left"/>
            </w:pPr>
            <w:r>
              <w:rPr>
                <w:rFonts w:ascii="Times New Roman" w:hAnsi="Times New Roman" w:eastAsia="宋体"/>
                <w:b w:val="0"/>
                <w:sz w:val="21"/>
              </w:rPr>
              <w:t>医疗知识图谱构建</w:t>
            </w:r>
          </w:p>
        </w:tc>
        <w:tc>
          <w:tcPr>
            <w:tcW w:w="2705" w:type="dxa"/>
          </w:tcPr>
          <w:p w14:paraId="306F9B51">
            <w:pPr>
              <w:spacing w:after="0"/>
              <w:jc w:val="left"/>
            </w:pPr>
            <w:r>
              <w:rPr>
                <w:rFonts w:ascii="Times New Roman" w:hAnsi="Times New Roman" w:eastAsia="宋体"/>
                <w:b w:val="0"/>
                <w:sz w:val="21"/>
              </w:rPr>
              <w:t>Murali 等；Budhdeo 等</w:t>
            </w:r>
          </w:p>
        </w:tc>
        <w:tc>
          <w:tcPr>
            <w:tcW w:w="2705" w:type="dxa"/>
          </w:tcPr>
          <w:p w14:paraId="14F114EA">
            <w:pPr>
              <w:spacing w:after="0"/>
              <w:jc w:val="left"/>
            </w:pPr>
            <w:r>
              <w:rPr>
                <w:rFonts w:ascii="Times New Roman" w:hAnsi="Times New Roman" w:eastAsia="宋体"/>
                <w:b w:val="0"/>
                <w:sz w:val="21"/>
              </w:rPr>
              <w:t>整合 EHR、医学文献、本体和药物数据库，构建医学实体关系网络</w:t>
            </w:r>
          </w:p>
        </w:tc>
        <w:tc>
          <w:tcPr>
            <w:tcW w:w="2705" w:type="dxa"/>
          </w:tcPr>
          <w:p w14:paraId="2DD4745E">
            <w:pPr>
              <w:spacing w:after="0"/>
              <w:jc w:val="left"/>
            </w:pPr>
            <w:r>
              <w:rPr>
                <w:rFonts w:ascii="Times New Roman" w:hAnsi="Times New Roman" w:eastAsia="宋体"/>
                <w:b w:val="0"/>
                <w:sz w:val="21"/>
              </w:rPr>
              <w:t>支持医学知识管理、疾病预测和临床推理</w:t>
            </w:r>
          </w:p>
        </w:tc>
      </w:tr>
      <w:tr w14:paraId="58860D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46FBB68D">
            <w:pPr>
              <w:spacing w:after="0"/>
              <w:jc w:val="left"/>
            </w:pPr>
            <w:r>
              <w:rPr>
                <w:rFonts w:ascii="Times New Roman" w:hAnsi="Times New Roman" w:eastAsia="宋体"/>
                <w:b w:val="0"/>
                <w:sz w:val="21"/>
              </w:rPr>
              <w:t>医疗 KG 与 LLM 协同</w:t>
            </w:r>
          </w:p>
        </w:tc>
        <w:tc>
          <w:tcPr>
            <w:tcW w:w="2705" w:type="dxa"/>
          </w:tcPr>
          <w:p w14:paraId="43D71B54">
            <w:pPr>
              <w:spacing w:after="0"/>
              <w:jc w:val="left"/>
            </w:pPr>
            <w:r>
              <w:rPr>
                <w:rFonts w:ascii="Times New Roman" w:hAnsi="Times New Roman" w:eastAsia="宋体"/>
                <w:b w:val="0"/>
                <w:sz w:val="21"/>
              </w:rPr>
              <w:t>姚行志；高福财</w:t>
            </w:r>
          </w:p>
        </w:tc>
        <w:tc>
          <w:tcPr>
            <w:tcW w:w="2705" w:type="dxa"/>
          </w:tcPr>
          <w:p w14:paraId="5019C64F">
            <w:pPr>
              <w:spacing w:after="0"/>
              <w:jc w:val="left"/>
            </w:pPr>
            <w:r>
              <w:rPr>
                <w:rFonts w:ascii="Times New Roman" w:hAnsi="Times New Roman" w:eastAsia="宋体"/>
                <w:b w:val="0"/>
                <w:sz w:val="21"/>
              </w:rPr>
              <w:t>利用 LLM 抽取三元组、扩充图谱，并用图谱子图校正或增强生成结果</w:t>
            </w:r>
          </w:p>
        </w:tc>
        <w:tc>
          <w:tcPr>
            <w:tcW w:w="2705" w:type="dxa"/>
          </w:tcPr>
          <w:p w14:paraId="0DBAF16A">
            <w:pPr>
              <w:spacing w:after="0"/>
              <w:jc w:val="left"/>
            </w:pPr>
            <w:r>
              <w:rPr>
                <w:rFonts w:ascii="Times New Roman" w:hAnsi="Times New Roman" w:eastAsia="宋体"/>
                <w:b w:val="0"/>
                <w:sz w:val="21"/>
              </w:rPr>
              <w:t>缓解医学幻觉，提高回答可靠性</w:t>
            </w:r>
          </w:p>
        </w:tc>
      </w:tr>
      <w:tr w14:paraId="244E30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115C5B88">
            <w:pPr>
              <w:spacing w:after="0"/>
              <w:jc w:val="left"/>
            </w:pPr>
            <w:r>
              <w:rPr>
                <w:rFonts w:ascii="Times New Roman" w:hAnsi="Times New Roman" w:eastAsia="宋体"/>
                <w:b w:val="0"/>
                <w:sz w:val="21"/>
              </w:rPr>
              <w:t>医疗 RAG</w:t>
            </w:r>
          </w:p>
        </w:tc>
        <w:tc>
          <w:tcPr>
            <w:tcW w:w="2705" w:type="dxa"/>
          </w:tcPr>
          <w:p w14:paraId="7F7827DF">
            <w:pPr>
              <w:spacing w:after="0"/>
              <w:jc w:val="left"/>
            </w:pPr>
            <w:r>
              <w:rPr>
                <w:rFonts w:ascii="Times New Roman" w:hAnsi="Times New Roman" w:eastAsia="宋体"/>
                <w:b w:val="0"/>
                <w:sz w:val="21"/>
              </w:rPr>
              <w:t>Abo El-Enen 等；刘览</w:t>
            </w:r>
          </w:p>
        </w:tc>
        <w:tc>
          <w:tcPr>
            <w:tcW w:w="2705" w:type="dxa"/>
          </w:tcPr>
          <w:p w14:paraId="73A80FA8">
            <w:pPr>
              <w:spacing w:after="0"/>
              <w:jc w:val="left"/>
            </w:pPr>
            <w:r>
              <w:rPr>
                <w:rFonts w:ascii="Times New Roman" w:hAnsi="Times New Roman" w:eastAsia="宋体"/>
                <w:b w:val="0"/>
                <w:sz w:val="21"/>
              </w:rPr>
              <w:t>基于指南、文献、病历规范和质控规则进行检索增强生成</w:t>
            </w:r>
          </w:p>
        </w:tc>
        <w:tc>
          <w:tcPr>
            <w:tcW w:w="2705" w:type="dxa"/>
          </w:tcPr>
          <w:p w14:paraId="21195FB3">
            <w:pPr>
              <w:spacing w:after="0"/>
              <w:jc w:val="left"/>
            </w:pPr>
            <w:r>
              <w:rPr>
                <w:rFonts w:ascii="Times New Roman" w:hAnsi="Times New Roman" w:eastAsia="宋体"/>
                <w:b w:val="0"/>
                <w:sz w:val="21"/>
              </w:rPr>
              <w:t>用于医学问答、病案质检和临床文书分析</w:t>
            </w:r>
          </w:p>
        </w:tc>
      </w:tr>
      <w:tr w14:paraId="45FA9F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46BE28E1">
            <w:pPr>
              <w:spacing w:after="0"/>
              <w:jc w:val="left"/>
            </w:pPr>
            <w:r>
              <w:rPr>
                <w:rFonts w:ascii="Times New Roman" w:hAnsi="Times New Roman" w:eastAsia="宋体"/>
                <w:b w:val="0"/>
                <w:sz w:val="21"/>
              </w:rPr>
              <w:t>医学 GraphRAG</w:t>
            </w:r>
          </w:p>
        </w:tc>
        <w:tc>
          <w:tcPr>
            <w:tcW w:w="2705" w:type="dxa"/>
          </w:tcPr>
          <w:p w14:paraId="17E672F4">
            <w:pPr>
              <w:spacing w:after="0"/>
              <w:jc w:val="left"/>
            </w:pPr>
            <w:r>
              <w:rPr>
                <w:rFonts w:ascii="Times New Roman" w:hAnsi="Times New Roman" w:eastAsia="宋体"/>
                <w:b w:val="0"/>
                <w:sz w:val="21"/>
              </w:rPr>
              <w:t>Soman 等；Wu 等；Zhao 等</w:t>
            </w:r>
          </w:p>
        </w:tc>
        <w:tc>
          <w:tcPr>
            <w:tcW w:w="2705" w:type="dxa"/>
          </w:tcPr>
          <w:p w14:paraId="12C681A8">
            <w:pPr>
              <w:spacing w:after="0"/>
              <w:jc w:val="left"/>
            </w:pPr>
            <w:r>
              <w:rPr>
                <w:rFonts w:ascii="Times New Roman" w:hAnsi="Times New Roman" w:eastAsia="宋体"/>
                <w:b w:val="0"/>
                <w:sz w:val="21"/>
              </w:rPr>
              <w:t>利用实体、路径、子图和层级诊断图谱增强检索与推理</w:t>
            </w:r>
          </w:p>
        </w:tc>
        <w:tc>
          <w:tcPr>
            <w:tcW w:w="2705" w:type="dxa"/>
          </w:tcPr>
          <w:p w14:paraId="7FEF4B67">
            <w:pPr>
              <w:spacing w:after="0"/>
              <w:jc w:val="left"/>
            </w:pPr>
            <w:r>
              <w:rPr>
                <w:rFonts w:ascii="Times New Roman" w:hAnsi="Times New Roman" w:eastAsia="宋体"/>
                <w:b w:val="0"/>
                <w:sz w:val="21"/>
              </w:rPr>
              <w:t>提升复杂医学问题回答、诊断特异性和证据可追溯性</w:t>
            </w:r>
          </w:p>
        </w:tc>
      </w:tr>
      <w:tr w14:paraId="45FA9F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05" w:type="dxa"/>
          </w:tcPr>
          <w:p w14:paraId="46BE28E1">
            <w:pPr>
              <w:spacing w:after="0"/>
              <w:jc w:val="left"/>
            </w:pPr>
            <w:r>
              <w:rPr>
                <w:rFonts w:ascii="Times New Roman" w:hAnsi="Times New Roman" w:eastAsia="宋体"/>
                <w:b w:val="0"/>
                <w:sz w:val="21"/>
              </w:rPr>
              <w:t>混合检索与多专科协作</w:t>
            </w:r>
          </w:p>
        </w:tc>
        <w:tc>
          <w:tcPr>
            <w:tcW w:w="2705" w:type="dxa"/>
          </w:tcPr>
          <w:p w14:paraId="17E672F4">
            <w:pPr>
              <w:spacing w:after="0"/>
              <w:jc w:val="left"/>
            </w:pPr>
            <w:r>
              <w:rPr>
                <w:rFonts w:ascii="Times New Roman" w:hAnsi="Times New Roman" w:eastAsia="宋体"/>
                <w:b w:val="0"/>
                <w:sz w:val="21"/>
              </w:rPr>
              <w:t>Li 等；MedCoRAG[29]</w:t>
            </w:r>
          </w:p>
        </w:tc>
        <w:tc>
          <w:tcPr>
            <w:tcW w:w="2705" w:type="dxa"/>
          </w:tcPr>
          <w:p w14:paraId="12C681A8">
            <w:pPr>
              <w:spacing w:after="0"/>
              <w:jc w:val="left"/>
            </w:pPr>
            <w:r>
              <w:rPr>
                <w:rFonts w:ascii="Times New Roman" w:hAnsi="Times New Roman" w:eastAsia="宋体"/>
                <w:b w:val="0"/>
                <w:sz w:val="21"/>
              </w:rPr>
              <w:t>联合指南与 UMLS 图路径检索，进行指南约束修剪及定向再检索</w:t>
            </w:r>
          </w:p>
        </w:tc>
        <w:tc>
          <w:tcPr>
            <w:tcW w:w="2705" w:type="dxa"/>
          </w:tcPr>
          <w:p w14:paraId="7FEF4B67">
            <w:pPr>
              <w:spacing w:after="0"/>
              <w:jc w:val="left"/>
            </w:pPr>
            <w:r>
              <w:rPr>
                <w:rFonts w:ascii="Times New Roman" w:hAnsi="Times New Roman" w:eastAsia="宋体"/>
                <w:b w:val="0"/>
                <w:sz w:val="21"/>
              </w:rPr>
              <w:t>支持肝病鉴别分析与可追溯诊断</w:t>
            </w:r>
          </w:p>
        </w:tc>
      </w:tr>
    </w:tbl>
    <w:p w14:paraId="775D91AB">
      <w:pPr>
        <w:spacing w:before="0" w:after="100" w:line="276" w:lineRule="auto"/>
        <w:ind w:firstLine="420"/>
      </w:pPr>
      <w:r>
        <w:rPr>
          <w:rFonts w:ascii="Times New Roman" w:hAnsi="Times New Roman" w:eastAsia="宋体"/>
          <w:b w:val="0"/>
          <w:sz w:val="24"/>
        </w:rPr>
        <w:t>在医学问答场景中，RAG 和 KG-RAG 主要用于提高回答准确性和知识来源可靠性。普通医学问答系统往往只关注答案是否正确，而医疗 RAG 更强调回答是否依据可信来源、是否引用了合适证据、是否避免了过度推断。MedGraphRAG 和 KG-RAG 等方法表明，当医学问题涉及多个实体、多个证据来源和多跳关系时，图结构能够改善检索上下文的组织方式[15-16]。</w:t>
      </w:r>
    </w:p>
    <w:p w14:paraId="158A6A23">
      <w:pPr>
        <w:spacing w:before="0" w:after="100" w:line="276" w:lineRule="auto"/>
        <w:ind w:firstLine="420"/>
      </w:pPr>
      <w:r>
        <w:rPr>
          <w:rFonts w:ascii="Times New Roman" w:hAnsi="Times New Roman" w:eastAsia="宋体"/>
          <w:b w:val="0"/>
          <w:sz w:val="24"/>
        </w:rPr>
        <w:t>在临床辅助诊疗场景中，知识图谱与 RAG 的作用更为复杂。辅助诊疗系统需要从患者症状、既往史、量表、影像、实验室检查和生物标志物中提取证据，并结合指南和文献形成诊断建议。高福财的医疗辅助诊断系统和 Zhao 等的 MedRAG 均表明，诊断类任务不能只检索相似文本，还需要建模疾病之间的鉴别关系和关键诊断差异[11,17]。</w:t>
      </w:r>
    </w:p>
    <w:p w14:paraId="79628F85">
      <w:pPr>
        <w:spacing w:before="0" w:after="100" w:line="276" w:lineRule="auto"/>
        <w:ind w:firstLine="420"/>
      </w:pPr>
      <w:r>
        <w:rPr>
          <w:rFonts w:ascii="Times New Roman" w:hAnsi="Times New Roman" w:eastAsia="宋体"/>
          <w:b w:val="0"/>
          <w:sz w:val="24"/>
        </w:rPr>
        <w:t>在电子病历和病案质控场景中，RAG 的价值在于将医院制度、病历书写规范和质控规则转化为可检索知识，并与患者病历文本进行匹配。刘览的研究说明，面向病案质检任务的检索增强大语言模型能够缓解通用模型医学适配不足和知识更新滞后的问题[12]。与医学问答相比，病案质检更强调规则命中、问题定位和可追溯修改建议，因此知识图谱可以进一步用于表示质控规则、病历字段和错误类型之间的关系。</w:t>
      </w:r>
    </w:p>
    <w:p w14:paraId="06DC8CA1">
      <w:pPr>
        <w:spacing w:before="0" w:after="100" w:line="276" w:lineRule="auto"/>
        <w:ind w:firstLine="420"/>
      </w:pPr>
      <w:r>
        <w:rPr>
          <w:rFonts w:ascii="Times New Roman" w:hAnsi="Times New Roman" w:eastAsia="宋体"/>
          <w:b w:val="0"/>
          <w:sz w:val="24"/>
        </w:rPr>
        <w:t>在疾病预测和个体化决策场景中，知识图谱可以将患者级数据与医学知识连接起来。2026 年 Liu 等提出知识图谱增强大语言模型用于疾病预测，将 MIMIC-III 中的 ICD-9 诊断编码与 PrimeKG 中的疾病、表型、药物和基因等节点对齐，并提取疾病相关邻域和推理路径来增强下一次就诊疾病预测[23]。Kirchler 等则从跨国家、跨编码体系的电子健康记录预测角度出发，说明基于语言模型的语义表示能够缓解不同医疗系统之间编码体系不一致的问题[24]。这类工作提示，未来医疗 RAG 不应仅围绕文献检索展开，也应关注患者数据、临床事件、医学编码、结构化 EHR 和外部医学知识之间的联合建模。</w:t>
      </w:r>
    </w:p>
    <w:p w14:paraId="360633A1">
      <w:pPr>
        <w:pStyle w:val="3"/>
        <w:spacing w:before="240" w:after="0"/>
      </w:pPr>
      <w:r>
        <w:rPr>
          <w:rFonts w:ascii="Times New Roman" w:hAnsi="Times New Roman" w:eastAsia="宋体"/>
          <w:b/>
          <w:sz w:val="30"/>
        </w:rPr>
        <w:t>6. 现有研究不足</w:t>
      </w:r>
    </w:p>
    <w:p w14:paraId="60449F67">
      <w:pPr>
        <w:spacing w:before="0" w:after="100" w:line="276" w:lineRule="auto"/>
        <w:ind w:firstLine="420"/>
      </w:pPr>
      <w:r>
        <w:rPr>
          <w:rFonts w:ascii="Times New Roman" w:hAnsi="Times New Roman" w:eastAsia="宋体"/>
          <w:b w:val="0"/>
          <w:sz w:val="24"/>
        </w:rPr>
        <w:t>综合来看，知识图谱与 RAG 在医疗领域已经形成较清晰的发展趋势，但仍存在若干不足。第一，现有医疗 RAG 多以文本片段检索为主，虽然能够补充外部知识，但对疾病层级、诊断标准、支持证据、反驳证据和证据冲突的结构化建模仍不充分。对于复杂疾病辅助诊疗而言，仅检索相关文献并不能保证模型理解证据之间的医学关系。</w:t>
      </w:r>
    </w:p>
    <w:p w14:paraId="3B6090A3">
      <w:pPr>
        <w:spacing w:before="0" w:after="100" w:line="276" w:lineRule="auto"/>
        <w:ind w:firstLine="420"/>
      </w:pPr>
      <w:r>
        <w:rPr>
          <w:rFonts w:ascii="Times New Roman" w:hAnsi="Times New Roman" w:eastAsia="宋体"/>
          <w:b w:val="0"/>
          <w:sz w:val="24"/>
        </w:rPr>
        <w:t>第二，现有知识图谱增强方法多关注实体、关系和路径检索，对证据极性的区分不足。临床证据并不都是支持结论的，有些证据会削弱某个诊断假设，有些证据提示需要进一步检查，还有些证据之间存在冲突。若图谱只表达“相关”关系，而不表达“支持”“反驳”“缺失”“冲突”等关系，就难以满足临床报告复核需求。</w:t>
      </w:r>
    </w:p>
    <w:p w14:paraId="59F036A9">
      <w:pPr>
        <w:spacing w:before="0" w:after="100" w:line="276" w:lineRule="auto"/>
        <w:ind w:firstLine="420"/>
      </w:pPr>
      <w:r>
        <w:rPr>
          <w:rFonts w:ascii="Times New Roman" w:hAnsi="Times New Roman" w:eastAsia="宋体"/>
          <w:b w:val="0"/>
          <w:sz w:val="24"/>
        </w:rPr>
        <w:t>第三，现有研究常以医学问答准确率、选择题得分或一般文本生成质量作为主要评价指标，对临床可复核性指标关注不足。例如，关键结论是否能回溯到病例原文、引用来源是否准确、反证是否被保留、缺失证据是否被识别、图谱路径是否完整等，都应成为医疗 KG-RAG 系统的重要评价维度。</w:t>
      </w:r>
    </w:p>
    <w:p w14:paraId="380A9EBE">
      <w:pPr>
        <w:spacing w:before="0" w:after="100" w:line="276" w:lineRule="auto"/>
        <w:ind w:firstLine="420"/>
      </w:pPr>
      <w:r>
        <w:rPr>
          <w:rFonts w:ascii="Times New Roman" w:hAnsi="Times New Roman" w:eastAsia="宋体"/>
          <w:b w:val="0"/>
          <w:sz w:val="24"/>
        </w:rPr>
        <w:t>第四，许多研究仍停留在通用医学问答或单轮咨询任务上。2026 年综述显示，医学 RAG 研究虽然数量增长很快，但任务仍集中在问答、报告生成、摘要和信息抽取，真正进入疾病专科诊疗流程、真实世界临床验证和多模态辅助决策的研究仍不足[14,16-17]。在神经退行性疾病、肿瘤、罕见病和慢病管理等复杂场景中，诊断结论往往并非单一标签，而是由临床表现、病理机制、检查证据和不确定性共同构成。</w:t>
      </w:r>
    </w:p>
    <w:p w14:paraId="0BFC6568">
      <w:pPr>
        <w:spacing w:before="0" w:after="100" w:line="276" w:lineRule="auto"/>
        <w:ind w:firstLine="420"/>
      </w:pPr>
      <w:r>
        <w:rPr>
          <w:rFonts w:ascii="Times New Roman" w:hAnsi="Times New Roman" w:eastAsia="宋体"/>
          <w:b w:val="0"/>
          <w:sz w:val="24"/>
        </w:rPr>
        <w:t>第五，医疗大语言模型与知识图谱协同仍面临知识更新和质量控制问题。知识图谱构建依赖实体识别、关系抽取、实体对齐和人工校验，任何环节的错误都可能影响下游生成结果。大语言模型可以辅助图谱扩充，但模型抽取出的三元组同样需要事实核查和一致性检查，否则可能把生成错误固化为结构化知识。</w:t>
      </w:r>
    </w:p>
    <w:p w14:paraId="35CB8F2E">
      <w:pPr>
        <w:pStyle w:val="3"/>
        <w:spacing w:before="240" w:after="0"/>
      </w:pPr>
      <w:r>
        <w:rPr>
          <w:rFonts w:ascii="Times New Roman" w:hAnsi="Times New Roman" w:eastAsia="宋体"/>
          <w:b/>
          <w:sz w:val="30"/>
        </w:rPr>
        <w:t>7. 对本文研究的启示</w:t>
      </w:r>
    </w:p>
    <w:p w14:paraId="552FBEB3">
      <w:pPr>
        <w:spacing w:before="0" w:after="100" w:line="276" w:lineRule="auto"/>
        <w:ind w:firstLine="420"/>
      </w:pPr>
      <w:r>
        <w:rPr>
          <w:rFonts w:ascii="Times New Roman" w:hAnsi="Times New Roman" w:eastAsia="宋体"/>
          <w:b w:val="0"/>
          <w:sz w:val="24"/>
        </w:rPr>
        <w:t>上述研究为医学辅助诊疗系统提供了重要基础。RAG 解决了大语言模型外部知识接入和知识更新问题，知识图谱解决了医学概念关系组织和推理路径表达问题，GraphRAG 或 KG-RAG 则尝试将二者结合，使模型能够围绕实体、关系和证据路径进行检索与生成。对于面向神经退行性疾病的辅助诊疗研究而言，这些进展提示本文不宜只做普通医学问答系统，也不宜只做单一疾病分类模型，而应将研究重点放在诊断证据的结构化组织和可追溯报告生成上。</w:t>
      </w:r>
    </w:p>
    <w:p w14:paraId="72307D99">
      <w:pPr>
        <w:spacing w:before="0" w:after="100" w:line="276" w:lineRule="auto"/>
        <w:ind w:firstLine="420"/>
      </w:pPr>
      <w:r>
        <w:rPr>
          <w:rFonts w:ascii="Times New Roman" w:hAnsi="Times New Roman" w:eastAsia="宋体"/>
          <w:b w:val="0"/>
          <w:sz w:val="24"/>
        </w:rPr>
        <w:t>具体而言，本文可以在现有研究基础上进一步强调四点。其一，构建面向诊疗任务的证据单元，将病例文本、量表结果、影像发现、生物标志物、指南条款和文献依据统一表示为可追踪证据。其二，构建轻量级医学知识图谱，显式表达疾病层级、诊断标准、支持关系、反驳关系、缺失关系和鉴别诊断关系。其三，在 RAG 检索阶段利用图谱进行候选诊断扩展、证据极性约束和指南依据重排序，在生成阶段要求报告中的关键结论绑定证据来源和图谱路径。其四，吸收 2026 年医疗 RAG 研究对多模态、时序知识和临床评价的关注，将神经退行性疾病中的影像、量表、生物标志物、随访时间和指南标准纳入同一证据链评价框架。</w:t>
      </w:r>
    </w:p>
    <w:p w14:paraId="5B9DE8CC">
      <w:pPr>
        <w:spacing w:before="0" w:after="100" w:line="276" w:lineRule="auto"/>
        <w:ind w:firstLine="420"/>
      </w:pPr>
      <w:r>
        <w:rPr>
          <w:rFonts w:ascii="Times New Roman" w:hAnsi="Times New Roman" w:eastAsia="宋体"/>
          <w:b w:val="0"/>
          <w:sz w:val="24"/>
        </w:rPr>
        <w:t>因此，知识图谱与 RAG 在医疗领域的已有研究为本文提供了方法基础，但在神经退行性疾病这类复杂诊疗场景中，仍有必要进一步研究图谱增强 RAG 如何支持多层级诊断、模态缺失处理、证据冲突识别和可追溯证据链生成。</w:t>
      </w:r>
    </w:p>
    <w:p w14:paraId="7E32414A">
      <w:pPr>
        <w:pStyle w:val="3"/>
        <w:spacing w:before="240" w:after="0"/>
      </w:pPr>
      <w:r>
        <w:rPr>
          <w:rFonts w:ascii="Times New Roman" w:hAnsi="Times New Roman" w:eastAsia="宋体"/>
          <w:b/>
          <w:sz w:val="30"/>
        </w:rPr>
        <w:t>参考文献</w:t>
      </w:r>
    </w:p>
    <w:p w14:paraId="4D27534B">
      <w:pPr>
        <w:spacing w:after="60" w:line="276" w:lineRule="auto"/>
        <w:ind w:left="408" w:hanging="408"/>
      </w:pPr>
      <w:r>
        <w:rPr>
          <w:rFonts w:ascii="Times New Roman" w:hAnsi="Times New Roman" w:eastAsia="宋体"/>
          <w:b w:val="0"/>
          <w:sz w:val="21"/>
        </w:rPr>
        <w:t>[1] GAO Y, XIONG Y, GAO X, et al. Retrieval-Augmented Generation for Large Language Models: A Survey[DB/OL]. arXiv, 2024.</w:t>
      </w:r>
    </w:p>
    <w:p w14:paraId="37E0CBC3">
      <w:pPr>
        <w:spacing w:after="60" w:line="276" w:lineRule="auto"/>
        <w:ind w:left="408" w:hanging="408"/>
      </w:pPr>
      <w:r>
        <w:rPr>
          <w:rFonts w:ascii="Times New Roman" w:hAnsi="Times New Roman" w:eastAsia="宋体"/>
          <w:b w:val="0"/>
          <w:sz w:val="21"/>
        </w:rPr>
        <w:t>[2] LEWIS P, PEREZ E, PIKTUS A, et al. Retrieval-Augmented Generation for Knowledge-Intensive NLP Tasks[C]//Advances in Neural Information Processing Systems. 2020.</w:t>
      </w:r>
    </w:p>
    <w:p w14:paraId="2E05347A">
      <w:pPr>
        <w:spacing w:after="60" w:line="276" w:lineRule="auto"/>
        <w:ind w:left="408" w:hanging="408"/>
      </w:pPr>
      <w:r>
        <w:rPr>
          <w:rFonts w:ascii="Times New Roman" w:hAnsi="Times New Roman" w:eastAsia="宋体"/>
          <w:b w:val="0"/>
          <w:sz w:val="21"/>
        </w:rPr>
        <w:t>[3] HOGAN A, BLOMQVIST E, COCHEZ M, et al. Knowledge graphs[J]. ACM Computing Surveys, 2021, 54(4): 1-37.</w:t>
      </w:r>
    </w:p>
    <w:p w14:paraId="2A6D7AE9">
      <w:pPr>
        <w:spacing w:after="60" w:line="276" w:lineRule="auto"/>
        <w:ind w:left="408" w:hanging="408"/>
      </w:pPr>
      <w:r>
        <w:rPr>
          <w:rFonts w:ascii="Times New Roman" w:hAnsi="Times New Roman" w:eastAsia="宋体"/>
          <w:b w:val="0"/>
          <w:sz w:val="21"/>
        </w:rPr>
        <w:t>[4] RAJABI E, KAFAIE S. Knowledge graphs and explainable AI in healthcare[J]. Information, 2022, 13(10): 459.</w:t>
      </w:r>
    </w:p>
    <w:p w14:paraId="52BAE2E6">
      <w:pPr>
        <w:spacing w:after="60" w:line="276" w:lineRule="auto"/>
        <w:ind w:left="408" w:hanging="408"/>
      </w:pPr>
      <w:r>
        <w:rPr>
          <w:rFonts w:ascii="Times New Roman" w:hAnsi="Times New Roman" w:eastAsia="宋体"/>
          <w:b w:val="0"/>
          <w:sz w:val="21"/>
        </w:rPr>
        <w:t>[5] GILBERT S, KATHER J N, HOGAN A. Augmented non-hallucinating large language models as medical information curators[J]. npj Digital Medicine, 2024, 7: 100.</w:t>
      </w:r>
    </w:p>
    <w:p w14:paraId="52B8F94A">
      <w:pPr>
        <w:spacing w:after="60" w:line="276" w:lineRule="auto"/>
        <w:ind w:left="408" w:hanging="408"/>
      </w:pPr>
      <w:r>
        <w:rPr>
          <w:rFonts w:ascii="Times New Roman" w:hAnsi="Times New Roman" w:eastAsia="宋体"/>
          <w:b w:val="0"/>
          <w:sz w:val="21"/>
        </w:rPr>
        <w:t>[6] MURALI S, RAJANNA V K, HAUPTMANN A, et al. Towards electronic health record-based medical knowledge graph construction, completion, and applications: A literature study[J]. Journal of Biomedical Informatics, 2023, 143: 104403.</w:t>
      </w:r>
    </w:p>
    <w:p w14:paraId="1F4FA058">
      <w:pPr>
        <w:spacing w:after="60" w:line="276" w:lineRule="auto"/>
        <w:ind w:left="408" w:hanging="408"/>
      </w:pPr>
      <w:r>
        <w:rPr>
          <w:rFonts w:ascii="Times New Roman" w:hAnsi="Times New Roman" w:eastAsia="宋体"/>
          <w:b w:val="0"/>
          <w:sz w:val="21"/>
        </w:rPr>
        <w:t>[7] BUDHDEO S, et al. Knowledge graph applications in biomedicine and healthcare: A literature review[J]. Journal of Biomedical Informatics, 2025.</w:t>
      </w:r>
    </w:p>
    <w:p w14:paraId="384F87F1">
      <w:pPr>
        <w:spacing w:after="60" w:line="276" w:lineRule="auto"/>
        <w:ind w:left="408" w:hanging="408"/>
      </w:pPr>
      <w:r>
        <w:rPr>
          <w:rFonts w:ascii="Times New Roman" w:hAnsi="Times New Roman" w:eastAsia="宋体"/>
          <w:b w:val="0"/>
          <w:sz w:val="21"/>
        </w:rPr>
        <w:t>[8] PENG C, XIA F, NASERIPARSA M, OSHO O. Graph Retrieval-Augmented Generation: A Survey[J]. ACM Transactions on Information Systems, 2025.</w:t>
      </w:r>
    </w:p>
    <w:p w14:paraId="6A38C3A6">
      <w:pPr>
        <w:spacing w:after="60" w:line="276" w:lineRule="auto"/>
        <w:ind w:left="408" w:hanging="408"/>
      </w:pPr>
      <w:r>
        <w:rPr>
          <w:rFonts w:ascii="Times New Roman" w:hAnsi="Times New Roman" w:eastAsia="宋体"/>
          <w:b w:val="0"/>
          <w:sz w:val="21"/>
        </w:rPr>
        <w:t>[9] XIANG Z, WU C, ZHANG Q, et al. When to Use Graphs in RAG: A Comprehensive Analysis for Graph Retrieval-Augmented Generation[C]//International Conference on Learning Representations. 2026.</w:t>
      </w:r>
    </w:p>
    <w:p w14:paraId="2A46D442">
      <w:pPr>
        <w:spacing w:after="60" w:line="276" w:lineRule="auto"/>
        <w:ind w:left="408" w:hanging="408"/>
      </w:pPr>
      <w:r>
        <w:rPr>
          <w:rFonts w:ascii="Times New Roman" w:hAnsi="Times New Roman" w:eastAsia="宋体"/>
          <w:b w:val="0"/>
          <w:sz w:val="21"/>
        </w:rPr>
        <w:t>[10] ZHANG D, WANG Z, LI Z Z, et al. MedKGent: a large language model agent framework for constructing temporally evolving medical knowledge graph[J]. npj Digital Medicine, 2026.</w:t>
      </w:r>
    </w:p>
    <w:p w14:paraId="72BA9BB1">
      <w:pPr>
        <w:spacing w:after="60" w:line="276" w:lineRule="auto"/>
        <w:ind w:left="408" w:hanging="408"/>
      </w:pPr>
      <w:r>
        <w:rPr>
          <w:rFonts w:ascii="Times New Roman" w:hAnsi="Times New Roman" w:eastAsia="宋体"/>
          <w:b w:val="0"/>
          <w:sz w:val="21"/>
        </w:rPr>
        <w:t>[11] 姚行志. 基于大语言模型的医疗知识图谱扩充与应用[D]. 哈尔滨: 哈尔滨工业大学, 2025.</w:t>
      </w:r>
    </w:p>
    <w:p w14:paraId="14594238">
      <w:pPr>
        <w:spacing w:after="60" w:line="276" w:lineRule="auto"/>
        <w:ind w:left="408" w:hanging="408"/>
      </w:pPr>
      <w:r>
        <w:rPr>
          <w:rFonts w:ascii="Times New Roman" w:hAnsi="Times New Roman" w:eastAsia="宋体"/>
          <w:b w:val="0"/>
          <w:sz w:val="21"/>
        </w:rPr>
        <w:t>[12] 高福财. 基于知识图谱和大语言模型的医疗辅助诊断系统[D]. 兰州: 西北师范大学, 2025.</w:t>
      </w:r>
    </w:p>
    <w:p w14:paraId="51A9BC7D">
      <w:pPr>
        <w:spacing w:after="60" w:line="276" w:lineRule="auto"/>
        <w:ind w:left="408" w:hanging="408"/>
      </w:pPr>
      <w:r>
        <w:rPr>
          <w:rFonts w:ascii="Times New Roman" w:hAnsi="Times New Roman" w:eastAsia="宋体"/>
          <w:b w:val="0"/>
          <w:sz w:val="21"/>
        </w:rPr>
        <w:t>[13] 刘览. 基于检索增强大语言模型的病案质检方法研究[D]. 武汉: 华中科技大学, 2025.</w:t>
      </w:r>
    </w:p>
    <w:p w14:paraId="676C67D5">
      <w:pPr>
        <w:spacing w:after="60" w:line="276" w:lineRule="auto"/>
        <w:ind w:left="408" w:hanging="408"/>
      </w:pPr>
      <w:r>
        <w:rPr>
          <w:rFonts w:ascii="Times New Roman" w:hAnsi="Times New Roman" w:eastAsia="宋体"/>
          <w:b w:val="0"/>
          <w:sz w:val="21"/>
        </w:rPr>
        <w:t>[14] Recent trends of retrieval-augmented generation in healthcare: A systematic review[J]. Engineering Applications of Artificial Intelligence, 2026, 182: 115912.</w:t>
      </w:r>
    </w:p>
    <w:p w14:paraId="448F98AF">
      <w:pPr>
        <w:spacing w:after="60" w:line="276" w:lineRule="auto"/>
        <w:ind w:left="408" w:hanging="408"/>
      </w:pPr>
      <w:r>
        <w:rPr>
          <w:rFonts w:ascii="Times New Roman" w:hAnsi="Times New Roman" w:eastAsia="宋体"/>
          <w:b w:val="0"/>
          <w:sz w:val="21"/>
        </w:rPr>
        <w:t>[15] ABO EL-ENEN M A, SAAD S, NAZMY T. A survey on retrieval-augmentation generation models for healthcare applications[J]. Neural Computing and Applications, 2025, 37: 28191-28267.</w:t>
      </w:r>
    </w:p>
    <w:p w14:paraId="0ADC88F4">
      <w:pPr>
        <w:spacing w:after="60" w:line="276" w:lineRule="auto"/>
        <w:ind w:left="408" w:hanging="408"/>
      </w:pPr>
      <w:r>
        <w:rPr>
          <w:rFonts w:ascii="Times New Roman" w:hAnsi="Times New Roman" w:eastAsia="宋体"/>
          <w:b w:val="0"/>
          <w:sz w:val="21"/>
        </w:rPr>
        <w:t>[16] Retrieval-augmented generation in medicine: A scoping review of technical implementations, clinical applications, and ethical considerations[J]. Cell Reports Medicine, 2026: 102927.</w:t>
      </w:r>
    </w:p>
    <w:p w14:paraId="04DA5C9E">
      <w:pPr>
        <w:spacing w:after="60" w:line="276" w:lineRule="auto"/>
        <w:ind w:left="408" w:hanging="408"/>
      </w:pPr>
      <w:r>
        <w:rPr>
          <w:rFonts w:ascii="Times New Roman" w:hAnsi="Times New Roman" w:eastAsia="宋体"/>
          <w:b w:val="0"/>
          <w:sz w:val="21"/>
        </w:rPr>
        <w:t>[17] A survey on medical multimodal retrieval-augmented generation (RAG)[J]. Healthcare Analytics, 2026: 100415.</w:t>
      </w:r>
    </w:p>
    <w:p w14:paraId="476D8783">
      <w:pPr>
        <w:spacing w:after="60" w:line="276" w:lineRule="auto"/>
        <w:ind w:left="408" w:hanging="408"/>
      </w:pPr>
      <w:r>
        <w:rPr>
          <w:rFonts w:ascii="Times New Roman" w:hAnsi="Times New Roman" w:eastAsia="宋体"/>
          <w:b w:val="0"/>
          <w:sz w:val="21"/>
        </w:rPr>
        <w:t>[18] AMUGONGO L M, et al. Retrieval augmented generation for large language models in healthcare: A systematic review[J]. PLOS Digital Health, 2025.</w:t>
      </w:r>
    </w:p>
    <w:p w14:paraId="7C74CF4C">
      <w:pPr>
        <w:spacing w:after="60" w:line="276" w:lineRule="auto"/>
        <w:ind w:left="408" w:hanging="408"/>
      </w:pPr>
      <w:r>
        <w:rPr>
          <w:rFonts w:ascii="Times New Roman" w:hAnsi="Times New Roman" w:eastAsia="宋体"/>
          <w:b w:val="0"/>
          <w:sz w:val="21"/>
        </w:rPr>
        <w:t>[19] SOMAN K, ROSE P W, MORRIS J H, et al. Biomedical knowledge graph-optimized prompt generation for large language models[J]. Bioinformatics, 2024.</w:t>
      </w:r>
    </w:p>
    <w:p w14:paraId="5D8F37D9">
      <w:pPr>
        <w:spacing w:after="60" w:line="276" w:lineRule="auto"/>
        <w:ind w:left="408" w:hanging="408"/>
      </w:pPr>
      <w:r>
        <w:rPr>
          <w:rFonts w:ascii="Times New Roman" w:hAnsi="Times New Roman" w:eastAsia="宋体"/>
          <w:b w:val="0"/>
          <w:sz w:val="21"/>
        </w:rPr>
        <w:t>[20] WU J, ZHU J, QI Y, et al. Medical Graph RAG: Evidence-based Medical Large Language Model via Graph Retrieval-Augmented Generation[C]//Proceedings of the 63rd Annual Meeting of the Association for Computational Linguistics. 2025.</w:t>
      </w:r>
    </w:p>
    <w:p w14:paraId="5D7744DE">
      <w:pPr>
        <w:spacing w:after="60" w:line="276" w:lineRule="auto"/>
        <w:ind w:left="408" w:hanging="408"/>
      </w:pPr>
      <w:r>
        <w:rPr>
          <w:rFonts w:ascii="Times New Roman" w:hAnsi="Times New Roman" w:eastAsia="宋体"/>
          <w:b w:val="0"/>
          <w:sz w:val="21"/>
        </w:rPr>
        <w:t>[21] ZHAO X, LIU S, YANG S Y, MIAO C. MedRAG: Enhancing Retrieval-Augmented Generation with Knowledge Graph-Elicited Reasoning for Healthcare Copilot[DB/OL]. arXiv, 2025.</w:t>
      </w:r>
    </w:p>
    <w:p w14:paraId="291A71DC">
      <w:pPr>
        <w:spacing w:after="60" w:line="276" w:lineRule="auto"/>
        <w:ind w:left="408" w:hanging="408"/>
      </w:pPr>
      <w:r>
        <w:rPr>
          <w:rFonts w:ascii="Times New Roman" w:hAnsi="Times New Roman" w:eastAsia="宋体"/>
          <w:b w:val="0"/>
          <w:sz w:val="21"/>
        </w:rPr>
        <w:t>[22] KANG X, DING W, MATSUMOTO K, et al. Neuro-symbolic information fusion for explainable retrieval-augmented generation in mental health applications: A survey and challenges[J]. Information Fusion, 2026.</w:t>
      </w:r>
    </w:p>
    <w:p w14:paraId="2C28081C">
      <w:pPr>
        <w:spacing w:after="60" w:line="276" w:lineRule="auto"/>
        <w:ind w:left="408" w:hanging="408"/>
      </w:pPr>
      <w:r>
        <w:rPr>
          <w:rFonts w:ascii="Times New Roman" w:hAnsi="Times New Roman" w:eastAsia="宋体"/>
          <w:b w:val="0"/>
          <w:sz w:val="21"/>
        </w:rPr>
        <w:t>[23] LIU H, et al. Knowledge Graph Augmented Large Language Models for Disease Prediction[J]. npj Digital Medicine, 2026.</w:t>
      </w:r>
    </w:p>
    <w:p w14:paraId="5FBA7A2E">
      <w:pPr>
        <w:spacing w:after="60" w:line="276" w:lineRule="auto"/>
        <w:ind w:left="408" w:hanging="408"/>
      </w:pPr>
      <w:r>
        <w:rPr>
          <w:rFonts w:ascii="Times New Roman" w:hAnsi="Times New Roman" w:eastAsia="宋体"/>
          <w:b w:val="0"/>
          <w:sz w:val="21"/>
        </w:rPr>
        <w:t>[24] KIRCHLER M, FERRO M, LORENZINI V, et al. Large language models improve transferability of electronic health record-based predictions across countries and coding systems[J]. npj Digital Medicine, 2026, 9: 177.</w:t>
      </w:r>
    </w:p>
    <w:p w14:paraId="65622282">
      <w:pPr>
        <w:spacing w:after="60" w:line="276" w:lineRule="auto"/>
        <w:ind w:left="408" w:hanging="408"/>
      </w:pPr>
      <w:r>
        <w:rPr>
          <w:rFonts w:ascii="Times New Roman" w:hAnsi="Times New Roman" w:eastAsia="宋体"/>
          <w:b w:val="0"/>
          <w:sz w:val="21"/>
        </w:rPr>
        <w:t>[25] XIAO H, HUI N, XU Y, et al. Medical multimodal large language models: A survey[J]. Information Fusion, 2026, 134: 104386.</w:t>
      </w:r>
    </w:p>
    <w:p w14:paraId="2210CDBD">
      <w:pPr>
        <w:spacing w:after="60" w:line="276" w:lineRule="auto"/>
        <w:ind w:left="408" w:hanging="408"/>
      </w:pPr>
      <w:r>
        <w:rPr>
          <w:rFonts w:ascii="Times New Roman" w:hAnsi="Times New Roman" w:eastAsia="宋体"/>
          <w:b w:val="0"/>
          <w:sz w:val="21"/>
        </w:rPr>
        <w:t>[26] Generative large language models in medicine: a scoping review of recent methodological advances[J]. npj Health Systems, 2026.</w:t>
      </w:r>
    </w:p>
    <w:p w14:paraId="61E29A68">
      <w:pPr>
        <w:spacing w:after="60" w:line="276" w:lineRule="auto"/>
        <w:ind w:left="408" w:hanging="408"/>
      </w:pPr>
      <w:r>
        <w:rPr>
          <w:rFonts w:ascii="Times New Roman" w:hAnsi="Times New Roman" w:eastAsia="宋体"/>
          <w:b w:val="0"/>
          <w:sz w:val="21"/>
        </w:rPr>
        <w:t>[27] 王梦涵. 基于大语言模型的知识图谱问答技术研究[D]. 大连: 大连理工大学, 2025.</w:t>
      </w:r>
    </w:p>
    <w:p w14:paraId="377AE694">
      <w:pPr>
        <w:spacing w:after="60" w:line="276" w:lineRule="auto"/>
        <w:ind w:left="408" w:hanging="408"/>
      </w:pPr>
      <w:r>
        <w:rPr>
          <w:rFonts w:ascii="Times New Roman" w:hAnsi="Times New Roman" w:eastAsia="宋体"/>
          <w:b w:val="0"/>
          <w:sz w:val="21"/>
        </w:rPr>
        <w:t>[28] 卿正. 知识图谱与大模型协同的智能问答方法研究及应用[D]. 成都: 电子科技大学, 2025.</w:t>
      </w:r>
    </w:p>
    <w:p w14:paraId="377AE694">
      <w:pPr>
        <w:spacing w:after="60" w:line="276" w:lineRule="auto"/>
        <w:ind w:left="408" w:hanging="408"/>
      </w:pPr>
      <w:r>
        <w:rPr>
          <w:rFonts w:ascii="Times New Roman" w:hAnsi="Times New Roman" w:eastAsia="宋体"/>
          <w:b w:val="0"/>
          <w:sz w:val="21"/>
        </w:rPr>
        <w:t>[29] LI Z, XU J, HU Z, et al. MedCoRAG: Interpretable Hepatology Diagnosis via Hybrid Evidence Retrieval and Multispecialty Consensus[DB/OL]. arXiv:2603.05129, 2026. https://doi.org/10.48550/arXiv.2603.05129.</w:t>
      </w:r>
    </w:p>
    <w:sectPr>
      <w:pgSz w:w="12240" w:h="15840"/>
      <w:pgMar w:top="567" w:right="709" w:bottom="567" w:left="70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A957F2"/>
    <w:rsid w:val="3FE30BE5"/>
    <w:rsid w:val="549F1CA5"/>
    <w:rsid w:val="59D01D4E"/>
    <w:rsid w:val="61365B9E"/>
    <w:rsid w:val="6D0C49F6"/>
    <w:rsid w:val="6E200FA4"/>
    <w:rsid w:val="6F287EC1"/>
    <w:rsid w:val="780B56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7425</Words>
  <Characters>10782</Characters>
  <Lines>0</Lines>
  <Paragraphs>0</Paragraphs>
  <TotalTime>19</TotalTime>
  <ScaleCrop>false</ScaleCrop>
  <LinksUpToDate>false</LinksUpToDate>
  <CharactersWithSpaces>11534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2026-09-16T02:34:50Z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eyJoZGlkIjoiNWVlMTQ5MmQyMWQyZTVjOGI1NGE4NWRiNmQ2MTMwOWEiLCJ1c2VySWQiOiI4NjY4MDQ5MjkifQ==</vt:lpwstr>
  </property>
  <property fmtid="{D5CDD505-2E9C-101B-9397-08002B2CF9AE}" pid="3" name="KSOProductBuildVer">
    <vt:lpwstr>2052-12.1.0.28505</vt:lpwstr>
  </property>
  <property fmtid="{D5CDD505-2E9C-101B-9397-08002B2CF9AE}" pid="4" name="ICV">
    <vt:lpwstr>DC6AB9E832044358A73E3F69DFD64889_12</vt:lpwstr>
  </property>
</Properties>
</file>