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b/>
          <w:color w:val="000000"/>
          <w:sz w:val="48"/>
        </w:rPr>
        <w:t>神经退行性疾病诊断入门综述</w:t>
      </w:r>
    </w:p>
    <w:p>
      <w:pPr>
        <w:spacing w:after="80"/>
      </w:pPr>
      <w:r>
        <w:rPr>
          <w:rFonts w:ascii="Calibri" w:hAnsi="Calibri" w:eastAsia="微软雅黑"/>
          <w:b w:val="0"/>
          <w:color w:val="000000"/>
          <w:sz w:val="24"/>
        </w:rPr>
        <w:t>从症状线索到临床判断与病因证据</w:t>
      </w:r>
    </w:p>
    <w:p>
      <w:pPr>
        <w:spacing w:after="200"/>
      </w:pPr>
      <w:r>
        <w:rPr>
          <w:rFonts w:ascii="Calibri" w:hAnsi="Calibri" w:eastAsia="宋体"/>
          <w:b w:val="0"/>
          <w:color w:val="000000"/>
          <w:sz w:val="19"/>
        </w:rPr>
        <w:t>整理日期 2026年10月3日</w:t>
      </w:r>
    </w:p>
    <w:p>
      <w:pPr>
        <w:pStyle w:val="Heading1"/>
      </w:pPr>
      <w:r>
        <w:rPr>
          <w:rFonts w:ascii="Calibri" w:hAnsi="Calibri" w:eastAsia="微软雅黑"/>
          <w:b/>
          <w:color w:val="000000"/>
          <w:sz w:val="32"/>
        </w:rPr>
        <w:t>摘要</w:t>
      </w:r>
    </w:p>
    <w:p>
      <w:r>
        <w:rPr>
          <w:rFonts w:ascii="Calibri" w:hAnsi="Calibri" w:eastAsia="宋体"/>
          <w:b w:val="0"/>
          <w:color w:val="000000"/>
          <w:sz w:val="23"/>
        </w:rPr>
        <w:t>神经退行性疾病的诊断，通常需要回答三个不同的问题：患者的哪些功能发生了变化，变化是否已经影响独立生活，以及什么疾病最可能造成这些变化。病史、家属观察和神经系统检查建立诊断方向，认知测评、影像、电生理、生物标志物或基因检测提供不同层面的证据，随访则帮助判断变化是否持续进展。阿尔茨海默病可以在特定框架下通过合格的核心生物标志物建立生物学诊断；亨廷顿病有明确的分子遗传学依据；帕金森病、路易体痴呆、行为变异型额颞叶痴呆、肌萎缩侧索硬化、多系统萎缩和进行性核上性麻痹，则各有不同的临床标准和证据组合。理解这些差别，比记住一张检查清单更重要。本综述用通俗解释、标准摘要和教学病例，连接这些疾病的诊断思路。[1–14]</w:t>
      </w:r>
    </w:p>
    <w:p>
      <w:r>
        <w:rPr>
          <w:rFonts w:ascii="Calibri" w:hAnsi="Calibri" w:eastAsia="宋体"/>
          <w:b w:val="0"/>
          <w:color w:val="000000"/>
          <w:sz w:val="23"/>
        </w:rPr>
        <w:t>关键词 神经退行性疾病；临床诊断；生物标志物；诊断标准；金标准；鉴别诊断</w:t>
      </w:r>
    </w:p>
    <w:p>
      <w:pPr>
        <w:pStyle w:val="Heading1"/>
      </w:pPr>
      <w:r>
        <w:rPr>
          <w:rFonts w:ascii="Calibri" w:hAnsi="Calibri" w:eastAsia="微软雅黑"/>
          <w:b/>
          <w:color w:val="000000"/>
          <w:sz w:val="32"/>
        </w:rPr>
        <w:t>一 先建立三个基本认识</w:t>
      </w:r>
    </w:p>
    <w:p>
      <w:pPr>
        <w:pStyle w:val="Heading2"/>
      </w:pPr>
      <w:r>
        <w:rPr>
          <w:rFonts w:ascii="Calibri" w:hAnsi="Calibri" w:eastAsia="微软雅黑"/>
          <w:b/>
          <w:color w:val="000000"/>
          <w:sz w:val="25"/>
        </w:rPr>
        <w:t>1 神经退行性疾病是一组疾病</w:t>
      </w:r>
    </w:p>
    <w:p>
      <w:r>
        <w:rPr>
          <w:rFonts w:ascii="Calibri" w:hAnsi="Calibri" w:eastAsia="宋体"/>
          <w:b w:val="0"/>
          <w:color w:val="000000"/>
          <w:sz w:val="23"/>
        </w:rPr>
        <w:t>可以把神经系统想成一套协作网络：一部分负责记忆，一部分负责计划和语言，一部分负责动作，还有一部分帮助调节血压、排尿等身体功能。不同疾病损害的部位和过程不同，因此有人先出现遗忘，有人先出现动作迟缓，有人先出现行为改变，也有人先出现肌肉无力。</w:t>
      </w:r>
    </w:p>
    <w:p>
      <w:r>
        <w:rPr>
          <w:rFonts w:ascii="Calibri" w:hAnsi="Calibri" w:eastAsia="宋体"/>
          <w:b w:val="0"/>
          <w:color w:val="000000"/>
          <w:sz w:val="23"/>
        </w:rPr>
        <w:t>这里的“退行性”主要指神经细胞及其连接逐渐发生功能障碍和损失。它不是一种单独的病名，也不能简单理解为“年纪大了”。持续进展、偏离既往能力、出现有规律的功能障碍，才会让医生考虑相应疾病；一次忘事、一次跌倒或一次肌肉跳动，都不足以据此诊断。[3–12]</w:t>
      </w:r>
    </w:p>
    <w:p>
      <w:pPr>
        <w:pStyle w:val="Heading2"/>
      </w:pPr>
      <w:r>
        <w:rPr>
          <w:rFonts w:ascii="Calibri" w:hAnsi="Calibri" w:eastAsia="微软雅黑"/>
          <w:b/>
          <w:color w:val="000000"/>
          <w:sz w:val="25"/>
        </w:rPr>
        <w:t>2 症状 综合征 病因不是同一个层次</w:t>
      </w:r>
    </w:p>
    <w:p>
      <w:r>
        <w:rPr>
          <w:rFonts w:ascii="Calibri" w:hAnsi="Calibri" w:eastAsia="宋体"/>
          <w:b/>
          <w:color w:val="000000"/>
          <w:sz w:val="23"/>
        </w:rPr>
        <w:t>症状是具体变化。</w:t>
      </w:r>
      <w:r>
        <w:rPr>
          <w:rFonts w:ascii="Calibri" w:hAnsi="Calibri" w:eastAsia="宋体"/>
          <w:b w:val="0"/>
          <w:color w:val="000000"/>
          <w:sz w:val="23"/>
        </w:rPr>
        <w:t xml:space="preserve"> 例如反复问同一件事、扣纽扣变慢、说话含糊。这些变化可能有多种原因。</w:t>
      </w:r>
    </w:p>
    <w:p>
      <w:r>
        <w:rPr>
          <w:rFonts w:ascii="Calibri" w:hAnsi="Calibri" w:eastAsia="宋体"/>
          <w:b/>
          <w:color w:val="000000"/>
          <w:sz w:val="23"/>
        </w:rPr>
        <w:t>综合征是有联系的一组表现。</w:t>
      </w:r>
      <w:r>
        <w:rPr>
          <w:rFonts w:ascii="Calibri" w:hAnsi="Calibri" w:eastAsia="宋体"/>
          <w:b w:val="0"/>
          <w:color w:val="000000"/>
          <w:sz w:val="23"/>
        </w:rPr>
        <w:t xml:space="preserve"> “痴呆综合征”描述认知或行为能力下降，并显著影响日常独立生活；“帕金森综合征”描述特定的动作异常组合。综合征指出问题的样子，尚未完全确定病因。</w:t>
      </w:r>
    </w:p>
    <w:p>
      <w:r>
        <w:rPr>
          <w:rFonts w:ascii="Calibri" w:hAnsi="Calibri" w:eastAsia="宋体"/>
          <w:b/>
          <w:color w:val="000000"/>
          <w:sz w:val="23"/>
        </w:rPr>
        <w:t>病因诊断是解释这些变化的疾病。</w:t>
      </w:r>
      <w:r>
        <w:rPr>
          <w:rFonts w:ascii="Calibri" w:hAnsi="Calibri" w:eastAsia="宋体"/>
          <w:b w:val="0"/>
          <w:color w:val="000000"/>
          <w:sz w:val="23"/>
        </w:rPr>
        <w:t xml:space="preserve"> 阿尔茨海默病、路易体疾病、额颞叶变性等都可能造成认知障碍；帕金森病、多系统萎缩、进行性核上性麻痹等都可能造成帕金森综合征。同一种疾病也可能有不同表现，例如阿尔茨海默病可以先突出遗忘，也可以先突出语言或视觉空间困难。[1,3,5–7,11,12]</w:t>
      </w:r>
    </w:p>
    <w:p>
      <w:r>
        <w:rPr>
          <w:rFonts w:ascii="Calibri" w:hAnsi="Calibri" w:eastAsia="宋体"/>
          <w:b w:val="0"/>
          <w:color w:val="000000"/>
          <w:sz w:val="23"/>
        </w:rPr>
        <w:t>所以，诊断可以理解为“描述发生了什么，再解释为什么发生”。医生先说“认知障碍待查”或“帕金森综合征待查”，可能是在准确表达当前证据所在的层次。</w:t>
      </w:r>
    </w:p>
    <w:p>
      <w:pPr>
        <w:pStyle w:val="Heading2"/>
      </w:pPr>
      <w:r>
        <w:rPr>
          <w:rFonts w:ascii="Calibri" w:hAnsi="Calibri" w:eastAsia="微软雅黑"/>
          <w:b/>
          <w:color w:val="000000"/>
          <w:sz w:val="25"/>
        </w:rPr>
        <w:t>3 认知下降的严重程度要看生活功能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84"/>
        <w:gridCol w:w="3770"/>
        <w:gridCol w:w="3770"/>
      </w:tblGrid>
      <w:tr>
        <w:trPr>
          <w:cantSplit/>
          <w:tblHeader/>
        </w:trPr>
        <w:tc>
          <w:tcPr>
            <w:tcW w:type="dxa" w:w="1984"/>
            <w:vAlign w:val="center"/>
            <w:shd w:fill="334E68"/>
          </w:tcPr>
          <w:p>
            <w:pPr>
              <w:keepNext/>
              <w:widowControl/>
              <w:spacing w:line="276" w:lineRule="auto" w:after="0" w:before="0"/>
            </w:pPr>
            <w:r>
              <w:rPr>
                <w:rFonts w:ascii="Calibri" w:hAnsi="Calibri" w:eastAsia="微软雅黑"/>
                <w:b/>
                <w:color w:val="FFFFFF"/>
                <w:sz w:val="19"/>
              </w:rPr>
              <w:t>状态</w:t>
            </w:r>
          </w:p>
        </w:tc>
        <w:tc>
          <w:tcPr>
            <w:tcW w:type="dxa" w:w="3770"/>
            <w:vAlign w:val="center"/>
            <w:shd w:fill="334E68"/>
          </w:tcPr>
          <w:p>
            <w:pPr>
              <w:keepNext/>
              <w:widowControl/>
              <w:spacing w:line="276" w:lineRule="auto" w:after="0" w:before="0"/>
            </w:pPr>
            <w:r>
              <w:rPr>
                <w:rFonts w:ascii="Calibri" w:hAnsi="Calibri" w:eastAsia="微软雅黑"/>
                <w:b/>
                <w:color w:val="FFFFFF"/>
                <w:sz w:val="19"/>
              </w:rPr>
              <w:t>通俗理解</w:t>
            </w:r>
          </w:p>
        </w:tc>
        <w:tc>
          <w:tcPr>
            <w:tcW w:type="dxa" w:w="3770"/>
            <w:vAlign w:val="center"/>
            <w:shd w:fill="334E68"/>
          </w:tcPr>
          <w:p>
            <w:pPr>
              <w:keepNext/>
              <w:widowControl/>
              <w:spacing w:line="276" w:lineRule="auto" w:after="0" w:before="0"/>
            </w:pPr>
            <w:r>
              <w:rPr>
                <w:rFonts w:ascii="Calibri" w:hAnsi="Calibri" w:eastAsia="微软雅黑"/>
                <w:b/>
                <w:color w:val="FFFFFF"/>
                <w:sz w:val="19"/>
              </w:rPr>
              <w:t>日常生活中的判断重点</w:t>
            </w:r>
          </w:p>
        </w:tc>
      </w:tr>
      <w:tr>
        <w:trPr>
          <w:cantSplit/>
        </w:trPr>
        <w:tc>
          <w:tcPr>
            <w:tcW w:type="dxa" w:w="1984"/>
            <w:vAlign w:val="center"/>
          </w:tcPr>
          <w:p>
            <w:pPr>
              <w:keepNext w:val="0"/>
              <w:widowControl/>
              <w:spacing w:line="276" w:lineRule="auto" w:after="0" w:before="0"/>
            </w:pPr>
            <w:r>
              <w:rPr>
                <w:rFonts w:ascii="Calibri" w:hAnsi="Calibri" w:eastAsia="宋体"/>
                <w:b w:val="0"/>
                <w:color w:val="000000"/>
                <w:sz w:val="19"/>
              </w:rPr>
              <w:t>主观认知下降</w:t>
            </w:r>
          </w:p>
        </w:tc>
        <w:tc>
          <w:tcPr>
            <w:tcW w:type="dxa" w:w="3770"/>
            <w:vAlign w:val="center"/>
          </w:tcPr>
          <w:p>
            <w:pPr>
              <w:keepNext w:val="0"/>
              <w:widowControl/>
              <w:spacing w:line="276" w:lineRule="auto" w:after="0" w:before="0"/>
            </w:pPr>
            <w:r>
              <w:rPr>
                <w:rFonts w:ascii="Calibri" w:hAnsi="Calibri" w:eastAsia="宋体"/>
                <w:b w:val="0"/>
                <w:color w:val="000000"/>
                <w:sz w:val="19"/>
              </w:rPr>
              <w:t>自己感觉记忆或思考变差，客观测评尚未证实明确异常</w:t>
            </w:r>
          </w:p>
        </w:tc>
        <w:tc>
          <w:tcPr>
            <w:tcW w:type="dxa" w:w="3770"/>
            <w:vAlign w:val="center"/>
          </w:tcPr>
          <w:p>
            <w:pPr>
              <w:keepNext w:val="0"/>
              <w:widowControl/>
              <w:spacing w:line="276" w:lineRule="auto" w:after="0" w:before="0"/>
            </w:pPr>
            <w:r>
              <w:rPr>
                <w:rFonts w:ascii="Calibri" w:hAnsi="Calibri" w:eastAsia="宋体"/>
                <w:b w:val="0"/>
                <w:color w:val="000000"/>
                <w:sz w:val="19"/>
              </w:rPr>
              <w:t>需要了解变化、诱因和持续性，不能仅凭担心诊断痴呆</w:t>
            </w:r>
          </w:p>
        </w:tc>
      </w:tr>
      <w:tr>
        <w:trPr>
          <w:cantSplit/>
        </w:trPr>
        <w:tc>
          <w:tcPr>
            <w:tcW w:type="dxa" w:w="1984"/>
            <w:vAlign w:val="center"/>
            <w:shd w:fill="F6F8FA"/>
          </w:tcPr>
          <w:p>
            <w:pPr>
              <w:keepNext w:val="0"/>
              <w:widowControl/>
              <w:spacing w:line="276" w:lineRule="auto" w:after="0" w:before="0"/>
            </w:pPr>
            <w:r>
              <w:rPr>
                <w:rFonts w:ascii="Calibri" w:hAnsi="Calibri" w:eastAsia="宋体"/>
                <w:b w:val="0"/>
                <w:color w:val="000000"/>
                <w:sz w:val="19"/>
              </w:rPr>
              <w:t>轻度认知障碍 MCI</w:t>
            </w:r>
          </w:p>
        </w:tc>
        <w:tc>
          <w:tcPr>
            <w:tcW w:type="dxa" w:w="3770"/>
            <w:vAlign w:val="center"/>
            <w:shd w:fill="F6F8FA"/>
          </w:tcPr>
          <w:p>
            <w:pPr>
              <w:keepNext w:val="0"/>
              <w:widowControl/>
              <w:spacing w:line="276" w:lineRule="auto" w:after="0" w:before="0"/>
            </w:pPr>
            <w:r>
              <w:rPr>
                <w:rFonts w:ascii="Calibri" w:hAnsi="Calibri" w:eastAsia="宋体"/>
                <w:b w:val="0"/>
                <w:color w:val="000000"/>
                <w:sz w:val="19"/>
              </w:rPr>
              <w:t>客观评估发现能力下降，但整体仍能独立生活</w:t>
            </w:r>
          </w:p>
        </w:tc>
        <w:tc>
          <w:tcPr>
            <w:tcW w:type="dxa" w:w="3770"/>
            <w:vAlign w:val="center"/>
            <w:shd w:fill="F6F8FA"/>
          </w:tcPr>
          <w:p>
            <w:pPr>
              <w:keepNext w:val="0"/>
              <w:widowControl/>
              <w:spacing w:line="276" w:lineRule="auto" w:after="0" w:before="0"/>
            </w:pPr>
            <w:r>
              <w:rPr>
                <w:rFonts w:ascii="Calibri" w:hAnsi="Calibri" w:eastAsia="宋体"/>
                <w:b w:val="0"/>
                <w:color w:val="000000"/>
                <w:sz w:val="19"/>
              </w:rPr>
              <w:t>复杂任务可能更慢、更费力，通常还可以自己完成</w:t>
            </w:r>
          </w:p>
        </w:tc>
      </w:tr>
      <w:tr>
        <w:trPr>
          <w:cantSplit/>
        </w:trPr>
        <w:tc>
          <w:tcPr>
            <w:tcW w:type="dxa" w:w="1984"/>
            <w:vAlign w:val="center"/>
          </w:tcPr>
          <w:p>
            <w:pPr>
              <w:keepNext w:val="0"/>
              <w:widowControl/>
              <w:spacing w:line="276" w:lineRule="auto" w:after="0" w:before="0"/>
            </w:pPr>
            <w:r>
              <w:rPr>
                <w:rFonts w:ascii="Calibri" w:hAnsi="Calibri" w:eastAsia="宋体"/>
                <w:b w:val="0"/>
                <w:color w:val="000000"/>
                <w:sz w:val="19"/>
              </w:rPr>
              <w:t>痴呆综合征</w:t>
            </w:r>
          </w:p>
        </w:tc>
        <w:tc>
          <w:tcPr>
            <w:tcW w:type="dxa" w:w="3770"/>
            <w:vAlign w:val="center"/>
          </w:tcPr>
          <w:p>
            <w:pPr>
              <w:keepNext w:val="0"/>
              <w:widowControl/>
              <w:spacing w:line="276" w:lineRule="auto" w:after="0" w:before="0"/>
            </w:pPr>
            <w:r>
              <w:rPr>
                <w:rFonts w:ascii="Calibri" w:hAnsi="Calibri" w:eastAsia="宋体"/>
                <w:b w:val="0"/>
                <w:color w:val="000000"/>
                <w:sz w:val="19"/>
              </w:rPr>
              <w:t>认知或行为下降已经显著影响独立生活</w:t>
            </w:r>
          </w:p>
        </w:tc>
        <w:tc>
          <w:tcPr>
            <w:tcW w:type="dxa" w:w="3770"/>
            <w:vAlign w:val="center"/>
          </w:tcPr>
          <w:p>
            <w:pPr>
              <w:keepNext w:val="0"/>
              <w:widowControl/>
              <w:spacing w:line="276" w:lineRule="auto" w:after="0" w:before="0"/>
            </w:pPr>
            <w:r>
              <w:rPr>
                <w:rFonts w:ascii="Calibri" w:hAnsi="Calibri" w:eastAsia="宋体"/>
                <w:b w:val="0"/>
                <w:color w:val="000000"/>
                <w:sz w:val="19"/>
              </w:rPr>
              <w:t>原本能做的理财、用药、出行或其他活动，因认知问题需要帮助</w:t>
            </w:r>
          </w:p>
        </w:tc>
      </w:tr>
    </w:tbl>
    <w:p>
      <w:pPr>
        <w:spacing w:after="40" w:before="0" w:line="240" w:lineRule="auto"/>
      </w:pPr>
      <w:r>
        <w:rPr>
          <w:rFonts w:ascii="Calibri" w:hAnsi="Calibri" w:eastAsia="宋体"/>
          <w:color w:val="000000"/>
          <w:sz w:val="2"/>
        </w:rPr>
      </w:r>
    </w:p>
    <w:p>
      <w:r>
        <w:rPr>
          <w:rFonts w:ascii="Calibri" w:hAnsi="Calibri" w:eastAsia="宋体"/>
          <w:b w:val="0"/>
          <w:color w:val="000000"/>
          <w:sz w:val="23"/>
        </w:rPr>
        <w:t>这不是用一条分数线划出的三格。文化程度、语言、听力、视力、职业和既往能力都会影响测试结果。还要判断生活困难来自认知变化，还是关节病、视力下降或其他身体限制。2011年阿尔茨海默病痴呆标准强调：相对既往水平下降、功能受影响、病史与客观评估相互支持，并排除谵妄等更好的解释。[3–5]</w:t>
      </w:r>
    </w:p>
    <w:p>
      <w:pPr>
        <w:pStyle w:val="Heading1"/>
      </w:pPr>
      <w:r>
        <w:rPr>
          <w:rFonts w:ascii="Calibri" w:hAnsi="Calibri" w:eastAsia="微软雅黑"/>
          <w:b/>
          <w:color w:val="000000"/>
          <w:sz w:val="32"/>
        </w:rPr>
        <w:t>二 如何理解金标准</w:t>
      </w:r>
    </w:p>
    <w:p>
      <w:pPr>
        <w:pStyle w:val="Heading2"/>
      </w:pPr>
      <w:r>
        <w:rPr>
          <w:rFonts w:ascii="Calibri" w:hAnsi="Calibri" w:eastAsia="微软雅黑"/>
          <w:b/>
          <w:color w:val="000000"/>
          <w:sz w:val="25"/>
        </w:rPr>
        <w:t>1 金标准与临床可用标准有不同用途</w:t>
      </w:r>
    </w:p>
    <w:p>
      <w:r>
        <w:rPr>
          <w:rFonts w:ascii="Calibri" w:hAnsi="Calibri" w:eastAsia="宋体"/>
          <w:b w:val="0"/>
          <w:color w:val="000000"/>
          <w:sz w:val="23"/>
        </w:rPr>
        <w:t>“金标准”通常指判断疾病是否真实存在时最权威的依据。许多神经退行性疾病的最终病理依据，需要观察脑组织中的特定改变，常在死亡后的病理解剖中获得。它对验证诊断标准很重要，却不是普通门诊人人都能使用的检查。</w:t>
      </w:r>
    </w:p>
    <w:p>
      <w:r>
        <w:rPr>
          <w:rFonts w:ascii="Calibri" w:hAnsi="Calibri" w:eastAsia="宋体"/>
          <w:b w:val="0"/>
          <w:color w:val="000000"/>
          <w:sz w:val="23"/>
        </w:rPr>
        <w:t>临床医生需要在患者生前做出有用的判断，因此会使用经过研究验证的临床标准和检查组合。在评估某种新检查时，研究者也可能使用淀粉样蛋白PET、脑脊液指标或专家诊断作为“参考标准”。参考标准要说明具体是哪一种，因为它自身也有检测范围和局限。[1,2,6–12]</w:t>
      </w:r>
    </w:p>
    <w:p>
      <w:pPr>
        <w:pStyle w:val="Heading2"/>
      </w:pPr>
      <w:r>
        <w:rPr>
          <w:rFonts w:ascii="Calibri" w:hAnsi="Calibri" w:eastAsia="微软雅黑"/>
          <w:b/>
          <w:color w:val="000000"/>
          <w:sz w:val="25"/>
        </w:rPr>
        <w:t>2 各病种的主要依据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84"/>
        <w:gridCol w:w="3798"/>
        <w:gridCol w:w="3742"/>
      </w:tblGrid>
      <w:tr>
        <w:trPr>
          <w:cantSplit/>
          <w:tblHeader/>
        </w:trPr>
        <w:tc>
          <w:tcPr>
            <w:tcW w:type="dxa" w:w="1984"/>
            <w:vAlign w:val="center"/>
            <w:shd w:fill="334E68"/>
          </w:tcPr>
          <w:p>
            <w:pPr>
              <w:keepNext/>
              <w:widowControl/>
              <w:spacing w:line="276" w:lineRule="auto" w:after="0" w:before="0"/>
            </w:pPr>
            <w:r>
              <w:rPr>
                <w:rFonts w:ascii="Calibri" w:hAnsi="Calibri" w:eastAsia="微软雅黑"/>
                <w:b/>
                <w:color w:val="FFFFFF"/>
                <w:sz w:val="19"/>
              </w:rPr>
              <w:t>疾病或综合征</w:t>
            </w:r>
          </w:p>
        </w:tc>
        <w:tc>
          <w:tcPr>
            <w:tcW w:type="dxa" w:w="3798"/>
            <w:vAlign w:val="center"/>
            <w:shd w:fill="334E68"/>
          </w:tcPr>
          <w:p>
            <w:pPr>
              <w:keepNext/>
              <w:widowControl/>
              <w:spacing w:line="276" w:lineRule="auto" w:after="0" w:before="0"/>
            </w:pPr>
            <w:r>
              <w:rPr>
                <w:rFonts w:ascii="Calibri" w:hAnsi="Calibri" w:eastAsia="微软雅黑"/>
                <w:b/>
                <w:color w:val="FFFFFF"/>
                <w:sz w:val="19"/>
              </w:rPr>
              <w:t>生前诊断的主要依据</w:t>
            </w:r>
          </w:p>
        </w:tc>
        <w:tc>
          <w:tcPr>
            <w:tcW w:type="dxa" w:w="3742"/>
            <w:vAlign w:val="center"/>
            <w:shd w:fill="334E68"/>
          </w:tcPr>
          <w:p>
            <w:pPr>
              <w:keepNext/>
              <w:widowControl/>
              <w:spacing w:line="276" w:lineRule="auto" w:after="0" w:before="0"/>
            </w:pPr>
            <w:r>
              <w:rPr>
                <w:rFonts w:ascii="Calibri" w:hAnsi="Calibri" w:eastAsia="微软雅黑"/>
                <w:b/>
                <w:color w:val="FFFFFF"/>
                <w:sz w:val="19"/>
              </w:rPr>
              <w:t>如何理解最终或参考依据</w:t>
            </w:r>
          </w:p>
        </w:tc>
      </w:tr>
      <w:tr>
        <w:trPr>
          <w:cantSplit/>
        </w:trPr>
        <w:tc>
          <w:tcPr>
            <w:tcW w:type="dxa" w:w="1984"/>
            <w:vAlign w:val="center"/>
          </w:tcPr>
          <w:p>
            <w:pPr>
              <w:keepNext w:val="0"/>
              <w:widowControl/>
              <w:spacing w:line="276" w:lineRule="auto" w:after="0" w:before="0"/>
            </w:pPr>
            <w:r>
              <w:rPr>
                <w:rFonts w:ascii="Calibri" w:hAnsi="Calibri" w:eastAsia="宋体"/>
                <w:b w:val="0"/>
                <w:color w:val="000000"/>
                <w:sz w:val="19"/>
              </w:rPr>
              <w:t>阿尔茨海默病 AD</w:t>
            </w:r>
          </w:p>
        </w:tc>
        <w:tc>
          <w:tcPr>
            <w:tcW w:type="dxa" w:w="3798"/>
            <w:vAlign w:val="center"/>
          </w:tcPr>
          <w:p>
            <w:pPr>
              <w:keepNext w:val="0"/>
              <w:widowControl/>
              <w:spacing w:line="276" w:lineRule="auto" w:after="0" w:before="0"/>
            </w:pPr>
            <w:r>
              <w:rPr>
                <w:rFonts w:ascii="Calibri" w:hAnsi="Calibri" w:eastAsia="宋体"/>
                <w:b w:val="0"/>
                <w:color w:val="000000"/>
                <w:sz w:val="19"/>
              </w:rPr>
              <w:t>临床评估描述症状和功能；2024框架中，合格的特定核心生物标志物可建立生物学诊断</w:t>
            </w:r>
          </w:p>
        </w:tc>
        <w:tc>
          <w:tcPr>
            <w:tcW w:type="dxa" w:w="3742"/>
            <w:vAlign w:val="center"/>
          </w:tcPr>
          <w:p>
            <w:pPr>
              <w:keepNext w:val="0"/>
              <w:widowControl/>
              <w:spacing w:line="276" w:lineRule="auto" w:after="0" w:before="0"/>
            </w:pPr>
            <w:r>
              <w:rPr>
                <w:rFonts w:ascii="Calibri" w:hAnsi="Calibri" w:eastAsia="宋体"/>
                <w:b w:val="0"/>
                <w:color w:val="000000"/>
                <w:sz w:val="19"/>
              </w:rPr>
              <w:t>神经病理定义疾病改变；淀粉样蛋白PET及合格脑脊液等可作为生前病理替代证据</w:t>
            </w:r>
          </w:p>
        </w:tc>
      </w:tr>
      <w:tr>
        <w:trPr>
          <w:cantSplit/>
        </w:trPr>
        <w:tc>
          <w:tcPr>
            <w:tcW w:type="dxa" w:w="1984"/>
            <w:vAlign w:val="center"/>
            <w:shd w:fill="F6F8FA"/>
          </w:tcPr>
          <w:p>
            <w:pPr>
              <w:keepNext w:val="0"/>
              <w:widowControl/>
              <w:spacing w:line="276" w:lineRule="auto" w:after="0" w:before="0"/>
            </w:pPr>
            <w:r>
              <w:rPr>
                <w:rFonts w:ascii="Calibri" w:hAnsi="Calibri" w:eastAsia="宋体"/>
                <w:b w:val="0"/>
                <w:color w:val="000000"/>
                <w:sz w:val="19"/>
              </w:rPr>
              <w:t>帕金森病 PD</w:t>
            </w:r>
          </w:p>
        </w:tc>
        <w:tc>
          <w:tcPr>
            <w:tcW w:type="dxa" w:w="3798"/>
            <w:vAlign w:val="center"/>
            <w:shd w:fill="F6F8FA"/>
          </w:tcPr>
          <w:p>
            <w:pPr>
              <w:keepNext w:val="0"/>
              <w:widowControl/>
              <w:spacing w:line="276" w:lineRule="auto" w:after="0" w:before="0"/>
            </w:pPr>
            <w:r>
              <w:rPr>
                <w:rFonts w:ascii="Calibri" w:hAnsi="Calibri" w:eastAsia="宋体"/>
                <w:b w:val="0"/>
                <w:color w:val="000000"/>
                <w:sz w:val="19"/>
              </w:rPr>
              <w:t>MDS临床标准，结合支持特征、排除项和随访</w:t>
            </w:r>
          </w:p>
        </w:tc>
        <w:tc>
          <w:tcPr>
            <w:tcW w:type="dxa" w:w="3742"/>
            <w:vAlign w:val="center"/>
            <w:shd w:fill="F6F8FA"/>
          </w:tcPr>
          <w:p>
            <w:pPr>
              <w:keepNext w:val="0"/>
              <w:widowControl/>
              <w:spacing w:line="276" w:lineRule="auto" w:after="0" w:before="0"/>
            </w:pPr>
            <w:r>
              <w:rPr>
                <w:rFonts w:ascii="Calibri" w:hAnsi="Calibri" w:eastAsia="宋体"/>
                <w:b w:val="0"/>
                <w:color w:val="000000"/>
                <w:sz w:val="19"/>
              </w:rPr>
              <w:t>临床与病理对应是传统验证基础；不存在适用于所有临床PD的单一常规确诊检查</w:t>
            </w:r>
          </w:p>
        </w:tc>
      </w:tr>
      <w:tr>
        <w:trPr>
          <w:cantSplit/>
        </w:trPr>
        <w:tc>
          <w:tcPr>
            <w:tcW w:type="dxa" w:w="1984"/>
            <w:vAlign w:val="center"/>
          </w:tcPr>
          <w:p>
            <w:pPr>
              <w:keepNext w:val="0"/>
              <w:widowControl/>
              <w:spacing w:line="276" w:lineRule="auto" w:after="0" w:before="0"/>
            </w:pPr>
            <w:r>
              <w:rPr>
                <w:rFonts w:ascii="Calibri" w:hAnsi="Calibri" w:eastAsia="宋体"/>
                <w:b w:val="0"/>
                <w:color w:val="000000"/>
                <w:sz w:val="19"/>
              </w:rPr>
              <w:t>路易体痴呆 DLB</w:t>
            </w:r>
          </w:p>
        </w:tc>
        <w:tc>
          <w:tcPr>
            <w:tcW w:type="dxa" w:w="3798"/>
            <w:vAlign w:val="center"/>
          </w:tcPr>
          <w:p>
            <w:pPr>
              <w:keepNext w:val="0"/>
              <w:widowControl/>
              <w:spacing w:line="276" w:lineRule="auto" w:after="0" w:before="0"/>
            </w:pPr>
            <w:r>
              <w:rPr>
                <w:rFonts w:ascii="Calibri" w:hAnsi="Calibri" w:eastAsia="宋体"/>
                <w:b w:val="0"/>
                <w:color w:val="000000"/>
                <w:sz w:val="19"/>
              </w:rPr>
              <w:t>痴呆基础上，组合核心临床特征与指示性生物标志物</w:t>
            </w:r>
          </w:p>
        </w:tc>
        <w:tc>
          <w:tcPr>
            <w:tcW w:type="dxa" w:w="3742"/>
            <w:vAlign w:val="center"/>
          </w:tcPr>
          <w:p>
            <w:pPr>
              <w:keepNext w:val="0"/>
              <w:widowControl/>
              <w:spacing w:line="276" w:lineRule="auto" w:after="0" w:before="0"/>
            </w:pPr>
            <w:r>
              <w:rPr>
                <w:rFonts w:ascii="Calibri" w:hAnsi="Calibri" w:eastAsia="宋体"/>
                <w:b w:val="0"/>
                <w:color w:val="000000"/>
                <w:sz w:val="19"/>
              </w:rPr>
              <w:t>路易体病理是最终病理依据；单靠指标阳性不能按2017标准诊断很可能DLB</w:t>
            </w:r>
          </w:p>
        </w:tc>
      </w:tr>
      <w:tr>
        <w:trPr>
          <w:cantSplit/>
        </w:trPr>
        <w:tc>
          <w:tcPr>
            <w:tcW w:type="dxa" w:w="1984"/>
            <w:vAlign w:val="center"/>
            <w:shd w:fill="F6F8FA"/>
          </w:tcPr>
          <w:p>
            <w:pPr>
              <w:keepNext w:val="0"/>
              <w:widowControl/>
              <w:spacing w:line="276" w:lineRule="auto" w:after="0" w:before="0"/>
            </w:pPr>
            <w:r>
              <w:rPr>
                <w:rFonts w:ascii="Calibri" w:hAnsi="Calibri" w:eastAsia="宋体"/>
                <w:b w:val="0"/>
                <w:color w:val="000000"/>
                <w:sz w:val="19"/>
              </w:rPr>
              <w:t>行为变异型额颞叶痴呆 bvFTD</w:t>
            </w:r>
          </w:p>
        </w:tc>
        <w:tc>
          <w:tcPr>
            <w:tcW w:type="dxa" w:w="3798"/>
            <w:vAlign w:val="center"/>
            <w:shd w:fill="F6F8FA"/>
          </w:tcPr>
          <w:p>
            <w:pPr>
              <w:keepNext w:val="0"/>
              <w:widowControl/>
              <w:spacing w:line="276" w:lineRule="auto" w:after="0" w:before="0"/>
            </w:pPr>
            <w:r>
              <w:rPr>
                <w:rFonts w:ascii="Calibri" w:hAnsi="Calibri" w:eastAsia="宋体"/>
                <w:b w:val="0"/>
                <w:color w:val="000000"/>
                <w:sz w:val="19"/>
              </w:rPr>
              <w:t>进行性行为或认知改变，加特征组合、功能变化和影像</w:t>
            </w:r>
          </w:p>
        </w:tc>
        <w:tc>
          <w:tcPr>
            <w:tcW w:type="dxa" w:w="3742"/>
            <w:vAlign w:val="center"/>
            <w:shd w:fill="F6F8FA"/>
          </w:tcPr>
          <w:p>
            <w:pPr>
              <w:keepNext w:val="0"/>
              <w:widowControl/>
              <w:spacing w:line="276" w:lineRule="auto" w:after="0" w:before="0"/>
            </w:pPr>
            <w:r>
              <w:rPr>
                <w:rFonts w:ascii="Calibri" w:hAnsi="Calibri" w:eastAsia="宋体"/>
                <w:b w:val="0"/>
                <w:color w:val="000000"/>
                <w:sz w:val="19"/>
              </w:rPr>
              <w:t>bvFTD是临床表型；符合表型并有FTLD病理或已知致病变异，可提高到相应确定类别</w:t>
            </w:r>
          </w:p>
        </w:tc>
      </w:tr>
      <w:tr>
        <w:trPr>
          <w:cantSplit/>
        </w:trPr>
        <w:tc>
          <w:tcPr>
            <w:tcW w:type="dxa" w:w="1984"/>
            <w:vAlign w:val="center"/>
          </w:tcPr>
          <w:p>
            <w:pPr>
              <w:keepNext w:val="0"/>
              <w:widowControl/>
              <w:spacing w:line="276" w:lineRule="auto" w:after="0" w:before="0"/>
            </w:pPr>
            <w:r>
              <w:rPr>
                <w:rFonts w:ascii="Calibri" w:hAnsi="Calibri" w:eastAsia="宋体"/>
                <w:b w:val="0"/>
                <w:color w:val="000000"/>
                <w:sz w:val="19"/>
              </w:rPr>
              <w:t>肌萎缩侧索硬化 ALS</w:t>
            </w:r>
          </w:p>
        </w:tc>
        <w:tc>
          <w:tcPr>
            <w:tcW w:type="dxa" w:w="3798"/>
            <w:vAlign w:val="center"/>
          </w:tcPr>
          <w:p>
            <w:pPr>
              <w:keepNext w:val="0"/>
              <w:widowControl/>
              <w:spacing w:line="276" w:lineRule="auto" w:after="0" w:before="0"/>
            </w:pPr>
            <w:r>
              <w:rPr>
                <w:rFonts w:ascii="Calibri" w:hAnsi="Calibri" w:eastAsia="宋体"/>
                <w:b w:val="0"/>
                <w:color w:val="000000"/>
                <w:sz w:val="19"/>
              </w:rPr>
              <w:t>进行性运动障碍，特定上下运动神经元证据分布，排除其他疾病</w:t>
            </w:r>
          </w:p>
        </w:tc>
        <w:tc>
          <w:tcPr>
            <w:tcW w:type="dxa" w:w="3742"/>
            <w:vAlign w:val="center"/>
          </w:tcPr>
          <w:p>
            <w:pPr>
              <w:keepNext w:val="0"/>
              <w:widowControl/>
              <w:spacing w:line="276" w:lineRule="auto" w:after="0" w:before="0"/>
            </w:pPr>
            <w:r>
              <w:rPr>
                <w:rFonts w:ascii="Calibri" w:hAnsi="Calibri" w:eastAsia="宋体"/>
                <w:b w:val="0"/>
                <w:color w:val="000000"/>
                <w:sz w:val="19"/>
              </w:rPr>
              <w:t>临床诊断标准是实际工作核心；肌电图是重要辅助证据，不是独立金标准</w:t>
            </w:r>
          </w:p>
        </w:tc>
      </w:tr>
      <w:tr>
        <w:trPr>
          <w:cantSplit/>
        </w:trPr>
        <w:tc>
          <w:tcPr>
            <w:tcW w:type="dxa" w:w="1984"/>
            <w:vAlign w:val="center"/>
            <w:shd w:fill="F6F8FA"/>
          </w:tcPr>
          <w:p>
            <w:pPr>
              <w:keepNext w:val="0"/>
              <w:widowControl/>
              <w:spacing w:line="276" w:lineRule="auto" w:after="0" w:before="0"/>
            </w:pPr>
            <w:r>
              <w:rPr>
                <w:rFonts w:ascii="Calibri" w:hAnsi="Calibri" w:eastAsia="宋体"/>
                <w:b w:val="0"/>
                <w:color w:val="000000"/>
                <w:sz w:val="19"/>
              </w:rPr>
              <w:t>多系统萎缩 MSA</w:t>
            </w:r>
          </w:p>
        </w:tc>
        <w:tc>
          <w:tcPr>
            <w:tcW w:type="dxa" w:w="3798"/>
            <w:vAlign w:val="center"/>
            <w:shd w:fill="F6F8FA"/>
          </w:tcPr>
          <w:p>
            <w:pPr>
              <w:keepNext w:val="0"/>
              <w:widowControl/>
              <w:spacing w:line="276" w:lineRule="auto" w:after="0" w:before="0"/>
            </w:pPr>
            <w:r>
              <w:rPr>
                <w:rFonts w:ascii="Calibri" w:hAnsi="Calibri" w:eastAsia="宋体"/>
                <w:b w:val="0"/>
                <w:color w:val="000000"/>
                <w:sz w:val="19"/>
              </w:rPr>
              <w:t>自主神经、帕金森或小脑表现组合，按类别要求加入支持特征和MRI</w:t>
            </w:r>
          </w:p>
        </w:tc>
        <w:tc>
          <w:tcPr>
            <w:tcW w:type="dxa" w:w="3742"/>
            <w:vAlign w:val="center"/>
            <w:shd w:fill="F6F8FA"/>
          </w:tcPr>
          <w:p>
            <w:pPr>
              <w:keepNext w:val="0"/>
              <w:widowControl/>
              <w:spacing w:line="276" w:lineRule="auto" w:after="0" w:before="0"/>
            </w:pPr>
            <w:r>
              <w:rPr>
                <w:rFonts w:ascii="Calibri" w:hAnsi="Calibri" w:eastAsia="宋体"/>
                <w:b w:val="0"/>
                <w:color w:val="000000"/>
                <w:sz w:val="19"/>
              </w:rPr>
              <w:t>神经病理确诊依据包括特征性的胶质细胞内α突触核蛋白包涵体</w:t>
            </w:r>
          </w:p>
        </w:tc>
      </w:tr>
      <w:tr>
        <w:trPr>
          <w:cantSplit/>
        </w:trPr>
        <w:tc>
          <w:tcPr>
            <w:tcW w:type="dxa" w:w="1984"/>
            <w:vAlign w:val="center"/>
          </w:tcPr>
          <w:p>
            <w:pPr>
              <w:keepNext w:val="0"/>
              <w:widowControl/>
              <w:spacing w:line="276" w:lineRule="auto" w:after="0" w:before="0"/>
            </w:pPr>
            <w:r>
              <w:rPr>
                <w:rFonts w:ascii="Calibri" w:hAnsi="Calibri" w:eastAsia="宋体"/>
                <w:b w:val="0"/>
                <w:color w:val="000000"/>
                <w:sz w:val="19"/>
              </w:rPr>
              <w:t>进行性核上性麻痹 PSP</w:t>
            </w:r>
          </w:p>
        </w:tc>
        <w:tc>
          <w:tcPr>
            <w:tcW w:type="dxa" w:w="3798"/>
            <w:vAlign w:val="center"/>
          </w:tcPr>
          <w:p>
            <w:pPr>
              <w:keepNext w:val="0"/>
              <w:widowControl/>
              <w:spacing w:line="276" w:lineRule="auto" w:after="0" w:before="0"/>
            </w:pPr>
            <w:r>
              <w:rPr>
                <w:rFonts w:ascii="Calibri" w:hAnsi="Calibri" w:eastAsia="宋体"/>
                <w:b w:val="0"/>
                <w:color w:val="000000"/>
                <w:sz w:val="19"/>
              </w:rPr>
              <w:t>眼球运动、平衡、运动和认知表现的组合</w:t>
            </w:r>
          </w:p>
        </w:tc>
        <w:tc>
          <w:tcPr>
            <w:tcW w:type="dxa" w:w="3742"/>
            <w:vAlign w:val="center"/>
          </w:tcPr>
          <w:p>
            <w:pPr>
              <w:keepNext w:val="0"/>
              <w:widowControl/>
              <w:spacing w:line="276" w:lineRule="auto" w:after="0" w:before="0"/>
            </w:pPr>
            <w:r>
              <w:rPr>
                <w:rFonts w:ascii="Calibri" w:hAnsi="Calibri" w:eastAsia="宋体"/>
                <w:b w:val="0"/>
                <w:color w:val="000000"/>
                <w:sz w:val="19"/>
              </w:rPr>
              <w:t>确定PSP的金标准是神经病理诊断；MRI主要提供支持</w:t>
            </w:r>
          </w:p>
        </w:tc>
      </w:tr>
      <w:tr>
        <w:trPr>
          <w:cantSplit/>
        </w:trPr>
        <w:tc>
          <w:tcPr>
            <w:tcW w:type="dxa" w:w="1984"/>
            <w:vAlign w:val="center"/>
            <w:shd w:fill="F6F8FA"/>
          </w:tcPr>
          <w:p>
            <w:pPr>
              <w:keepNext w:val="0"/>
              <w:widowControl/>
              <w:spacing w:line="276" w:lineRule="auto" w:after="0" w:before="0"/>
            </w:pPr>
            <w:r>
              <w:rPr>
                <w:rFonts w:ascii="Calibri" w:hAnsi="Calibri" w:eastAsia="宋体"/>
                <w:b w:val="0"/>
                <w:color w:val="000000"/>
                <w:sz w:val="19"/>
              </w:rPr>
              <w:t>亨廷顿病 HD</w:t>
            </w:r>
          </w:p>
        </w:tc>
        <w:tc>
          <w:tcPr>
            <w:tcW w:type="dxa" w:w="3798"/>
            <w:vAlign w:val="center"/>
            <w:shd w:fill="F6F8FA"/>
          </w:tcPr>
          <w:p>
            <w:pPr>
              <w:keepNext w:val="0"/>
              <w:widowControl/>
              <w:spacing w:line="276" w:lineRule="auto" w:after="0" w:before="0"/>
            </w:pPr>
            <w:r>
              <w:rPr>
                <w:rFonts w:ascii="Calibri" w:hAnsi="Calibri" w:eastAsia="宋体"/>
                <w:b w:val="0"/>
                <w:color w:val="000000"/>
                <w:sz w:val="19"/>
              </w:rPr>
              <w:t>相符临床表现，加HTT基因CAG重复扩增检测</w:t>
            </w:r>
          </w:p>
        </w:tc>
        <w:tc>
          <w:tcPr>
            <w:tcW w:type="dxa" w:w="3742"/>
            <w:vAlign w:val="center"/>
            <w:shd w:fill="F6F8FA"/>
          </w:tcPr>
          <w:p>
            <w:pPr>
              <w:keepNext w:val="0"/>
              <w:widowControl/>
              <w:spacing w:line="276" w:lineRule="auto" w:after="0" w:before="0"/>
            </w:pPr>
            <w:r>
              <w:rPr>
                <w:rFonts w:ascii="Calibri" w:hAnsi="Calibri" w:eastAsia="宋体"/>
                <w:b w:val="0"/>
                <w:color w:val="000000"/>
                <w:sz w:val="19"/>
              </w:rPr>
              <w:t>分子遗传学检测有明确病因意义；无症状携带与已经出现临床表现仍需区分</w:t>
            </w:r>
          </w:p>
        </w:tc>
      </w:tr>
    </w:tbl>
    <w:p>
      <w:pPr>
        <w:spacing w:after="40" w:before="0" w:line="240" w:lineRule="auto"/>
      </w:pPr>
      <w:r>
        <w:rPr>
          <w:rFonts w:ascii="Calibri" w:hAnsi="Calibri" w:eastAsia="宋体"/>
          <w:color w:val="000000"/>
          <w:sz w:val="2"/>
        </w:rPr>
      </w:r>
    </w:p>
    <w:p>
      <w:r>
        <w:rPr>
          <w:rFonts w:ascii="Calibri" w:hAnsi="Calibri" w:eastAsia="宋体"/>
          <w:b w:val="0"/>
          <w:color w:val="000000"/>
          <w:sz w:val="23"/>
        </w:rPr>
        <w:t>“临床确立”“很可能”“可能”“病理确定”这些名称，在不同疾病里有不同定义。它们描述证据类别，不能换算成统一的个人患病百分比，也不一定对应疾病轻、中、重程度。ALS的“Gold Coast”是制定标准的会议地点名称，不是“一个检查就是金标准”的意思。[6,8–12]</w:t>
      </w:r>
    </w:p>
    <w:p>
      <w:pPr>
        <w:pStyle w:val="Heading1"/>
      </w:pPr>
      <w:r>
        <w:rPr>
          <w:rFonts w:ascii="Calibri" w:hAnsi="Calibri" w:eastAsia="微软雅黑"/>
          <w:b/>
          <w:color w:val="000000"/>
          <w:sz w:val="32"/>
        </w:rPr>
        <w:t>三 从怀疑到诊断的共同路径</w:t>
      </w:r>
    </w:p>
    <w:p>
      <w:r>
        <w:rPr>
          <w:rFonts w:ascii="Calibri" w:hAnsi="Calibri" w:eastAsia="宋体"/>
          <w:b w:val="0"/>
          <w:color w:val="000000"/>
          <w:sz w:val="23"/>
        </w:rPr>
        <w:t>下面的六步是根据认知障碍指南和各病种标准整理的教学路径。具体检查会随主要症状改变；认知障碍患者和肌无力患者，不需要做完全相同的一套检查。[3,4,6–12]</w:t>
      </w:r>
    </w:p>
    <w:p>
      <w:r>
        <w:rPr>
          <w:rFonts w:ascii="Calibri" w:hAnsi="Calibri" w:eastAsia="宋体"/>
          <w:b/>
          <w:color w:val="000000"/>
          <w:sz w:val="23"/>
        </w:rPr>
        <w:t>诊断路径：记录变化与时间 → 判断主要功能问题 → 评估生活影响并查体 → 查找其他原因与共同影响因素 → 选择有针对性的病因检查 → 整合证据并随访。</w:t>
      </w:r>
    </w:p>
    <w:p>
      <w:pPr>
        <w:pStyle w:val="Heading2"/>
      </w:pPr>
      <w:r>
        <w:rPr>
          <w:rFonts w:ascii="Calibri" w:hAnsi="Calibri" w:eastAsia="微软雅黑"/>
          <w:b/>
          <w:color w:val="000000"/>
          <w:sz w:val="25"/>
        </w:rPr>
        <w:t>第一步 还原症状的时间线</w:t>
      </w:r>
    </w:p>
    <w:p>
      <w:r>
        <w:rPr>
          <w:rFonts w:ascii="Calibri" w:hAnsi="Calibri" w:eastAsia="宋体"/>
          <w:b w:val="0"/>
          <w:color w:val="000000"/>
          <w:sz w:val="23"/>
        </w:rPr>
        <w:t>医生会问：什么时候开始，最先出现什么，变化是突然还是缓慢，是否持续加重，有没有时好时坏，是否与感染、药物调整或其他事件有关。家属提供的具体例子常比“记性不好”更有信息，例如“过去独立管理账单，现在连续三个月重复付款”。[3,4]</w:t>
      </w:r>
    </w:p>
    <w:p>
      <w:r>
        <w:rPr>
          <w:rFonts w:ascii="Calibri" w:hAnsi="Calibri" w:eastAsia="宋体"/>
          <w:b w:val="0"/>
          <w:color w:val="000000"/>
          <w:sz w:val="23"/>
        </w:rPr>
        <w:t>多数本文涉及的典型退行性过程，表现为较长时间的进展。如果几个小时或几天内突然意识混乱或功能明显下降，要先考虑急性疾病、谵妄等原因；数周至数月快速恶化，也应尽快进入专科评估。原来存在退行性疾病的人同样可能叠加感染、脱水等问题。[3–5]</w:t>
      </w:r>
    </w:p>
    <w:p>
      <w:pPr>
        <w:pStyle w:val="Heading2"/>
      </w:pPr>
      <w:r>
        <w:rPr>
          <w:rFonts w:ascii="Calibri" w:hAnsi="Calibri" w:eastAsia="微软雅黑"/>
          <w:b/>
          <w:color w:val="000000"/>
          <w:sz w:val="25"/>
        </w:rPr>
        <w:t>第二步 找出主要功能问题</w:t>
      </w:r>
    </w:p>
    <w:p>
      <w:r>
        <w:rPr>
          <w:rFonts w:ascii="Calibri" w:hAnsi="Calibri" w:eastAsia="宋体"/>
          <w:b w:val="0"/>
          <w:color w:val="000000"/>
          <w:sz w:val="23"/>
        </w:rPr>
        <w:t>先把症状组织起来：以记忆或语言问题为主，还是以行为变化、动作迟缓、肌肉无力、平衡障碍或自主神经问题为主？这一步决定鉴别诊断方向。例如，“走路慢”可能来自疼痛、无力、失去平衡或真正的运动迟缓，必须通过查体辨别。[3,6,10–12]</w:t>
      </w:r>
    </w:p>
    <w:p>
      <w:pPr>
        <w:pStyle w:val="Heading2"/>
      </w:pPr>
      <w:r>
        <w:rPr>
          <w:rFonts w:ascii="Calibri" w:hAnsi="Calibri" w:eastAsia="微软雅黑"/>
          <w:b/>
          <w:color w:val="000000"/>
          <w:sz w:val="25"/>
        </w:rPr>
        <w:t>第三步 判断严重程度并寻找体征</w:t>
      </w:r>
    </w:p>
    <w:p>
      <w:r>
        <w:rPr>
          <w:rFonts w:ascii="Calibri" w:hAnsi="Calibri" w:eastAsia="宋体"/>
          <w:b w:val="0"/>
          <w:color w:val="000000"/>
          <w:sz w:val="23"/>
        </w:rPr>
        <w:t>认知方面，医生结合简短测评、必要时的完整神经心理评估，以及患者和知情家属的描述。运动方面，查肌力、肌张力、反射、肌肉萎缩、眼球运动、步态和动作幅度。自主神经方面，可能测卧立位血压、评估排尿和残余尿。测评或查体的目的，是把“感觉有问题”转化为可解释、可重复的证据。[3,4,6,10–12]</w:t>
      </w:r>
    </w:p>
    <w:p>
      <w:pPr>
        <w:pStyle w:val="Heading2"/>
      </w:pPr>
      <w:r>
        <w:rPr>
          <w:rFonts w:ascii="Calibri" w:hAnsi="Calibri" w:eastAsia="微软雅黑"/>
          <w:b/>
          <w:color w:val="000000"/>
          <w:sz w:val="25"/>
        </w:rPr>
        <w:t>第四步 查找其他解释和可处理的影响因素</w:t>
      </w:r>
    </w:p>
    <w:p>
      <w:r>
        <w:rPr>
          <w:rFonts w:ascii="Calibri" w:hAnsi="Calibri" w:eastAsia="宋体"/>
          <w:b w:val="0"/>
          <w:color w:val="000000"/>
          <w:sz w:val="23"/>
        </w:rPr>
        <w:t>药物作用、睡眠或情绪问题、甲状腺功能异常、维生素B12缺乏、感染、血管性病变及其他结构性病变，可能造成相似症状，也可能加重原有疾病。认知障碍指南建议分层选择实验室检查，并通常进行结构影像，优先MRI，不能进行MRI时考虑CT。[3,4]</w:t>
      </w:r>
    </w:p>
    <w:p>
      <w:r>
        <w:rPr>
          <w:rFonts w:ascii="Calibri" w:hAnsi="Calibri" w:eastAsia="宋体"/>
          <w:b w:val="0"/>
          <w:color w:val="000000"/>
          <w:sz w:val="23"/>
        </w:rPr>
        <w:t>这里有一个重要细节：发现B12偏低，不代表它解释了全部长期下降；纠正某个影响因素后，也不一定全部恢复。DETeCD指南特别提醒，很多常见可处理问题是共同影响因素，而不是逐渐进展的认知综合征的唯一病因。[3,4]</w:t>
      </w:r>
    </w:p>
    <w:p>
      <w:pPr>
        <w:pStyle w:val="Heading2"/>
      </w:pPr>
      <w:r>
        <w:rPr>
          <w:rFonts w:ascii="Calibri" w:hAnsi="Calibri" w:eastAsia="微软雅黑"/>
          <w:b/>
          <w:color w:val="000000"/>
          <w:sz w:val="25"/>
        </w:rPr>
        <w:t>第五步 用有针对性的检查回答病因问题</w:t>
      </w:r>
    </w:p>
    <w:p>
      <w:r>
        <w:rPr>
          <w:rFonts w:ascii="Calibri" w:hAnsi="Calibri" w:eastAsia="宋体"/>
          <w:b w:val="0"/>
          <w:color w:val="000000"/>
          <w:sz w:val="23"/>
        </w:rPr>
        <w:t>当病史、查体和基础检查已经建立方向后，再考虑具体问题：是否需要确认AD病理？是否存在隐匿的下运动神经元损害？睡眠中的异常动作是不是快速眼动睡眠行为障碍？是否需要HTT重复扩增检测？检查应当有明确用途，并考虑结果是否会改变诊断解释、后续评估或照护安排。[2–4,7,10,13]</w:t>
      </w:r>
    </w:p>
    <w:p>
      <w:pPr>
        <w:pStyle w:val="Heading2"/>
      </w:pPr>
      <w:r>
        <w:rPr>
          <w:rFonts w:ascii="Calibri" w:hAnsi="Calibri" w:eastAsia="微软雅黑"/>
          <w:b/>
          <w:color w:val="000000"/>
          <w:sz w:val="25"/>
        </w:rPr>
        <w:t>第六步 整合结果并随访</w:t>
      </w:r>
    </w:p>
    <w:p>
      <w:r>
        <w:rPr>
          <w:rFonts w:ascii="Calibri" w:hAnsi="Calibri" w:eastAsia="宋体"/>
          <w:b w:val="0"/>
          <w:color w:val="000000"/>
          <w:sz w:val="23"/>
        </w:rPr>
        <w:t>合理的诊断结论应包含：主要综合征、严重程度、最可能病因、共同影响因素、证据把握度，以及仍需观察的问题。随访能显示症状是否进展、是否出现新的关键体征、检查与临床是否仍然一致。对早期或非典型病例，这些时间信息尤其重要。[3–6,8,10–12]</w:t>
      </w:r>
    </w:p>
    <w:p>
      <w:pPr>
        <w:pStyle w:val="Heading1"/>
      </w:pPr>
      <w:r>
        <w:rPr>
          <w:rFonts w:ascii="Calibri" w:hAnsi="Calibri" w:eastAsia="微软雅黑"/>
          <w:b/>
          <w:color w:val="000000"/>
          <w:sz w:val="32"/>
        </w:rPr>
        <w:t>四 每一种检查能回答什么</w:t>
      </w:r>
    </w:p>
    <w:p>
      <w:pPr>
        <w:pStyle w:val="Heading2"/>
      </w:pPr>
      <w:r>
        <w:rPr>
          <w:rFonts w:ascii="Calibri" w:hAnsi="Calibri" w:eastAsia="微软雅黑"/>
          <w:b/>
          <w:color w:val="000000"/>
          <w:sz w:val="25"/>
        </w:rPr>
        <w:t>1 检查工具的分工</w:t>
      </w:r>
    </w:p>
    <w:p>
      <w:r>
        <w:rPr>
          <w:rFonts w:ascii="Calibri" w:hAnsi="Calibri" w:eastAsia="宋体"/>
          <w:b w:val="0"/>
          <w:color w:val="000000"/>
          <w:sz w:val="23"/>
        </w:rPr>
        <w:t>先把常见缩写翻译成中文：MRI是磁共振成像，CT是计算机断层成像，主要看结构；PET是正电子发射断层成像，SPECT是单光子发射计算机断层成像，使用不同示踪剂观察不同过程。CSF指脑脊液，EMG指肌电图。名称相似的检查，其诊断用途可能完全不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84"/>
        <w:gridCol w:w="3770"/>
        <w:gridCol w:w="3770"/>
      </w:tblGrid>
      <w:tr>
        <w:trPr>
          <w:cantSplit/>
          <w:tblHeader/>
        </w:trPr>
        <w:tc>
          <w:tcPr>
            <w:tcW w:type="dxa" w:w="1984"/>
            <w:vAlign w:val="center"/>
            <w:shd w:fill="334E68"/>
          </w:tcPr>
          <w:p>
            <w:pPr>
              <w:keepNext/>
              <w:widowControl/>
              <w:spacing w:line="276" w:lineRule="auto" w:after="0" w:before="0"/>
            </w:pPr>
            <w:r>
              <w:rPr>
                <w:rFonts w:ascii="Calibri" w:hAnsi="Calibri" w:eastAsia="微软雅黑"/>
                <w:b/>
                <w:color w:val="FFFFFF"/>
                <w:sz w:val="19"/>
              </w:rPr>
              <w:t>工具</w:t>
            </w:r>
          </w:p>
        </w:tc>
        <w:tc>
          <w:tcPr>
            <w:tcW w:type="dxa" w:w="3770"/>
            <w:vAlign w:val="center"/>
            <w:shd w:fill="334E68"/>
          </w:tcPr>
          <w:p>
            <w:pPr>
              <w:keepNext/>
              <w:widowControl/>
              <w:spacing w:line="276" w:lineRule="auto" w:after="0" w:before="0"/>
            </w:pPr>
            <w:r>
              <w:rPr>
                <w:rFonts w:ascii="Calibri" w:hAnsi="Calibri" w:eastAsia="微软雅黑"/>
                <w:b/>
                <w:color w:val="FFFFFF"/>
                <w:sz w:val="19"/>
              </w:rPr>
              <w:t>主要回答的问题</w:t>
            </w:r>
          </w:p>
        </w:tc>
        <w:tc>
          <w:tcPr>
            <w:tcW w:type="dxa" w:w="3770"/>
            <w:vAlign w:val="center"/>
            <w:shd w:fill="334E68"/>
          </w:tcPr>
          <w:p>
            <w:pPr>
              <w:keepNext/>
              <w:widowControl/>
              <w:spacing w:line="276" w:lineRule="auto" w:after="0" w:before="0"/>
            </w:pPr>
            <w:r>
              <w:rPr>
                <w:rFonts w:ascii="Calibri" w:hAnsi="Calibri" w:eastAsia="微软雅黑"/>
                <w:b/>
                <w:color w:val="FFFFFF"/>
                <w:sz w:val="19"/>
              </w:rPr>
              <w:t>不能据此直接推出的结论</w:t>
            </w:r>
          </w:p>
        </w:tc>
      </w:tr>
      <w:tr>
        <w:trPr>
          <w:cantSplit/>
        </w:trPr>
        <w:tc>
          <w:tcPr>
            <w:tcW w:type="dxa" w:w="1984"/>
            <w:vAlign w:val="center"/>
          </w:tcPr>
          <w:p>
            <w:pPr>
              <w:keepNext w:val="0"/>
              <w:widowControl/>
              <w:spacing w:line="276" w:lineRule="auto" w:after="0" w:before="0"/>
            </w:pPr>
            <w:r>
              <w:rPr>
                <w:rFonts w:ascii="Calibri" w:hAnsi="Calibri" w:eastAsia="宋体"/>
                <w:b w:val="0"/>
                <w:color w:val="000000"/>
                <w:sz w:val="19"/>
              </w:rPr>
              <w:t>病史与知情家属访谈</w:t>
            </w:r>
          </w:p>
        </w:tc>
        <w:tc>
          <w:tcPr>
            <w:tcW w:type="dxa" w:w="3770"/>
            <w:vAlign w:val="center"/>
          </w:tcPr>
          <w:p>
            <w:pPr>
              <w:keepNext w:val="0"/>
              <w:widowControl/>
              <w:spacing w:line="276" w:lineRule="auto" w:after="0" w:before="0"/>
            </w:pPr>
            <w:r>
              <w:rPr>
                <w:rFonts w:ascii="Calibri" w:hAnsi="Calibri" w:eastAsia="宋体"/>
                <w:b w:val="0"/>
                <w:color w:val="000000"/>
                <w:sz w:val="19"/>
              </w:rPr>
              <w:t>是否相对既往下降，何时开始，怎样影响生活</w:t>
            </w:r>
          </w:p>
        </w:tc>
        <w:tc>
          <w:tcPr>
            <w:tcW w:type="dxa" w:w="3770"/>
            <w:vAlign w:val="center"/>
          </w:tcPr>
          <w:p>
            <w:pPr>
              <w:keepNext w:val="0"/>
              <w:widowControl/>
              <w:spacing w:line="276" w:lineRule="auto" w:after="0" w:before="0"/>
            </w:pPr>
            <w:r>
              <w:rPr>
                <w:rFonts w:ascii="Calibri" w:hAnsi="Calibri" w:eastAsia="宋体"/>
                <w:b w:val="0"/>
                <w:color w:val="000000"/>
                <w:sz w:val="19"/>
              </w:rPr>
              <w:t>仅凭一个主诉不能确定病因</w:t>
            </w:r>
          </w:p>
        </w:tc>
      </w:tr>
      <w:tr>
        <w:trPr>
          <w:cantSplit/>
        </w:trPr>
        <w:tc>
          <w:tcPr>
            <w:tcW w:type="dxa" w:w="1984"/>
            <w:vAlign w:val="center"/>
            <w:shd w:fill="F6F8FA"/>
          </w:tcPr>
          <w:p>
            <w:pPr>
              <w:keepNext w:val="0"/>
              <w:widowControl/>
              <w:spacing w:line="276" w:lineRule="auto" w:after="0" w:before="0"/>
            </w:pPr>
            <w:r>
              <w:rPr>
                <w:rFonts w:ascii="Calibri" w:hAnsi="Calibri" w:eastAsia="宋体"/>
                <w:b w:val="0"/>
                <w:color w:val="000000"/>
                <w:sz w:val="19"/>
              </w:rPr>
              <w:t>MMSE MoCA及完整神经心理评估</w:t>
            </w:r>
          </w:p>
        </w:tc>
        <w:tc>
          <w:tcPr>
            <w:tcW w:type="dxa" w:w="3770"/>
            <w:vAlign w:val="center"/>
            <w:shd w:fill="F6F8FA"/>
          </w:tcPr>
          <w:p>
            <w:pPr>
              <w:keepNext w:val="0"/>
              <w:widowControl/>
              <w:spacing w:line="276" w:lineRule="auto" w:after="0" w:before="0"/>
            </w:pPr>
            <w:r>
              <w:rPr>
                <w:rFonts w:ascii="Calibri" w:hAnsi="Calibri" w:eastAsia="宋体"/>
                <w:b w:val="0"/>
                <w:color w:val="000000"/>
                <w:sz w:val="19"/>
              </w:rPr>
              <w:t>哪些认知能力受影响，程度和模式如何</w:t>
            </w:r>
          </w:p>
        </w:tc>
        <w:tc>
          <w:tcPr>
            <w:tcW w:type="dxa" w:w="3770"/>
            <w:vAlign w:val="center"/>
            <w:shd w:fill="F6F8FA"/>
          </w:tcPr>
          <w:p>
            <w:pPr>
              <w:keepNext w:val="0"/>
              <w:widowControl/>
              <w:spacing w:line="276" w:lineRule="auto" w:after="0" w:before="0"/>
            </w:pPr>
            <w:r>
              <w:rPr>
                <w:rFonts w:ascii="Calibri" w:hAnsi="Calibri" w:eastAsia="宋体"/>
                <w:b w:val="0"/>
                <w:color w:val="000000"/>
                <w:sz w:val="19"/>
              </w:rPr>
              <w:t>一个低分不等于AD；一次正常简测也可能遗漏轻微或特定领域问题</w:t>
            </w:r>
          </w:p>
        </w:tc>
      </w:tr>
      <w:tr>
        <w:trPr>
          <w:cantSplit/>
        </w:trPr>
        <w:tc>
          <w:tcPr>
            <w:tcW w:type="dxa" w:w="1984"/>
            <w:vAlign w:val="center"/>
          </w:tcPr>
          <w:p>
            <w:pPr>
              <w:keepNext w:val="0"/>
              <w:widowControl/>
              <w:spacing w:line="276" w:lineRule="auto" w:after="0" w:before="0"/>
            </w:pPr>
            <w:r>
              <w:rPr>
                <w:rFonts w:ascii="Calibri" w:hAnsi="Calibri" w:eastAsia="宋体"/>
                <w:b w:val="0"/>
                <w:color w:val="000000"/>
                <w:sz w:val="19"/>
              </w:rPr>
              <w:t>MRI或CT</w:t>
            </w:r>
          </w:p>
        </w:tc>
        <w:tc>
          <w:tcPr>
            <w:tcW w:type="dxa" w:w="3770"/>
            <w:vAlign w:val="center"/>
          </w:tcPr>
          <w:p>
            <w:pPr>
              <w:keepNext w:val="0"/>
              <w:widowControl/>
              <w:spacing w:line="276" w:lineRule="auto" w:after="0" w:before="0"/>
            </w:pPr>
            <w:r>
              <w:rPr>
                <w:rFonts w:ascii="Calibri" w:hAnsi="Calibri" w:eastAsia="宋体"/>
                <w:b w:val="0"/>
                <w:color w:val="000000"/>
                <w:sz w:val="19"/>
              </w:rPr>
              <w:t>是否有结构性病变、血管病变、特定萎缩模式</w:t>
            </w:r>
          </w:p>
        </w:tc>
        <w:tc>
          <w:tcPr>
            <w:tcW w:type="dxa" w:w="3770"/>
            <w:vAlign w:val="center"/>
          </w:tcPr>
          <w:p>
            <w:pPr>
              <w:keepNext w:val="0"/>
              <w:widowControl/>
              <w:spacing w:line="276" w:lineRule="auto" w:after="0" w:before="0"/>
            </w:pPr>
            <w:r>
              <w:rPr>
                <w:rFonts w:ascii="Calibri" w:hAnsi="Calibri" w:eastAsia="宋体"/>
                <w:b w:val="0"/>
                <w:color w:val="000000"/>
                <w:sz w:val="19"/>
              </w:rPr>
              <w:t>“脑萎缩”不能独立确诊某病；没有明显萎缩也不能排除早期疾病</w:t>
            </w:r>
          </w:p>
        </w:tc>
      </w:tr>
      <w:tr>
        <w:trPr>
          <w:cantSplit/>
        </w:trPr>
        <w:tc>
          <w:tcPr>
            <w:tcW w:type="dxa" w:w="1984"/>
            <w:vAlign w:val="center"/>
            <w:shd w:fill="F6F8FA"/>
          </w:tcPr>
          <w:p>
            <w:pPr>
              <w:keepNext w:val="0"/>
              <w:widowControl/>
              <w:spacing w:line="276" w:lineRule="auto" w:after="0" w:before="0"/>
            </w:pPr>
            <w:r>
              <w:rPr>
                <w:rFonts w:ascii="Calibri" w:hAnsi="Calibri" w:eastAsia="宋体"/>
                <w:b w:val="0"/>
                <w:color w:val="000000"/>
                <w:sz w:val="19"/>
              </w:rPr>
              <w:t>FDG PET</w:t>
            </w:r>
          </w:p>
        </w:tc>
        <w:tc>
          <w:tcPr>
            <w:tcW w:type="dxa" w:w="3770"/>
            <w:vAlign w:val="center"/>
            <w:shd w:fill="F6F8FA"/>
          </w:tcPr>
          <w:p>
            <w:pPr>
              <w:keepNext w:val="0"/>
              <w:widowControl/>
              <w:spacing w:line="276" w:lineRule="auto" w:after="0" w:before="0"/>
            </w:pPr>
            <w:r>
              <w:rPr>
                <w:rFonts w:ascii="Calibri" w:hAnsi="Calibri" w:eastAsia="宋体"/>
                <w:b w:val="0"/>
                <w:color w:val="000000"/>
                <w:sz w:val="19"/>
              </w:rPr>
              <w:t>哪些脑区代谢或功能下降，是否支持某种模式</w:t>
            </w:r>
          </w:p>
        </w:tc>
        <w:tc>
          <w:tcPr>
            <w:tcW w:type="dxa" w:w="3770"/>
            <w:vAlign w:val="center"/>
            <w:shd w:fill="F6F8FA"/>
          </w:tcPr>
          <w:p>
            <w:pPr>
              <w:keepNext w:val="0"/>
              <w:widowControl/>
              <w:spacing w:line="276" w:lineRule="auto" w:after="0" w:before="0"/>
            </w:pPr>
            <w:r>
              <w:rPr>
                <w:rFonts w:ascii="Calibri" w:hAnsi="Calibri" w:eastAsia="宋体"/>
                <w:b w:val="0"/>
                <w:color w:val="000000"/>
                <w:sz w:val="19"/>
              </w:rPr>
              <w:t>它不是直接测淀粉样蛋白的PET，也不是单独的分子病理证明</w:t>
            </w:r>
          </w:p>
        </w:tc>
      </w:tr>
      <w:tr>
        <w:trPr>
          <w:cantSplit/>
        </w:trPr>
        <w:tc>
          <w:tcPr>
            <w:tcW w:type="dxa" w:w="1984"/>
            <w:vAlign w:val="center"/>
          </w:tcPr>
          <w:p>
            <w:pPr>
              <w:keepNext w:val="0"/>
              <w:widowControl/>
              <w:spacing w:line="276" w:lineRule="auto" w:after="0" w:before="0"/>
            </w:pPr>
            <w:r>
              <w:rPr>
                <w:rFonts w:ascii="Calibri" w:hAnsi="Calibri" w:eastAsia="宋体"/>
                <w:b w:val="0"/>
                <w:color w:val="000000"/>
                <w:sz w:val="19"/>
              </w:rPr>
              <w:t>淀粉样蛋白PET及AD脑脊液指标</w:t>
            </w:r>
          </w:p>
        </w:tc>
        <w:tc>
          <w:tcPr>
            <w:tcW w:type="dxa" w:w="3770"/>
            <w:vAlign w:val="center"/>
          </w:tcPr>
          <w:p>
            <w:pPr>
              <w:keepNext w:val="0"/>
              <w:widowControl/>
              <w:spacing w:line="276" w:lineRule="auto" w:after="0" w:before="0"/>
            </w:pPr>
            <w:r>
              <w:rPr>
                <w:rFonts w:ascii="Calibri" w:hAnsi="Calibri" w:eastAsia="宋体"/>
                <w:b w:val="0"/>
                <w:color w:val="000000"/>
                <w:sz w:val="19"/>
              </w:rPr>
              <w:t>是否有相应AD病理证据</w:t>
            </w:r>
          </w:p>
        </w:tc>
        <w:tc>
          <w:tcPr>
            <w:tcW w:type="dxa" w:w="3770"/>
            <w:vAlign w:val="center"/>
          </w:tcPr>
          <w:p>
            <w:pPr>
              <w:keepNext w:val="0"/>
              <w:widowControl/>
              <w:spacing w:line="276" w:lineRule="auto" w:after="0" w:before="0"/>
            </w:pPr>
            <w:r>
              <w:rPr>
                <w:rFonts w:ascii="Calibri" w:hAnsi="Calibri" w:eastAsia="宋体"/>
                <w:b w:val="0"/>
                <w:color w:val="000000"/>
                <w:sz w:val="19"/>
              </w:rPr>
              <w:t>阳性不等于已经痴呆，也不说明所有症状都来自AD</w:t>
            </w:r>
          </w:p>
        </w:tc>
      </w:tr>
      <w:tr>
        <w:trPr>
          <w:cantSplit/>
        </w:trPr>
        <w:tc>
          <w:tcPr>
            <w:tcW w:type="dxa" w:w="1984"/>
            <w:vAlign w:val="center"/>
            <w:shd w:fill="F6F8FA"/>
          </w:tcPr>
          <w:p>
            <w:pPr>
              <w:keepNext w:val="0"/>
              <w:widowControl/>
              <w:spacing w:line="276" w:lineRule="auto" w:after="0" w:before="0"/>
            </w:pPr>
            <w:r>
              <w:rPr>
                <w:rFonts w:ascii="Calibri" w:hAnsi="Calibri" w:eastAsia="宋体"/>
                <w:b w:val="0"/>
                <w:color w:val="000000"/>
                <w:sz w:val="19"/>
              </w:rPr>
              <w:t>合格的AD血液生物标志物</w:t>
            </w:r>
          </w:p>
        </w:tc>
        <w:tc>
          <w:tcPr>
            <w:tcW w:type="dxa" w:w="3770"/>
            <w:vAlign w:val="center"/>
            <w:shd w:fill="F6F8FA"/>
          </w:tcPr>
          <w:p>
            <w:pPr>
              <w:keepNext w:val="0"/>
              <w:widowControl/>
              <w:spacing w:line="276" w:lineRule="auto" w:after="0" w:before="0"/>
            </w:pPr>
            <w:r>
              <w:rPr>
                <w:rFonts w:ascii="Calibri" w:hAnsi="Calibri" w:eastAsia="宋体"/>
                <w:b w:val="0"/>
                <w:color w:val="000000"/>
                <w:sz w:val="19"/>
              </w:rPr>
              <w:t>在适用人群中分流或确认AD病理</w:t>
            </w:r>
          </w:p>
        </w:tc>
        <w:tc>
          <w:tcPr>
            <w:tcW w:type="dxa" w:w="3770"/>
            <w:vAlign w:val="center"/>
            <w:shd w:fill="F6F8FA"/>
          </w:tcPr>
          <w:p>
            <w:pPr>
              <w:keepNext w:val="0"/>
              <w:widowControl/>
              <w:spacing w:line="276" w:lineRule="auto" w:after="0" w:before="0"/>
            </w:pPr>
            <w:r>
              <w:rPr>
                <w:rFonts w:ascii="Calibri" w:hAnsi="Calibri" w:eastAsia="宋体"/>
                <w:b w:val="0"/>
                <w:color w:val="000000"/>
                <w:sz w:val="19"/>
              </w:rPr>
              <w:t>不同产品与检测平台不能互换；任意p-tau异常不等于完成确诊</w:t>
            </w:r>
          </w:p>
        </w:tc>
      </w:tr>
      <w:tr>
        <w:trPr>
          <w:cantSplit/>
        </w:trPr>
        <w:tc>
          <w:tcPr>
            <w:tcW w:type="dxa" w:w="1984"/>
            <w:vAlign w:val="center"/>
          </w:tcPr>
          <w:p>
            <w:pPr>
              <w:keepNext w:val="0"/>
              <w:widowControl/>
              <w:spacing w:line="276" w:lineRule="auto" w:after="0" w:before="0"/>
            </w:pPr>
            <w:r>
              <w:rPr>
                <w:rFonts w:ascii="Calibri" w:hAnsi="Calibri" w:eastAsia="宋体"/>
                <w:b w:val="0"/>
                <w:color w:val="000000"/>
                <w:sz w:val="19"/>
              </w:rPr>
              <w:t>多巴胺转运体影像 DAT SPECT或PET</w:t>
            </w:r>
          </w:p>
        </w:tc>
        <w:tc>
          <w:tcPr>
            <w:tcW w:type="dxa" w:w="3770"/>
            <w:vAlign w:val="center"/>
          </w:tcPr>
          <w:p>
            <w:pPr>
              <w:keepNext w:val="0"/>
              <w:widowControl/>
              <w:spacing w:line="276" w:lineRule="auto" w:after="0" w:before="0"/>
            </w:pPr>
            <w:r>
              <w:rPr>
                <w:rFonts w:ascii="Calibri" w:hAnsi="Calibri" w:eastAsia="宋体"/>
                <w:b w:val="0"/>
                <w:color w:val="000000"/>
                <w:sz w:val="19"/>
              </w:rPr>
              <w:t>是否存在相应的纹状体多巴胺能系统异常</w:t>
            </w:r>
          </w:p>
        </w:tc>
        <w:tc>
          <w:tcPr>
            <w:tcW w:type="dxa" w:w="3770"/>
            <w:vAlign w:val="center"/>
          </w:tcPr>
          <w:p>
            <w:pPr>
              <w:keepNext w:val="0"/>
              <w:widowControl/>
              <w:spacing w:line="276" w:lineRule="auto" w:after="0" w:before="0"/>
            </w:pPr>
            <w:r>
              <w:rPr>
                <w:rFonts w:ascii="Calibri" w:hAnsi="Calibri" w:eastAsia="宋体"/>
                <w:b w:val="0"/>
                <w:color w:val="000000"/>
                <w:sz w:val="19"/>
              </w:rPr>
              <w:t>PD、DLB、MSA、PSP等都可能异常，不能靠阳性结果独自区分它们</w:t>
            </w:r>
          </w:p>
        </w:tc>
      </w:tr>
      <w:tr>
        <w:trPr>
          <w:cantSplit/>
        </w:trPr>
        <w:tc>
          <w:tcPr>
            <w:tcW w:type="dxa" w:w="1984"/>
            <w:vAlign w:val="center"/>
            <w:shd w:fill="F6F8FA"/>
          </w:tcPr>
          <w:p>
            <w:pPr>
              <w:keepNext w:val="0"/>
              <w:widowControl/>
              <w:spacing w:line="276" w:lineRule="auto" w:after="0" w:before="0"/>
            </w:pPr>
            <w:r>
              <w:rPr>
                <w:rFonts w:ascii="Calibri" w:hAnsi="Calibri" w:eastAsia="宋体"/>
                <w:b w:val="0"/>
                <w:color w:val="000000"/>
                <w:sz w:val="19"/>
              </w:rPr>
              <w:t>肌电图及神经传导检查</w:t>
            </w:r>
          </w:p>
        </w:tc>
        <w:tc>
          <w:tcPr>
            <w:tcW w:type="dxa" w:w="3770"/>
            <w:vAlign w:val="center"/>
            <w:shd w:fill="F6F8FA"/>
          </w:tcPr>
          <w:p>
            <w:pPr>
              <w:keepNext w:val="0"/>
              <w:widowControl/>
              <w:spacing w:line="276" w:lineRule="auto" w:after="0" w:before="0"/>
            </w:pPr>
            <w:r>
              <w:rPr>
                <w:rFonts w:ascii="Calibri" w:hAnsi="Calibri" w:eastAsia="宋体"/>
                <w:b w:val="0"/>
                <w:color w:val="000000"/>
                <w:sz w:val="19"/>
              </w:rPr>
              <w:t>是否有神经源性肌肉改变或其他神经病变线索</w:t>
            </w:r>
          </w:p>
        </w:tc>
        <w:tc>
          <w:tcPr>
            <w:tcW w:type="dxa" w:w="3770"/>
            <w:vAlign w:val="center"/>
            <w:shd w:fill="F6F8FA"/>
          </w:tcPr>
          <w:p>
            <w:pPr>
              <w:keepNext w:val="0"/>
              <w:widowControl/>
              <w:spacing w:line="276" w:lineRule="auto" w:after="0" w:before="0"/>
            </w:pPr>
            <w:r>
              <w:rPr>
                <w:rFonts w:ascii="Calibri" w:hAnsi="Calibri" w:eastAsia="宋体"/>
                <w:b w:val="0"/>
                <w:color w:val="000000"/>
                <w:sz w:val="19"/>
              </w:rPr>
              <w:t>一处异常不能独立诊断ALS；一次阴性结果也不能在所有情境下排除ALS</w:t>
            </w:r>
          </w:p>
        </w:tc>
      </w:tr>
      <w:tr>
        <w:trPr>
          <w:cantSplit/>
        </w:trPr>
        <w:tc>
          <w:tcPr>
            <w:tcW w:type="dxa" w:w="1984"/>
            <w:vAlign w:val="center"/>
          </w:tcPr>
          <w:p>
            <w:pPr>
              <w:keepNext w:val="0"/>
              <w:widowControl/>
              <w:spacing w:line="276" w:lineRule="auto" w:after="0" w:before="0"/>
            </w:pPr>
            <w:r>
              <w:rPr>
                <w:rFonts w:ascii="Calibri" w:hAnsi="Calibri" w:eastAsia="宋体"/>
                <w:b w:val="0"/>
                <w:color w:val="000000"/>
                <w:sz w:val="19"/>
              </w:rPr>
              <w:t>多导睡眠监测 PSG</w:t>
            </w:r>
          </w:p>
        </w:tc>
        <w:tc>
          <w:tcPr>
            <w:tcW w:type="dxa" w:w="3770"/>
            <w:vAlign w:val="center"/>
          </w:tcPr>
          <w:p>
            <w:pPr>
              <w:keepNext w:val="0"/>
              <w:widowControl/>
              <w:spacing w:line="276" w:lineRule="auto" w:after="0" w:before="0"/>
            </w:pPr>
            <w:r>
              <w:rPr>
                <w:rFonts w:ascii="Calibri" w:hAnsi="Calibri" w:eastAsia="宋体"/>
                <w:b w:val="0"/>
                <w:color w:val="000000"/>
                <w:sz w:val="19"/>
              </w:rPr>
              <w:t>是否存在REM睡眠肌张力消失的异常等睡眠证据</w:t>
            </w:r>
          </w:p>
        </w:tc>
        <w:tc>
          <w:tcPr>
            <w:tcW w:type="dxa" w:w="3770"/>
            <w:vAlign w:val="center"/>
          </w:tcPr>
          <w:p>
            <w:pPr>
              <w:keepNext w:val="0"/>
              <w:widowControl/>
              <w:spacing w:line="276" w:lineRule="auto" w:after="0" w:before="0"/>
            </w:pPr>
            <w:r>
              <w:rPr>
                <w:rFonts w:ascii="Calibri" w:hAnsi="Calibri" w:eastAsia="宋体"/>
                <w:b w:val="0"/>
                <w:color w:val="000000"/>
                <w:sz w:val="19"/>
              </w:rPr>
              <w:t>做梦、梦话或打鼾本身不等于DLB</w:t>
            </w:r>
          </w:p>
        </w:tc>
      </w:tr>
      <w:tr>
        <w:trPr>
          <w:cantSplit/>
        </w:trPr>
        <w:tc>
          <w:tcPr>
            <w:tcW w:type="dxa" w:w="1984"/>
            <w:vAlign w:val="center"/>
            <w:shd w:fill="F6F8FA"/>
          </w:tcPr>
          <w:p>
            <w:pPr>
              <w:keepNext w:val="0"/>
              <w:widowControl/>
              <w:spacing w:line="276" w:lineRule="auto" w:after="0" w:before="0"/>
            </w:pPr>
            <w:r>
              <w:rPr>
                <w:rFonts w:ascii="Calibri" w:hAnsi="Calibri" w:eastAsia="宋体"/>
                <w:b w:val="0"/>
                <w:color w:val="000000"/>
                <w:sz w:val="19"/>
              </w:rPr>
              <w:t>针对性的基因检测</w:t>
            </w:r>
          </w:p>
        </w:tc>
        <w:tc>
          <w:tcPr>
            <w:tcW w:type="dxa" w:w="3770"/>
            <w:vAlign w:val="center"/>
            <w:shd w:fill="F6F8FA"/>
          </w:tcPr>
          <w:p>
            <w:pPr>
              <w:keepNext w:val="0"/>
              <w:widowControl/>
              <w:spacing w:line="276" w:lineRule="auto" w:after="0" w:before="0"/>
            </w:pPr>
            <w:r>
              <w:rPr>
                <w:rFonts w:ascii="Calibri" w:hAnsi="Calibri" w:eastAsia="宋体"/>
                <w:b w:val="0"/>
                <w:color w:val="000000"/>
                <w:sz w:val="19"/>
              </w:rPr>
              <w:t>是否有已知致病变异或特定重复扩增</w:t>
            </w:r>
          </w:p>
        </w:tc>
        <w:tc>
          <w:tcPr>
            <w:tcW w:type="dxa" w:w="3770"/>
            <w:vAlign w:val="center"/>
            <w:shd w:fill="F6F8FA"/>
          </w:tcPr>
          <w:p>
            <w:pPr>
              <w:keepNext w:val="0"/>
              <w:widowControl/>
              <w:spacing w:line="276" w:lineRule="auto" w:after="0" w:before="0"/>
            </w:pPr>
            <w:r>
              <w:rPr>
                <w:rFonts w:ascii="Calibri" w:hAnsi="Calibri" w:eastAsia="宋体"/>
                <w:b w:val="0"/>
                <w:color w:val="000000"/>
                <w:sz w:val="19"/>
              </w:rPr>
              <w:t>风险变异不等于确定致病；无症状携带不等于已经出现临床疾病</w:t>
            </w:r>
          </w:p>
        </w:tc>
      </w:tr>
    </w:tbl>
    <w:p>
      <w:pPr>
        <w:spacing w:after="40" w:before="0" w:line="240" w:lineRule="auto"/>
      </w:pPr>
      <w:r>
        <w:rPr>
          <w:rFonts w:ascii="Calibri" w:hAnsi="Calibri" w:eastAsia="宋体"/>
          <w:color w:val="000000"/>
          <w:sz w:val="2"/>
        </w:rPr>
      </w:r>
    </w:p>
    <w:p>
      <w:r>
        <w:rPr>
          <w:rFonts w:ascii="Calibri" w:hAnsi="Calibri" w:eastAsia="宋体"/>
          <w:b w:val="0"/>
          <w:color w:val="000000"/>
          <w:sz w:val="23"/>
        </w:rPr>
        <w:t>依据为文献[1–7,10–14]。一项检查有价值，并不意味着每个人都需要做；多种PET也不是同一种检查。</w:t>
      </w:r>
    </w:p>
    <w:p>
      <w:pPr>
        <w:pStyle w:val="Heading2"/>
      </w:pPr>
      <w:r>
        <w:rPr>
          <w:rFonts w:ascii="Calibri" w:hAnsi="Calibri" w:eastAsia="微软雅黑"/>
          <w:b/>
          <w:color w:val="000000"/>
          <w:sz w:val="25"/>
        </w:rPr>
        <w:t>2 读检查结果要先懂三个词</w:t>
      </w:r>
    </w:p>
    <w:p>
      <w:r>
        <w:rPr>
          <w:rFonts w:ascii="Calibri" w:hAnsi="Calibri" w:eastAsia="宋体"/>
          <w:b/>
          <w:color w:val="000000"/>
          <w:sz w:val="23"/>
        </w:rPr>
        <w:t>敏感度：已经有目标病理的人，检查能找出多少。</w:t>
      </w:r>
      <w:r>
        <w:rPr>
          <w:rFonts w:ascii="Calibri" w:hAnsi="Calibri" w:eastAsia="宋体"/>
          <w:b w:val="0"/>
          <w:color w:val="000000"/>
          <w:sz w:val="23"/>
        </w:rPr>
        <w:t xml:space="preserve"> 敏感度90%意味着，在相应研究条件下，100名有目标病理的人中约90名检测阳性，约10名可能漏检。</w:t>
      </w:r>
    </w:p>
    <w:p>
      <w:r>
        <w:rPr>
          <w:rFonts w:ascii="Calibri" w:hAnsi="Calibri" w:eastAsia="宋体"/>
          <w:b/>
          <w:color w:val="000000"/>
          <w:sz w:val="23"/>
        </w:rPr>
        <w:t>特异度：没有目标病理的人，检查能正确识别多少。</w:t>
      </w:r>
      <w:r>
        <w:rPr>
          <w:rFonts w:ascii="Calibri" w:hAnsi="Calibri" w:eastAsia="宋体"/>
          <w:b w:val="0"/>
          <w:color w:val="000000"/>
          <w:sz w:val="23"/>
        </w:rPr>
        <w:t xml:space="preserve"> 特异度90%意味着，100名没有目标病理的人中约90名检测阴性，约10名可能假阳性。</w:t>
      </w:r>
    </w:p>
    <w:p>
      <w:r>
        <w:rPr>
          <w:rFonts w:ascii="Calibri" w:hAnsi="Calibri" w:eastAsia="宋体"/>
          <w:b/>
          <w:color w:val="000000"/>
          <w:sz w:val="23"/>
        </w:rPr>
        <w:t>阳性预测值：已经测出阳性的人，真正有目标病理的比例。</w:t>
      </w:r>
      <w:r>
        <w:rPr>
          <w:rFonts w:ascii="Calibri" w:hAnsi="Calibri" w:eastAsia="宋体"/>
          <w:b w:val="0"/>
          <w:color w:val="000000"/>
          <w:sz w:val="23"/>
        </w:rPr>
        <w:t xml:space="preserve"> 它还取决于检测前疾病有多可能。假设1000名受检者中20%有目标病理，某检测的敏感度和特异度都为90%，则会有180个真阳性和80个假阳性。所有260个阳性中，真阳性约占69%。这个例子是教学计算，不是某项产品的实际性能，也不是对某个人的诊断。[2]</w:t>
      </w:r>
    </w:p>
    <w:p>
      <w:r>
        <w:rPr>
          <w:rFonts w:ascii="Calibri" w:hAnsi="Calibri" w:eastAsia="宋体"/>
          <w:b w:val="0"/>
          <w:color w:val="000000"/>
          <w:sz w:val="23"/>
        </w:rPr>
        <w:t>因此，“准确率很高”不等于“我的阳性结果有同样高的患病概率”。检测对象、具体检测方法、阈值、共同疾病和临床表现都要一起考虑。边界结果或临床与检验明显矛盾时，应重新评估，而不是只盯住报告中的箭头。[1,2]</w:t>
      </w:r>
    </w:p>
    <w:p>
      <w:pPr>
        <w:pStyle w:val="Heading1"/>
      </w:pPr>
      <w:r>
        <w:rPr>
          <w:rFonts w:ascii="Calibri" w:hAnsi="Calibri" w:eastAsia="微软雅黑"/>
          <w:b/>
          <w:color w:val="000000"/>
          <w:sz w:val="32"/>
        </w:rPr>
        <w:t>五 主要病种怎样诊断</w:t>
      </w:r>
    </w:p>
    <w:p>
      <w:pPr>
        <w:pStyle w:val="Heading2"/>
      </w:pPr>
      <w:r>
        <w:rPr>
          <w:rFonts w:ascii="Calibri" w:hAnsi="Calibri" w:eastAsia="微软雅黑"/>
          <w:b/>
          <w:color w:val="000000"/>
          <w:sz w:val="25"/>
        </w:rPr>
        <w:t>1 阿尔茨海默病 AD</w:t>
      </w:r>
    </w:p>
    <w:p>
      <w:r>
        <w:rPr>
          <w:rFonts w:ascii="Calibri" w:hAnsi="Calibri" w:eastAsia="宋体"/>
          <w:b/>
          <w:color w:val="000000"/>
          <w:sz w:val="23"/>
        </w:rPr>
        <w:t>先理解典型线索。</w:t>
      </w:r>
      <w:r>
        <w:rPr>
          <w:rFonts w:ascii="Calibri" w:hAnsi="Calibri" w:eastAsia="宋体"/>
          <w:b w:val="0"/>
          <w:color w:val="000000"/>
          <w:sz w:val="23"/>
        </w:rPr>
        <w:t xml:space="preserve"> 常见表现是逐渐难以学习和记住新信息，例如同一问题反复询问、约定的事情多次遗忘。但AD也有语言、视觉空间或执行功能突出受损的类型。[5]</w:t>
      </w:r>
    </w:p>
    <w:p>
      <w:r>
        <w:rPr>
          <w:rFonts w:ascii="Calibri" w:hAnsi="Calibri" w:eastAsia="宋体"/>
          <w:b/>
          <w:color w:val="000000"/>
          <w:sz w:val="23"/>
        </w:rPr>
        <w:t>临床诊断与生物学诊断分别回答问题。</w:t>
      </w:r>
      <w:r>
        <w:rPr>
          <w:rFonts w:ascii="Calibri" w:hAnsi="Calibri" w:eastAsia="宋体"/>
          <w:b w:val="0"/>
          <w:color w:val="000000"/>
          <w:sz w:val="23"/>
        </w:rPr>
        <w:t xml:space="preserve"> 2011年NIA-AA标准主要说明怎样识别“由AD导致的痴呆”：符合痴呆综合征，数月至数年隐匿起病、持续恶化，并没有更有说服力的其他解释。2024年阿尔茨海默病协会框架进一步把AD定义为生物学过程：特定且经过验证的核心1类生物标志物异常，可以建立该框架下的AD生物学诊断。[1,5]</w:t>
      </w:r>
    </w:p>
    <w:p>
      <w:r>
        <w:rPr>
          <w:rFonts w:ascii="Calibri" w:hAnsi="Calibri" w:eastAsia="宋体"/>
          <w:b w:val="0"/>
          <w:color w:val="000000"/>
          <w:sz w:val="23"/>
        </w:rPr>
        <w:t>核心1类诊断证据包括淀粉样蛋白PET、合格的脑脊液Aβ42/40、p-tau181/Aβ42或t-tau/Aβ42比值，以及达到相应性能要求的血浆检测。p-tau217是重要代表，但不是所有同名检测都有足够准确性。核心2类指标，例如tau PET，主要帮助理解病理分布、分期及预后；MRI、FDG PET、NfL等更多反映损伤或功能变化，不具有同样的AD病因特异性。[1]</w:t>
      </w:r>
    </w:p>
    <w:p>
      <w:r>
        <w:rPr>
          <w:rFonts w:ascii="Calibri" w:hAnsi="Calibri" w:eastAsia="宋体"/>
          <w:b/>
          <w:color w:val="000000"/>
          <w:sz w:val="23"/>
        </w:rPr>
        <w:t>2025血液指南的边界必须保留。</w:t>
      </w:r>
      <w:r>
        <w:rPr>
          <w:rFonts w:ascii="Calibri" w:hAnsi="Calibri" w:eastAsia="宋体"/>
          <w:b w:val="0"/>
          <w:color w:val="000000"/>
          <w:sz w:val="23"/>
        </w:rPr>
        <w:t xml:space="preserve"> 适用对象是在专科记忆诊疗中接受评估、已存在客观认知障碍的患者。用于分流的检测，敏感度至少90%、特异度至少75%；阳性通常还需要另一种方法确认。用于确认病理的检测，敏感度和特异度均至少90%，可以在该情境下替代相应PET或脑脊液检测。这两项都是条件性建议，所依据证据的确定性为低。检测之前仍需全面临床评估。[2]</w:t>
      </w:r>
    </w:p>
    <w:p>
      <w:r>
        <w:rPr>
          <w:rFonts w:ascii="Calibri" w:hAnsi="Calibri" w:eastAsia="宋体"/>
          <w:b w:val="0"/>
          <w:color w:val="000000"/>
          <w:sz w:val="23"/>
        </w:rPr>
        <w:t>对初学者最重要的是同时写清两句话：“有没有AD病理证据”和“有没有认知障碍、是否影响独立生活”。生物标志物阳性不等于已经痴呆，也不排除其他病理共同造成症状。2024框架不是完整的临床操作指南，也不支持在常规临床照护中对无症状人群进行相应筛查。[1,2]</w:t>
      </w:r>
    </w:p>
    <w:p>
      <w:pPr>
        <w:pStyle w:val="Heading2"/>
      </w:pPr>
      <w:r>
        <w:rPr>
          <w:rFonts w:ascii="Calibri" w:hAnsi="Calibri" w:eastAsia="微软雅黑"/>
          <w:b/>
          <w:color w:val="000000"/>
          <w:sz w:val="25"/>
        </w:rPr>
        <w:t>2 帕金森病 PD</w:t>
      </w:r>
    </w:p>
    <w:p>
      <w:r>
        <w:rPr>
          <w:rFonts w:ascii="Calibri" w:hAnsi="Calibri" w:eastAsia="宋体"/>
          <w:b/>
          <w:color w:val="000000"/>
          <w:sz w:val="23"/>
        </w:rPr>
        <w:t>第一关是有没有真正的帕金森综合征。</w:t>
      </w:r>
      <w:r>
        <w:rPr>
          <w:rFonts w:ascii="Calibri" w:hAnsi="Calibri" w:eastAsia="宋体"/>
          <w:b w:val="0"/>
          <w:color w:val="000000"/>
          <w:sz w:val="23"/>
        </w:rPr>
        <w:t xml:space="preserve"> 2015年MDS标准要求：运动迟缓，加静止性震颤或肌强直，或两者都有。运动迟缓不只是慢，还包括重复动作时幅度或速度逐渐减小，或越来越停顿。医生会用手指敲击等动作观察。单纯手抖、动作因疼痛变慢，都不能直接跨过这一关。[6]</w:t>
      </w:r>
    </w:p>
    <w:p>
      <w:r>
        <w:rPr>
          <w:rFonts w:ascii="Calibri" w:hAnsi="Calibri" w:eastAsia="宋体"/>
          <w:b/>
          <w:color w:val="000000"/>
          <w:sz w:val="23"/>
        </w:rPr>
        <w:t>第二关是表现是否支持PD。</w:t>
      </w:r>
      <w:r>
        <w:rPr>
          <w:rFonts w:ascii="Calibri" w:hAnsi="Calibri" w:eastAsia="宋体"/>
          <w:b w:val="0"/>
          <w:color w:val="000000"/>
          <w:sz w:val="23"/>
        </w:rPr>
        <w:t xml:space="preserve"> 明显而持续的多巴胺能治疗获益、左旋多巴诱发的异动症、肢体静止性震颤等可提供支持。明确的小脑体征、特定垂直眼球运动异常或充分解释症状的其他疾病，则可能构成排除证据。早期严重自主神经障碍、反复跌倒或快速进展等属于需要重视的警示特征。[6]</w:t>
      </w:r>
    </w:p>
    <w:p>
      <w:r>
        <w:rPr>
          <w:rFonts w:ascii="Calibri" w:hAnsi="Calibri" w:eastAsia="宋体"/>
          <w:b w:val="0"/>
          <w:color w:val="000000"/>
          <w:sz w:val="23"/>
        </w:rPr>
        <w:t>在排除项不存在的前提下，“临床确立PD”要求至少两项支持标准，并且没有警示特征；“临床很可能PD”允许至多两项警示特征，但每项需由至少一项支持标准抵消。这里仍需要专家按原文定义判断，而不是患者自行打分。[6]</w:t>
      </w:r>
    </w:p>
    <w:p>
      <w:r>
        <w:rPr>
          <w:rFonts w:ascii="Calibri" w:hAnsi="Calibri" w:eastAsia="宋体"/>
          <w:b w:val="0"/>
          <w:color w:val="000000"/>
          <w:sz w:val="23"/>
        </w:rPr>
        <w:t>DAT影像若进行并显示正常，在2015标准中属于绝对排除项；但异常结果本身不能区分PD与多种非典型帕金森综合征。2024年SynNeurGe把α突触核蛋白证据、神经退行性证据、遗传因素与临床特征联系起来，其初始用途明确限定于研究，不能直接替代2015临床标准。[6,14]</w:t>
      </w:r>
    </w:p>
    <w:p>
      <w:pPr>
        <w:pStyle w:val="Heading2"/>
      </w:pPr>
      <w:r>
        <w:rPr>
          <w:rFonts w:ascii="Calibri" w:hAnsi="Calibri" w:eastAsia="微软雅黑"/>
          <w:b/>
          <w:color w:val="000000"/>
          <w:sz w:val="25"/>
        </w:rPr>
        <w:t>3 路易体痴呆 DLB</w:t>
      </w:r>
    </w:p>
    <w:p>
      <w:r>
        <w:rPr>
          <w:rFonts w:ascii="Calibri" w:hAnsi="Calibri" w:eastAsia="宋体"/>
          <w:b/>
          <w:color w:val="000000"/>
          <w:sz w:val="23"/>
        </w:rPr>
        <w:t>基础是已经存在痴呆。</w:t>
      </w:r>
      <w:r>
        <w:rPr>
          <w:rFonts w:ascii="Calibri" w:hAnsi="Calibri" w:eastAsia="宋体"/>
          <w:b w:val="0"/>
          <w:color w:val="000000"/>
          <w:sz w:val="23"/>
        </w:rPr>
        <w:t xml:space="preserve"> 早期可以突出注意、执行和视觉知觉困难，遗忘未必最明显。2017共识列出四个核心临床特征：认知与清醒程度明显波动；反复出现清楚、成形的视幻觉；REM睡眠行为障碍；自发出现的运动迟缓、静止性震颤或肌强直中的至少一种。[7]</w:t>
      </w:r>
    </w:p>
    <w:p>
      <w:r>
        <w:rPr>
          <w:rFonts w:ascii="Calibri" w:hAnsi="Calibri" w:eastAsia="宋体"/>
          <w:b w:val="0"/>
          <w:color w:val="000000"/>
          <w:sz w:val="23"/>
        </w:rPr>
        <w:t>REM睡眠行为障碍可以表现为睡梦中“演出梦里的动作”，例如挥拳或踢腿。但梦话、睡眠呼吸暂停等可能混淆，需要进一步询问，必要时睡眠监测。它也不是DLB独有的表现。[7]</w:t>
      </w:r>
    </w:p>
    <w:p>
      <w:r>
        <w:rPr>
          <w:rFonts w:ascii="Calibri" w:hAnsi="Calibri" w:eastAsia="宋体"/>
          <w:b w:val="0"/>
          <w:color w:val="000000"/>
          <w:sz w:val="23"/>
        </w:rPr>
        <w:t>在痴呆基础上，至少两个核心特征，或者一个核心特征加至少一个指示性生物标志物，可以达到“很可能DLB”。指示性指标包括纹状体DAT摄取降低、心脏MIBG摄取降低，以及PSG证实REM睡眠时正常肌张力抑制消失。没有核心特征而只有指示性指标，不能达到很可能DLB。[7]</w:t>
      </w:r>
    </w:p>
    <w:p>
      <w:r>
        <w:rPr>
          <w:rFonts w:ascii="Calibri" w:hAnsi="Calibri" w:eastAsia="宋体"/>
          <w:b w:val="0"/>
          <w:color w:val="000000"/>
          <w:sz w:val="23"/>
        </w:rPr>
        <w:t>痴呆在帕金森表现之前或同时发生时，临床更倾向DLB；在已经明确存在的PD背景上后来发生痴呆，可称帕金森病痴呆。研究中常用“一年规则”区分两者，但它是一种实用分类边界，不是两种病理截然分开的证明。[7]</w:t>
      </w:r>
    </w:p>
    <w:p>
      <w:pPr>
        <w:pStyle w:val="Heading2"/>
      </w:pPr>
      <w:r>
        <w:rPr>
          <w:rFonts w:ascii="Calibri" w:hAnsi="Calibri" w:eastAsia="微软雅黑"/>
          <w:b/>
          <w:color w:val="000000"/>
          <w:sz w:val="25"/>
        </w:rPr>
        <w:t>4 行为变异型额颞叶痴呆 bvFTD</w:t>
      </w:r>
    </w:p>
    <w:p>
      <w:r>
        <w:rPr>
          <w:rFonts w:ascii="Calibri" w:hAnsi="Calibri" w:eastAsia="宋体"/>
          <w:b/>
          <w:color w:val="000000"/>
          <w:sz w:val="23"/>
        </w:rPr>
        <w:t>最先被注意到的可能是行为变化。</w:t>
      </w:r>
      <w:r>
        <w:rPr>
          <w:rFonts w:ascii="Calibri" w:hAnsi="Calibri" w:eastAsia="宋体"/>
          <w:b w:val="0"/>
          <w:color w:val="000000"/>
          <w:sz w:val="23"/>
        </w:rPr>
        <w:t xml:space="preserve"> 例如原本谨慎的人持续冲动失礼，原本主动的人逐渐明显冷漠，或对家人的情绪缺少反应。诊断要求这些是相对既往的进行性变化，并且不能由其他疾病或精神障碍更好解释。[8]</w:t>
      </w:r>
    </w:p>
    <w:p>
      <w:r>
        <w:rPr>
          <w:rFonts w:ascii="Calibri" w:hAnsi="Calibri" w:eastAsia="宋体"/>
          <w:b w:val="0"/>
          <w:color w:val="000000"/>
          <w:sz w:val="23"/>
        </w:rPr>
        <w:t>2011年额颞叶痴呆标准联盟（FTDC）列出六类早期特征：行为失抑制；淡漠或缺乏主动性；同情与共情下降；重复、刻板或强迫样行为；过度口欲或饮食改变；以执行功能损害为主且情景记忆和视觉空间相对保留的神经心理模式。六类中至少三类，加进行性改变及相应排除条件，可达到“可能bvFTD”。“早期”一般指最初三年，特征应持续或反复出现。[8]</w:t>
      </w:r>
    </w:p>
    <w:p>
      <w:r>
        <w:rPr>
          <w:rFonts w:ascii="Calibri" w:hAnsi="Calibri" w:eastAsia="宋体"/>
          <w:b w:val="0"/>
          <w:color w:val="000000"/>
          <w:sz w:val="23"/>
        </w:rPr>
        <w:t>“很可能bvFTD”还需要显著功能下降，以及额叶或前颞叶萎缩、低灌注或低代谢等相符影像。在符合临床类别的基础上，额颞叶变性（FTLD）病理或已知致病变异可支持确定类别。bvFTD不等于某一种单一蛋白病理，也不代表每位患者的记忆都完好。一次性情绪反应、孤立的人格评价或单项行为，均不足以诊断。[8]</w:t>
      </w:r>
    </w:p>
    <w:p>
      <w:pPr>
        <w:pStyle w:val="Heading2"/>
      </w:pPr>
      <w:r>
        <w:rPr>
          <w:rFonts w:ascii="Calibri" w:hAnsi="Calibri" w:eastAsia="微软雅黑"/>
          <w:b/>
          <w:color w:val="000000"/>
          <w:sz w:val="25"/>
        </w:rPr>
        <w:t>5 肌萎缩侧索硬化 ALS</w:t>
      </w:r>
    </w:p>
    <w:p>
      <w:r>
        <w:rPr>
          <w:rFonts w:ascii="Calibri" w:hAnsi="Calibri" w:eastAsia="宋体"/>
          <w:b/>
          <w:color w:val="000000"/>
          <w:sz w:val="23"/>
        </w:rPr>
        <w:t>主要问题是持续进展的运动功能障碍。</w:t>
      </w:r>
      <w:r>
        <w:rPr>
          <w:rFonts w:ascii="Calibri" w:hAnsi="Calibri" w:eastAsia="宋体"/>
          <w:b w:val="0"/>
          <w:color w:val="000000"/>
          <w:sz w:val="23"/>
        </w:rPr>
        <w:t xml:space="preserve"> 可表现为手部操作越来越困难、足部无力、肌肉萎缩，或说话吞咽逐渐受影响。医生寻找运动神经元损害的模式，同时排查其他病因。[9,10]</w:t>
      </w:r>
    </w:p>
    <w:p>
      <w:r>
        <w:rPr>
          <w:rFonts w:ascii="Calibri" w:hAnsi="Calibri" w:eastAsia="宋体"/>
          <w:b w:val="0"/>
          <w:color w:val="000000"/>
          <w:sz w:val="23"/>
        </w:rPr>
        <w:t>可以用“指挥线路”理解两个概念：上运动神经元参与来自大脑的运动控制，下运动神经元把信号传向肌肉。上运动神经元受损可表现为反射亢进、病理反射和痉挛性肌张力增高；下运动神经元受损可表现为无力和萎缩，或者相应肌电图改变。这是帮助理解的简化比喻，正式判定要依靠神经查体和电生理定义。[10]</w:t>
      </w:r>
    </w:p>
    <w:p>
      <w:r>
        <w:rPr>
          <w:rFonts w:ascii="Calibri" w:hAnsi="Calibri" w:eastAsia="宋体"/>
          <w:b w:val="0"/>
          <w:color w:val="000000"/>
          <w:sz w:val="23"/>
        </w:rPr>
        <w:t>Gold Coast标准的三个条件需同时满足：此前运动功能正常，随后发生进行性运动障碍；至少一个身体区域同时存在上、下运动神经元损害，或者至少两个身体区域存在下运动神经元损害；检查排除其他疾病过程。身体区域分为延髓、颈段、胸段和腰骶段，不能把两块相邻肌肉简单当作两个区域。[9,10]</w:t>
      </w:r>
    </w:p>
    <w:p>
      <w:r>
        <w:rPr>
          <w:rFonts w:ascii="Calibri" w:hAnsi="Calibri" w:eastAsia="宋体"/>
          <w:b w:val="0"/>
          <w:color w:val="000000"/>
          <w:sz w:val="23"/>
        </w:rPr>
        <w:t>肌电图可发现查体尚不明显的下运动神经元损害，但不是100%敏感，还受检查技术、取样和受累部位影响。部分以上运动神经元或延髓表现为主的病例，过度依赖肌电图可能延误诊断。肌肉跳动本身也不等于ALS。这里需要把进展、体征分布、电生理和其他病因排查放在一起。[9,10]</w:t>
      </w:r>
    </w:p>
    <w:p>
      <w:pPr>
        <w:pStyle w:val="Heading2"/>
      </w:pPr>
      <w:r>
        <w:rPr>
          <w:rFonts w:ascii="Calibri" w:hAnsi="Calibri" w:eastAsia="微软雅黑"/>
          <w:b/>
          <w:color w:val="000000"/>
          <w:sz w:val="25"/>
        </w:rPr>
        <w:t>6 多系统萎缩 MSA</w:t>
      </w:r>
    </w:p>
    <w:p>
      <w:r>
        <w:rPr>
          <w:rFonts w:ascii="Calibri" w:hAnsi="Calibri" w:eastAsia="宋体"/>
          <w:b/>
          <w:color w:val="000000"/>
          <w:sz w:val="23"/>
        </w:rPr>
        <w:t>常见方向是多套功能共同受累。</w:t>
      </w:r>
      <w:r>
        <w:rPr>
          <w:rFonts w:ascii="Calibri" w:hAnsi="Calibri" w:eastAsia="宋体"/>
          <w:b w:val="0"/>
          <w:color w:val="000000"/>
          <w:sz w:val="23"/>
        </w:rPr>
        <w:t xml:space="preserve"> 自主神经障碍可表现为排尿问题或神经源性体位性低血压；运动方面可出现帕金森表现，或走路、肢体协调和言语的小脑性异常。孤立的头晕、便秘或尿频，不能直接诊断MSA。[11]</w:t>
      </w:r>
    </w:p>
    <w:p>
      <w:r>
        <w:rPr>
          <w:rFonts w:ascii="Calibri" w:hAnsi="Calibri" w:eastAsia="宋体"/>
          <w:b w:val="0"/>
          <w:color w:val="000000"/>
          <w:sz w:val="23"/>
        </w:rPr>
        <w:t>2022年MDS标准要求散发、进行性、成人起病，且满足相应排除条件。“临床确立MSA”的核心要求是自主神经障碍，加对左旋多巴反应差的帕金森综合征或规定的小脑综合征；还需至少两项支持特征和至少一个规定的MRI标志。[11]</w:t>
      </w:r>
    </w:p>
    <w:p>
      <w:r>
        <w:rPr>
          <w:rFonts w:ascii="Calibri" w:hAnsi="Calibri" w:eastAsia="宋体"/>
          <w:b w:val="0"/>
          <w:color w:val="000000"/>
          <w:sz w:val="23"/>
        </w:rPr>
        <w:t>“临床很可能MSA”则要求自主神经障碍、帕金森综合征、小脑综合征三类中至少两类，以及至少一项支持特征，MRI不是必需项。因此，不能把“所有很可能MSA必须有自主神经障碍”当作这版标准的规则。具体的血压、残余尿和小脑体征阈值，需要按原表执行。[11]</w:t>
      </w:r>
    </w:p>
    <w:p>
      <w:r>
        <w:rPr>
          <w:rFonts w:ascii="Calibri" w:hAnsi="Calibri" w:eastAsia="宋体"/>
          <w:b w:val="0"/>
          <w:color w:val="000000"/>
          <w:sz w:val="23"/>
        </w:rPr>
        <w:t>MRI的“十字征”等具有支持价值，却不是MSA独有的标签。排除药物、泌尿系统疾病或其他原因所致的类似表现同样重要。[11]</w:t>
      </w:r>
    </w:p>
    <w:p>
      <w:pPr>
        <w:pStyle w:val="Heading2"/>
      </w:pPr>
      <w:r>
        <w:rPr>
          <w:rFonts w:ascii="Calibri" w:hAnsi="Calibri" w:eastAsia="微软雅黑"/>
          <w:b/>
          <w:color w:val="000000"/>
          <w:sz w:val="25"/>
        </w:rPr>
        <w:t>7 进行性核上性麻痹 PSP</w:t>
      </w:r>
    </w:p>
    <w:p>
      <w:r>
        <w:rPr>
          <w:rFonts w:ascii="Calibri" w:hAnsi="Calibri" w:eastAsia="宋体"/>
          <w:b/>
          <w:color w:val="000000"/>
          <w:sz w:val="23"/>
        </w:rPr>
        <w:t>经典线索是眼球运动异常与早期平衡问题。</w:t>
      </w:r>
      <w:r>
        <w:rPr>
          <w:rFonts w:ascii="Calibri" w:hAnsi="Calibri" w:eastAsia="宋体"/>
          <w:b w:val="0"/>
          <w:color w:val="000000"/>
          <w:sz w:val="23"/>
        </w:rPr>
        <w:t xml:space="preserve"> 例如反复无明显外因的跌倒，加垂直注视障碍或垂直扫视变慢。2017年MDS标准按眼球运动、姿势稳定、运动不能和认知四个领域组织证据，允许不同临床类型。[12]</w:t>
      </w:r>
    </w:p>
    <w:p>
      <w:r>
        <w:rPr>
          <w:rFonts w:ascii="Calibri" w:hAnsi="Calibri" w:eastAsia="宋体"/>
          <w:b w:val="0"/>
          <w:color w:val="000000"/>
          <w:sz w:val="23"/>
        </w:rPr>
        <w:t>经典Richardson型的很可能PSP组合为：垂直核上性注视麻痹或垂直扫视减慢，加起病三年内反复无诱因跌倒或拉拽试验提示的相应跌倒倾向，并满足基本条件与排除要求。也有患者先突出步态冻结、语言或额叶行为问题，早期并不具备完整经典表现。[12]</w:t>
      </w:r>
    </w:p>
    <w:p>
      <w:r>
        <w:rPr>
          <w:rFonts w:ascii="Calibri" w:hAnsi="Calibri" w:eastAsia="宋体"/>
          <w:b w:val="0"/>
          <w:color w:val="000000"/>
          <w:sz w:val="23"/>
        </w:rPr>
        <w:t>MRI中脑萎缩或相关代谢改变可以支持判断，但不能凭“蜂鸟征”等影像描述独立确诊。确定PSP的标准仍是神经病理诊断；生前使用不同把握度的临床类别，有助于兼顾早期识别和诊断特异性。[12]</w:t>
      </w:r>
    </w:p>
    <w:p>
      <w:pPr>
        <w:pStyle w:val="Heading2"/>
      </w:pPr>
      <w:r>
        <w:rPr>
          <w:rFonts w:ascii="Calibri" w:hAnsi="Calibri" w:eastAsia="微软雅黑"/>
          <w:b/>
          <w:color w:val="000000"/>
          <w:sz w:val="25"/>
        </w:rPr>
        <w:t>8 亨廷顿病 HD</w:t>
      </w:r>
    </w:p>
    <w:p>
      <w:r>
        <w:rPr>
          <w:rFonts w:ascii="Calibri" w:hAnsi="Calibri" w:eastAsia="宋体"/>
          <w:b/>
          <w:color w:val="000000"/>
          <w:sz w:val="23"/>
        </w:rPr>
        <w:t>常见线索包括进行性运动异常、认知或精神行为变化。</w:t>
      </w:r>
      <w:r>
        <w:rPr>
          <w:rFonts w:ascii="Calibri" w:hAnsi="Calibri" w:eastAsia="宋体"/>
          <w:b w:val="0"/>
          <w:color w:val="000000"/>
          <w:sz w:val="23"/>
        </w:rPr>
        <w:t xml:space="preserve"> 舞蹈样动作是重要表现之一，可理解为不由自主、不断变化的动作。家族中多代出现相似疾病会增加怀疑，但没有已知家族史也不能排除。[13]</w:t>
      </w:r>
    </w:p>
    <w:p>
      <w:r>
        <w:rPr>
          <w:rFonts w:ascii="Calibri" w:hAnsi="Calibri" w:eastAsia="宋体"/>
          <w:b w:val="0"/>
          <w:color w:val="000000"/>
          <w:sz w:val="23"/>
        </w:rPr>
        <w:t>在相符的临床表现下，发现HTT基因的CAG重复扩增，可建立明确的分子诊断。GeneReviews将重复数分为：26次及以下为正常范围；27至35次为中间范围，通常不发生典型HD，但涉及向后代传递时的扩增风险；36至39次为降低外显率的致病范围，可能终生不出现临床表现；40次及以上为完全外显率范围，按正常寿命考虑，出现HD的确定性明显增加。[13]</w:t>
      </w:r>
    </w:p>
    <w:p>
      <w:r>
        <w:rPr>
          <w:rFonts w:ascii="Calibri" w:hAnsi="Calibri" w:eastAsia="宋体"/>
          <w:b w:val="0"/>
          <w:color w:val="000000"/>
          <w:sz w:val="23"/>
        </w:rPr>
        <w:t>重复数不是精确的个人“发病倒计时”。检测方法、重复序列结构和临床表现也会影响边界结果解释。已有症状者的诊断检测，与无症状高风险成年人的预测性检测，目的不同；后者应配合遗传咨询、知情决定和心理支持。检测发现扩增与“已经出现临床HD”要分别表达。[13]</w:t>
      </w:r>
    </w:p>
    <w:p>
      <w:pPr>
        <w:pStyle w:val="Heading1"/>
      </w:pPr>
      <w:r>
        <w:rPr>
          <w:rFonts w:ascii="Calibri" w:hAnsi="Calibri" w:eastAsia="微软雅黑"/>
          <w:b/>
          <w:color w:val="000000"/>
          <w:sz w:val="32"/>
        </w:rPr>
        <w:t>六 用四个病例练习诊断思路</w:t>
      </w:r>
    </w:p>
    <w:p>
      <w:r>
        <w:rPr>
          <w:rFonts w:ascii="Calibri" w:hAnsi="Calibri" w:eastAsia="宋体"/>
          <w:b w:val="0"/>
          <w:color w:val="000000"/>
          <w:sz w:val="23"/>
        </w:rPr>
        <w:t>以下均为虚构的教学例子，只展示如何组织证据，不构成个体诊断，也不能替代完整标准。</w:t>
      </w:r>
    </w:p>
    <w:p>
      <w:pPr>
        <w:pStyle w:val="Heading2"/>
      </w:pPr>
      <w:r>
        <w:rPr>
          <w:rFonts w:ascii="Calibri" w:hAnsi="Calibri" w:eastAsia="微软雅黑"/>
          <w:b/>
          <w:color w:val="000000"/>
          <w:sz w:val="25"/>
        </w:rPr>
        <w:t>病例一 记忆下降但仍能独立生活</w:t>
      </w:r>
    </w:p>
    <w:p>
      <w:r>
        <w:rPr>
          <w:rFonts w:ascii="Calibri" w:hAnsi="Calibri" w:eastAsia="宋体"/>
          <w:b w:val="0"/>
          <w:color w:val="000000"/>
          <w:sz w:val="23"/>
        </w:rPr>
        <w:t>一位老人两年内逐渐忘记近期事情，家属观察到重复提问，但仍能独立做饭、购物和管理用药。医生先核实客观认知表现和独立生活情况：如果确实存在客观下降而整体独立性保留，可能属于MCI，而不必直接称痴呆。随后检查情绪、睡眠、药物、实验室指标和MRI，再判断AD或其他病因的可能性。[3–5]</w:t>
      </w:r>
    </w:p>
    <w:p>
      <w:r>
        <w:rPr>
          <w:rFonts w:ascii="Calibri" w:hAnsi="Calibri" w:eastAsia="宋体"/>
          <w:b w:val="0"/>
          <w:color w:val="000000"/>
          <w:sz w:val="23"/>
        </w:rPr>
        <w:t>如果适用且经过验证的AD标志物阳性，结论可同时说明“存在AD病理证据”和“当前临床表现为MCI”。检测并没有把其功能状态自动改成痴呆，也不能直接预测何时会失去独立性。[1,2]</w:t>
      </w:r>
    </w:p>
    <w:p>
      <w:pPr>
        <w:pStyle w:val="Heading2"/>
      </w:pPr>
      <w:r>
        <w:rPr>
          <w:rFonts w:ascii="Calibri" w:hAnsi="Calibri" w:eastAsia="微软雅黑"/>
          <w:b/>
          <w:color w:val="000000"/>
          <w:sz w:val="25"/>
        </w:rPr>
        <w:t>病例二 手抖但没有明确运动迟缓</w:t>
      </w:r>
    </w:p>
    <w:p>
      <w:r>
        <w:rPr>
          <w:rFonts w:ascii="Calibri" w:hAnsi="Calibri" w:eastAsia="宋体"/>
          <w:b w:val="0"/>
          <w:color w:val="000000"/>
          <w:sz w:val="23"/>
        </w:rPr>
        <w:t>一位中年人在拿杯子、写字时手抖，但检查尚未发现符合定义的运动迟缓和肌强直。诊断起点是辨别震颤类型及其他原因。因为没有跨过MDS标准的帕金森综合征前提，不能只凭手抖就诊断PD。是否需要进一步检查或随访，应根据整个临床情况决定。[6]</w:t>
      </w:r>
    </w:p>
    <w:p>
      <w:r>
        <w:rPr>
          <w:rFonts w:ascii="Calibri" w:hAnsi="Calibri" w:eastAsia="宋体"/>
          <w:b w:val="0"/>
          <w:color w:val="000000"/>
          <w:sz w:val="23"/>
        </w:rPr>
        <w:t>这个例子提醒我们：非常显眼的症状，不一定是诊断里最关键的条件。</w:t>
      </w:r>
    </w:p>
    <w:p>
      <w:pPr>
        <w:pStyle w:val="Heading2"/>
      </w:pPr>
      <w:r>
        <w:rPr>
          <w:rFonts w:ascii="Calibri" w:hAnsi="Calibri" w:eastAsia="微软雅黑"/>
          <w:b/>
          <w:color w:val="000000"/>
          <w:sz w:val="25"/>
        </w:rPr>
        <w:t>病例三 认知下降加幻觉和梦中动作</w:t>
      </w:r>
    </w:p>
    <w:p>
      <w:r>
        <w:rPr>
          <w:rFonts w:ascii="Calibri" w:hAnsi="Calibri" w:eastAsia="宋体"/>
          <w:b w:val="0"/>
          <w:color w:val="000000"/>
          <w:sz w:val="23"/>
        </w:rPr>
        <w:t>一位老人逐渐需要家属帮助处理账单，注意力明显时好时坏，反复看到清楚的人物，同时伴梦中挥拳。医生会考虑DLB方向，但需核实是否已达痴呆、幻觉性质、认知波动和睡眠表现，并排查药物、谵妄及睡眠呼吸暂停等解释。如果正式确认至少两个核心特征且符合整体条件，可达到2017共识的很可能DLB类别，不必强求所有生物标志物都阳性。[7]</w:t>
      </w:r>
    </w:p>
    <w:p>
      <w:pPr>
        <w:pStyle w:val="Heading2"/>
      </w:pPr>
      <w:r>
        <w:rPr>
          <w:rFonts w:ascii="Calibri" w:hAnsi="Calibri" w:eastAsia="微软雅黑"/>
          <w:b/>
          <w:color w:val="000000"/>
          <w:sz w:val="25"/>
        </w:rPr>
        <w:t>病例四 肌肉跳动与持续无力的意义不同</w:t>
      </w:r>
    </w:p>
    <w:p>
      <w:r>
        <w:rPr>
          <w:rFonts w:ascii="Calibri" w:hAnsi="Calibri" w:eastAsia="宋体"/>
          <w:b w:val="0"/>
          <w:color w:val="000000"/>
          <w:sz w:val="23"/>
        </w:rPr>
        <w:t>单纯偶尔肌肉跳动、没有进行性功能下降，不能据此诊断ALS。若另一位患者的手部力量持续减弱、肌肉萎缩，查体还发现异常反射，医生就需要评估上下运动神经元损害、身体区域分布，以及其他疾病的可能性。肌电图是其中的重要一环，但仍要与病史、查体及病因排查共同解释。[9,10]</w:t>
      </w:r>
    </w:p>
    <w:p>
      <w:r>
        <w:rPr>
          <w:rFonts w:ascii="Calibri" w:hAnsi="Calibri" w:eastAsia="宋体"/>
          <w:b w:val="0"/>
          <w:color w:val="000000"/>
          <w:sz w:val="23"/>
        </w:rPr>
        <w:t>这个例子说明，“出现某种体征”和“满足整个疾病标准”之间，还隔着时间、分布和鉴别诊断三个问题。</w:t>
      </w:r>
    </w:p>
    <w:p>
      <w:pPr>
        <w:pStyle w:val="Heading1"/>
      </w:pPr>
      <w:r>
        <w:rPr>
          <w:rFonts w:ascii="Calibri" w:hAnsi="Calibri" w:eastAsia="微软雅黑"/>
          <w:b/>
          <w:color w:val="000000"/>
          <w:sz w:val="32"/>
        </w:rPr>
        <w:t>七 十四篇文献放在一起说明了什么</w:t>
      </w:r>
    </w:p>
    <w:p>
      <w:pPr>
        <w:pStyle w:val="Heading2"/>
      </w:pPr>
      <w:r>
        <w:rPr>
          <w:rFonts w:ascii="Calibri" w:hAnsi="Calibri" w:eastAsia="微软雅黑"/>
          <w:b/>
          <w:color w:val="000000"/>
          <w:sz w:val="25"/>
        </w:rPr>
        <w:t>1 临床评估始终是连接证据的中心</w:t>
      </w:r>
    </w:p>
    <w:p>
      <w:r>
        <w:rPr>
          <w:rFonts w:ascii="Calibri" w:hAnsi="Calibri" w:eastAsia="宋体"/>
          <w:b w:val="0"/>
          <w:color w:val="000000"/>
          <w:sz w:val="23"/>
        </w:rPr>
        <w:t>DETeCD指南明确采用三个层次的诊断表述：认知功能状态、认知行为综合征、可能病因及共同影响因素。这套思路能帮助读者理解其他疾病，但指南本身针对认知障碍，不能直接照搬为所有运动疾病的检查方案。各病种标准都强调临床条件与证据组合，不支持随意抽取一个症状或化验值来下结论。[3,4,6–12]</w:t>
      </w:r>
    </w:p>
    <w:p>
      <w:pPr>
        <w:pStyle w:val="Heading2"/>
      </w:pPr>
      <w:r>
        <w:rPr>
          <w:rFonts w:ascii="Calibri" w:hAnsi="Calibri" w:eastAsia="微软雅黑"/>
          <w:b/>
          <w:color w:val="000000"/>
          <w:sz w:val="25"/>
        </w:rPr>
        <w:t>2 生物学证据越来越重要 但临床用途并不相同</w:t>
      </w:r>
    </w:p>
    <w:p>
      <w:r>
        <w:rPr>
          <w:rFonts w:ascii="Calibri" w:hAnsi="Calibri" w:eastAsia="宋体"/>
          <w:b w:val="0"/>
          <w:color w:val="000000"/>
          <w:sz w:val="23"/>
        </w:rPr>
        <w:t>AD的2024框架说明怎样定义生物学疾病，2025血液指南则说明在特定诊疗场景下怎样使用合格检测。PD的SynNeurGe提供研究分类方向，其用途限定与前两者不同。它们都关注病理机制，但不能因为发表较新，就认为已经具有相同的临床适用范围。[1,2,14]</w:t>
      </w:r>
    </w:p>
    <w:p>
      <w:pPr>
        <w:pStyle w:val="Heading2"/>
      </w:pPr>
      <w:r>
        <w:rPr>
          <w:rFonts w:ascii="Calibri" w:hAnsi="Calibri" w:eastAsia="微软雅黑"/>
          <w:b/>
          <w:color w:val="000000"/>
          <w:sz w:val="25"/>
        </w:rPr>
        <w:t>3 混合病理是诊断时需要面对的现实</w:t>
      </w:r>
    </w:p>
    <w:p>
      <w:r>
        <w:rPr>
          <w:rFonts w:ascii="Calibri" w:hAnsi="Calibri" w:eastAsia="宋体"/>
          <w:b w:val="0"/>
          <w:color w:val="000000"/>
          <w:sz w:val="23"/>
        </w:rPr>
        <w:t>尤其在认知障碍中，AD病理、路易体病理和血管性损伤可以共同存在。出现AD标志物阳性，不应因此忽略明显的DLB特征或血管病变。诊断目标往往是解释哪些过程正在共同影响患者，而不是强迫每个人只落入一个病名。[1,3,7]</w:t>
      </w:r>
    </w:p>
    <w:p>
      <w:pPr>
        <w:pStyle w:val="Heading2"/>
      </w:pPr>
      <w:r>
        <w:rPr>
          <w:rFonts w:ascii="Calibri" w:hAnsi="Calibri" w:eastAsia="微软雅黑"/>
          <w:b/>
          <w:color w:val="000000"/>
          <w:sz w:val="25"/>
        </w:rPr>
        <w:t>4 标准的设计目标影响它能得出什么结论</w:t>
      </w:r>
    </w:p>
    <w:p>
      <w:r>
        <w:rPr>
          <w:rFonts w:ascii="Calibri" w:hAnsi="Calibri" w:eastAsia="宋体"/>
          <w:b w:val="0"/>
          <w:color w:val="000000"/>
          <w:sz w:val="23"/>
        </w:rPr>
        <w:t>不同资料包括临床实践指南、专家共识、诊断标准提案、标准验证研究、专家综述和研究框架。它们不能按“年份新旧”直接排成证据强弱。2025血液指南使用系统评价和GRADE方法，但具体建议仍为条件性、证据确定性低。bvFTD原始研究重点验证敏感度，其结果不能当作对全部精神疾病及普通门诊人群的完整特异度证明。SynNeurGe作者明确提出需要前瞻性验证。[2,8,14]</w:t>
      </w:r>
    </w:p>
    <w:p>
      <w:r>
        <w:rPr>
          <w:rFonts w:ascii="Calibri" w:hAnsi="Calibri" w:eastAsia="宋体"/>
          <w:b w:val="0"/>
          <w:color w:val="000000"/>
          <w:sz w:val="23"/>
        </w:rPr>
        <w:t>本文属于面向初学者的叙述性综述。参考资料时间跨度为2011至2026年，覆盖八类主要疾病或综合征；未对所有神经退行性疾病作系统检索，也未重新进行诊断准确性的荟萃分析。原标准中的细项、排除条件和操作阈值，仍需回到原文。国际指南中的具体检查配置，还应结合实际人群、检测验证与当地诊疗条件解释。</w:t>
      </w:r>
    </w:p>
    <w:p>
      <w:pPr>
        <w:pStyle w:val="Heading1"/>
      </w:pPr>
      <w:r>
        <w:rPr>
          <w:rFonts w:ascii="Calibri" w:hAnsi="Calibri" w:eastAsia="微软雅黑"/>
          <w:b/>
          <w:color w:val="000000"/>
          <w:sz w:val="32"/>
        </w:rPr>
        <w:t>八 常见误解与实用问题</w:t>
      </w:r>
    </w:p>
    <w:p>
      <w:r>
        <w:rPr>
          <w:rFonts w:ascii="Calibri" w:hAnsi="Calibri" w:eastAsia="宋体"/>
          <w:b/>
          <w:color w:val="000000"/>
          <w:sz w:val="23"/>
        </w:rPr>
        <w:t>忘事就是AD吗？</w:t>
      </w:r>
      <w:r>
        <w:rPr>
          <w:rFonts w:ascii="Calibri" w:hAnsi="Calibri" w:eastAsia="宋体"/>
          <w:b w:val="0"/>
          <w:color w:val="000000"/>
          <w:sz w:val="23"/>
        </w:rPr>
        <w:t xml:space="preserve"> 不是。先确认变化是否持续、是否客观存在、影响什么功能，再寻找病因。AD也是痴呆病因之一，不能把“痴呆”和“AD”当作同义词。[3–5]</w:t>
      </w:r>
    </w:p>
    <w:p>
      <w:r>
        <w:rPr>
          <w:rFonts w:ascii="Calibri" w:hAnsi="Calibri" w:eastAsia="宋体"/>
          <w:b/>
          <w:color w:val="000000"/>
          <w:sz w:val="23"/>
        </w:rPr>
        <w:t>MoCA或MMSE低于某个分数就能确诊吗？</w:t>
      </w:r>
      <w:r>
        <w:rPr>
          <w:rFonts w:ascii="Calibri" w:hAnsi="Calibri" w:eastAsia="宋体"/>
          <w:b w:val="0"/>
          <w:color w:val="000000"/>
          <w:sz w:val="23"/>
        </w:rPr>
        <w:t xml:space="preserve"> 不能。分数帮助发现问题，必须结合适用常模、教育、语言、感觉功能和日常生活。特定领域异常也可能被简短测评遗漏。[3,4]</w:t>
      </w:r>
    </w:p>
    <w:p>
      <w:r>
        <w:rPr>
          <w:rFonts w:ascii="Calibri" w:hAnsi="Calibri" w:eastAsia="宋体"/>
          <w:b/>
          <w:color w:val="000000"/>
          <w:sz w:val="23"/>
        </w:rPr>
        <w:t>MRI写脑萎缩就一定是退行性疾病吗？</w:t>
      </w:r>
      <w:r>
        <w:rPr>
          <w:rFonts w:ascii="Calibri" w:hAnsi="Calibri" w:eastAsia="宋体"/>
          <w:b w:val="0"/>
          <w:color w:val="000000"/>
          <w:sz w:val="23"/>
        </w:rPr>
        <w:t xml:space="preserve"> 不能如此推出。要看程度、分布、年龄、临床变化和其他证据；报告正常也不能在所有情况下排除早期病理。[1,3,4]</w:t>
      </w:r>
    </w:p>
    <w:p>
      <w:r>
        <w:rPr>
          <w:rFonts w:ascii="Calibri" w:hAnsi="Calibri" w:eastAsia="宋体"/>
          <w:b/>
          <w:color w:val="000000"/>
          <w:sz w:val="23"/>
        </w:rPr>
        <w:t>血液p-tau升高等于确诊AD吗？</w:t>
      </w:r>
      <w:r>
        <w:rPr>
          <w:rFonts w:ascii="Calibri" w:hAnsi="Calibri" w:eastAsia="宋体"/>
          <w:b w:val="0"/>
          <w:color w:val="000000"/>
          <w:sz w:val="23"/>
        </w:rPr>
        <w:t xml:space="preserve"> 先问是否为经过验证的具体检测、适用人群是否一致、用途是分流还是确认、有没有影响指标的共同疾病。严重肾脏疾病等情境需要特别谨慎解释。[1,2]</w:t>
      </w:r>
    </w:p>
    <w:p>
      <w:r>
        <w:rPr>
          <w:rFonts w:ascii="Calibri" w:hAnsi="Calibri" w:eastAsia="宋体"/>
          <w:b/>
          <w:color w:val="000000"/>
          <w:sz w:val="23"/>
        </w:rPr>
        <w:t>NfL升高能确定是哪一种疾病吗？</w:t>
      </w:r>
      <w:r>
        <w:rPr>
          <w:rFonts w:ascii="Calibri" w:hAnsi="Calibri" w:eastAsia="宋体"/>
          <w:b w:val="0"/>
          <w:color w:val="000000"/>
          <w:sz w:val="23"/>
        </w:rPr>
        <w:t xml:space="preserve"> 通常不能。它提示神经损伤相关过程，但缺乏对某一种疾病的充分特异性，不能等同于AD、PD或ALS确诊。[1,9,10]</w:t>
      </w:r>
    </w:p>
    <w:p>
      <w:r>
        <w:rPr>
          <w:rFonts w:ascii="Calibri" w:hAnsi="Calibri" w:eastAsia="宋体"/>
          <w:b/>
          <w:color w:val="000000"/>
          <w:sz w:val="23"/>
        </w:rPr>
        <w:t>肌电图正常就能完全排除ALS吗？</w:t>
      </w:r>
      <w:r>
        <w:rPr>
          <w:rFonts w:ascii="Calibri" w:hAnsi="Calibri" w:eastAsia="宋体"/>
          <w:b w:val="0"/>
          <w:color w:val="000000"/>
          <w:sz w:val="23"/>
        </w:rPr>
        <w:t xml:space="preserve"> 不能一概而论。要考虑临床表现、病程、受累部位和检查质量，尤其注意延髓或上运动神经元表现突出的病例。[10]</w:t>
      </w:r>
    </w:p>
    <w:p>
      <w:r>
        <w:rPr>
          <w:rFonts w:ascii="Calibri" w:hAnsi="Calibri" w:eastAsia="宋体"/>
          <w:b/>
          <w:color w:val="000000"/>
          <w:sz w:val="23"/>
        </w:rPr>
        <w:t>有APOE ε4就一定得AD吗？</w:t>
      </w:r>
      <w:r>
        <w:rPr>
          <w:rFonts w:ascii="Calibri" w:hAnsi="Calibri" w:eastAsia="宋体"/>
          <w:b w:val="0"/>
          <w:color w:val="000000"/>
          <w:sz w:val="23"/>
        </w:rPr>
        <w:t xml:space="preserve"> 不一定。2011标准将已知致病的APP、PSEN1或PSEN2变异与APOE ε4区分；后者不是同等意义的确定病因证据。[5]</w:t>
      </w:r>
    </w:p>
    <w:p>
      <w:r>
        <w:rPr>
          <w:rFonts w:ascii="Calibri" w:hAnsi="Calibri" w:eastAsia="宋体"/>
          <w:b/>
          <w:color w:val="000000"/>
          <w:sz w:val="23"/>
        </w:rPr>
        <w:t>第一次没有定下病名 下一步有什么价值？</w:t>
      </w:r>
      <w:r>
        <w:rPr>
          <w:rFonts w:ascii="Calibri" w:hAnsi="Calibri" w:eastAsia="宋体"/>
          <w:b w:val="0"/>
          <w:color w:val="000000"/>
          <w:sz w:val="23"/>
        </w:rPr>
        <w:t xml:space="preserve"> 明确当前综合征、记录功能基线、处理共同影响因素，并根据症状和新证据安排复评，都能提高后续判断的质量。[3,4,6,8,10–12]</w:t>
      </w:r>
    </w:p>
    <w:p>
      <w:r>
        <w:rPr>
          <w:rFonts w:ascii="Calibri" w:hAnsi="Calibri" w:eastAsia="宋体"/>
          <w:b/>
          <w:color w:val="000000"/>
          <w:sz w:val="23"/>
        </w:rPr>
        <w:t>就诊前准备什么最有用？</w:t>
      </w:r>
      <w:r>
        <w:rPr>
          <w:rFonts w:ascii="Calibri" w:hAnsi="Calibri" w:eastAsia="宋体"/>
          <w:b w:val="0"/>
          <w:color w:val="000000"/>
          <w:sz w:val="23"/>
        </w:rPr>
        <w:t xml:space="preserve"> 整理症状起始时间、实际生活变化、用药清单、既往检查原件和相关家族史，尽可能由熟悉变化的人陪同。比只写“记性差”“手抖”“无力”，这些资料更能帮助医生判断。[3,4,6,13]</w:t>
      </w:r>
    </w:p>
    <w:p>
      <w:pPr>
        <w:pStyle w:val="Heading1"/>
      </w:pPr>
      <w:r>
        <w:rPr>
          <w:rFonts w:ascii="Calibri" w:hAnsi="Calibri" w:eastAsia="微软雅黑"/>
          <w:b/>
          <w:color w:val="000000"/>
          <w:sz w:val="32"/>
        </w:rPr>
        <w:t>九 初学者术语表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268"/>
        <w:gridCol w:w="7257"/>
      </w:tblGrid>
      <w:tr>
        <w:trPr>
          <w:cantSplit/>
          <w:tblHeader/>
        </w:trPr>
        <w:tc>
          <w:tcPr>
            <w:tcW w:type="dxa" w:w="2268"/>
            <w:vAlign w:val="center"/>
            <w:shd w:fill="334E68"/>
          </w:tcPr>
          <w:p>
            <w:pPr>
              <w:keepNext/>
              <w:widowControl/>
              <w:spacing w:line="276" w:lineRule="auto" w:after="0" w:before="0"/>
            </w:pPr>
            <w:r>
              <w:rPr>
                <w:rFonts w:ascii="Calibri" w:hAnsi="Calibri" w:eastAsia="微软雅黑"/>
                <w:b/>
                <w:color w:val="FFFFFF"/>
                <w:sz w:val="19"/>
              </w:rPr>
              <w:t>术语</w:t>
            </w:r>
          </w:p>
        </w:tc>
        <w:tc>
          <w:tcPr>
            <w:tcW w:type="dxa" w:w="7257"/>
            <w:vAlign w:val="center"/>
            <w:shd w:fill="334E68"/>
          </w:tcPr>
          <w:p>
            <w:pPr>
              <w:keepNext/>
              <w:widowControl/>
              <w:spacing w:line="276" w:lineRule="auto" w:after="0" w:before="0"/>
            </w:pPr>
            <w:r>
              <w:rPr>
                <w:rFonts w:ascii="Calibri" w:hAnsi="Calibri" w:eastAsia="微软雅黑"/>
                <w:b/>
                <w:color w:val="FFFFFF"/>
                <w:sz w:val="19"/>
              </w:rPr>
              <w:t>白话解释</w:t>
            </w:r>
          </w:p>
        </w:tc>
      </w:tr>
      <w:tr>
        <w:trPr>
          <w:cantSplit/>
        </w:trPr>
        <w:tc>
          <w:tcPr>
            <w:tcW w:type="dxa" w:w="2268"/>
            <w:vAlign w:val="center"/>
          </w:tcPr>
          <w:p>
            <w:pPr>
              <w:keepNext w:val="0"/>
              <w:widowControl/>
              <w:spacing w:line="276" w:lineRule="auto" w:after="0" w:before="0"/>
            </w:pPr>
            <w:r>
              <w:rPr>
                <w:rFonts w:ascii="Calibri" w:hAnsi="Calibri" w:eastAsia="宋体"/>
                <w:b w:val="0"/>
                <w:color w:val="000000"/>
                <w:sz w:val="19"/>
              </w:rPr>
              <w:t>认知</w:t>
            </w:r>
          </w:p>
        </w:tc>
        <w:tc>
          <w:tcPr>
            <w:tcW w:type="dxa" w:w="7257"/>
            <w:vAlign w:val="center"/>
          </w:tcPr>
          <w:p>
            <w:pPr>
              <w:keepNext w:val="0"/>
              <w:widowControl/>
              <w:spacing w:line="276" w:lineRule="auto" w:after="0" w:before="0"/>
            </w:pPr>
            <w:r>
              <w:rPr>
                <w:rFonts w:ascii="Calibri" w:hAnsi="Calibri" w:eastAsia="宋体"/>
                <w:b w:val="0"/>
                <w:color w:val="000000"/>
                <w:sz w:val="19"/>
              </w:rPr>
              <w:t>记忆、注意、语言、计划、判断和空间理解等能力</w:t>
            </w:r>
          </w:p>
        </w:tc>
      </w:tr>
      <w:tr>
        <w:trPr>
          <w:cantSplit/>
        </w:trPr>
        <w:tc>
          <w:tcPr>
            <w:tcW w:type="dxa" w:w="2268"/>
            <w:vAlign w:val="center"/>
            <w:shd w:fill="F6F8FA"/>
          </w:tcPr>
          <w:p>
            <w:pPr>
              <w:keepNext w:val="0"/>
              <w:widowControl/>
              <w:spacing w:line="276" w:lineRule="auto" w:after="0" w:before="0"/>
            </w:pPr>
            <w:r>
              <w:rPr>
                <w:rFonts w:ascii="Calibri" w:hAnsi="Calibri" w:eastAsia="宋体"/>
                <w:b w:val="0"/>
                <w:color w:val="000000"/>
                <w:sz w:val="19"/>
              </w:rPr>
              <w:t>执行功能</w:t>
            </w:r>
          </w:p>
        </w:tc>
        <w:tc>
          <w:tcPr>
            <w:tcW w:type="dxa" w:w="7257"/>
            <w:vAlign w:val="center"/>
            <w:shd w:fill="F6F8FA"/>
          </w:tcPr>
          <w:p>
            <w:pPr>
              <w:keepNext w:val="0"/>
              <w:widowControl/>
              <w:spacing w:line="276" w:lineRule="auto" w:after="0" w:before="0"/>
            </w:pPr>
            <w:r>
              <w:rPr>
                <w:rFonts w:ascii="Calibri" w:hAnsi="Calibri" w:eastAsia="宋体"/>
                <w:b w:val="0"/>
                <w:color w:val="000000"/>
                <w:sz w:val="19"/>
              </w:rPr>
              <w:t>计划、切换任务、抑制冲动、解决问题的能力</w:t>
            </w:r>
          </w:p>
        </w:tc>
      </w:tr>
      <w:tr>
        <w:trPr>
          <w:cantSplit/>
        </w:trPr>
        <w:tc>
          <w:tcPr>
            <w:tcW w:type="dxa" w:w="2268"/>
            <w:vAlign w:val="center"/>
          </w:tcPr>
          <w:p>
            <w:pPr>
              <w:keepNext w:val="0"/>
              <w:widowControl/>
              <w:spacing w:line="276" w:lineRule="auto" w:after="0" w:before="0"/>
            </w:pPr>
            <w:r>
              <w:rPr>
                <w:rFonts w:ascii="Calibri" w:hAnsi="Calibri" w:eastAsia="宋体"/>
                <w:b w:val="0"/>
                <w:color w:val="000000"/>
                <w:sz w:val="19"/>
              </w:rPr>
              <w:t>体征</w:t>
            </w:r>
          </w:p>
        </w:tc>
        <w:tc>
          <w:tcPr>
            <w:tcW w:type="dxa" w:w="7257"/>
            <w:vAlign w:val="center"/>
          </w:tcPr>
          <w:p>
            <w:pPr>
              <w:keepNext w:val="0"/>
              <w:widowControl/>
              <w:spacing w:line="276" w:lineRule="auto" w:after="0" w:before="0"/>
            </w:pPr>
            <w:r>
              <w:rPr>
                <w:rFonts w:ascii="Calibri" w:hAnsi="Calibri" w:eastAsia="宋体"/>
                <w:b w:val="0"/>
                <w:color w:val="000000"/>
                <w:sz w:val="19"/>
              </w:rPr>
              <w:t>医生检查时观察到的异常，与患者主观感受的症状相对应</w:t>
            </w:r>
          </w:p>
        </w:tc>
      </w:tr>
      <w:tr>
        <w:trPr>
          <w:cantSplit/>
        </w:trPr>
        <w:tc>
          <w:tcPr>
            <w:tcW w:type="dxa" w:w="2268"/>
            <w:vAlign w:val="center"/>
            <w:shd w:fill="F6F8FA"/>
          </w:tcPr>
          <w:p>
            <w:pPr>
              <w:keepNext w:val="0"/>
              <w:widowControl/>
              <w:spacing w:line="276" w:lineRule="auto" w:after="0" w:before="0"/>
            </w:pPr>
            <w:r>
              <w:rPr>
                <w:rFonts w:ascii="Calibri" w:hAnsi="Calibri" w:eastAsia="宋体"/>
                <w:b w:val="0"/>
                <w:color w:val="000000"/>
                <w:sz w:val="19"/>
              </w:rPr>
              <w:t>鉴别诊断</w:t>
            </w:r>
          </w:p>
        </w:tc>
        <w:tc>
          <w:tcPr>
            <w:tcW w:type="dxa" w:w="7257"/>
            <w:vAlign w:val="center"/>
            <w:shd w:fill="F6F8FA"/>
          </w:tcPr>
          <w:p>
            <w:pPr>
              <w:keepNext w:val="0"/>
              <w:widowControl/>
              <w:spacing w:line="276" w:lineRule="auto" w:after="0" w:before="0"/>
            </w:pPr>
            <w:r>
              <w:rPr>
                <w:rFonts w:ascii="Calibri" w:hAnsi="Calibri" w:eastAsia="宋体"/>
                <w:b w:val="0"/>
                <w:color w:val="000000"/>
                <w:sz w:val="19"/>
              </w:rPr>
              <w:t>比较能造成相似表现的不同疾病和原因</w:t>
            </w:r>
          </w:p>
        </w:tc>
      </w:tr>
      <w:tr>
        <w:trPr>
          <w:cantSplit/>
        </w:trPr>
        <w:tc>
          <w:tcPr>
            <w:tcW w:type="dxa" w:w="2268"/>
            <w:vAlign w:val="center"/>
          </w:tcPr>
          <w:p>
            <w:pPr>
              <w:keepNext w:val="0"/>
              <w:widowControl/>
              <w:spacing w:line="276" w:lineRule="auto" w:after="0" w:before="0"/>
            </w:pPr>
            <w:r>
              <w:rPr>
                <w:rFonts w:ascii="Calibri" w:hAnsi="Calibri" w:eastAsia="宋体"/>
                <w:b w:val="0"/>
                <w:color w:val="000000"/>
                <w:sz w:val="19"/>
              </w:rPr>
              <w:t>生物标志物</w:t>
            </w:r>
          </w:p>
        </w:tc>
        <w:tc>
          <w:tcPr>
            <w:tcW w:type="dxa" w:w="7257"/>
            <w:vAlign w:val="center"/>
          </w:tcPr>
          <w:p>
            <w:pPr>
              <w:keepNext w:val="0"/>
              <w:widowControl/>
              <w:spacing w:line="276" w:lineRule="auto" w:after="0" w:before="0"/>
            </w:pPr>
            <w:r>
              <w:rPr>
                <w:rFonts w:ascii="Calibri" w:hAnsi="Calibri" w:eastAsia="宋体"/>
                <w:b w:val="0"/>
                <w:color w:val="000000"/>
                <w:sz w:val="19"/>
              </w:rPr>
              <w:t>反映某种生物过程的可测量信号；有些特异，有些只反映一般损伤</w:t>
            </w:r>
          </w:p>
        </w:tc>
      </w:tr>
      <w:tr>
        <w:trPr>
          <w:cantSplit/>
        </w:trPr>
        <w:tc>
          <w:tcPr>
            <w:tcW w:type="dxa" w:w="2268"/>
            <w:vAlign w:val="center"/>
            <w:shd w:fill="F6F8FA"/>
          </w:tcPr>
          <w:p>
            <w:pPr>
              <w:keepNext w:val="0"/>
              <w:widowControl/>
              <w:spacing w:line="276" w:lineRule="auto" w:after="0" w:before="0"/>
            </w:pPr>
            <w:r>
              <w:rPr>
                <w:rFonts w:ascii="Calibri" w:hAnsi="Calibri" w:eastAsia="宋体"/>
                <w:b w:val="0"/>
                <w:color w:val="000000"/>
                <w:sz w:val="19"/>
              </w:rPr>
              <w:t>Aβ 淀粉样蛋白</w:t>
            </w:r>
          </w:p>
        </w:tc>
        <w:tc>
          <w:tcPr>
            <w:tcW w:type="dxa" w:w="7257"/>
            <w:vAlign w:val="center"/>
            <w:shd w:fill="F6F8FA"/>
          </w:tcPr>
          <w:p>
            <w:pPr>
              <w:keepNext w:val="0"/>
              <w:widowControl/>
              <w:spacing w:line="276" w:lineRule="auto" w:after="0" w:before="0"/>
            </w:pPr>
            <w:r>
              <w:rPr>
                <w:rFonts w:ascii="Calibri" w:hAnsi="Calibri" w:eastAsia="宋体"/>
                <w:b w:val="0"/>
                <w:color w:val="000000"/>
                <w:sz w:val="19"/>
              </w:rPr>
              <w:t>AD病理中的重要蛋白成分；相关检查反映其异常过程</w:t>
            </w:r>
          </w:p>
        </w:tc>
      </w:tr>
      <w:tr>
        <w:trPr>
          <w:cantSplit/>
        </w:trPr>
        <w:tc>
          <w:tcPr>
            <w:tcW w:type="dxa" w:w="2268"/>
            <w:vAlign w:val="center"/>
          </w:tcPr>
          <w:p>
            <w:pPr>
              <w:keepNext w:val="0"/>
              <w:widowControl/>
              <w:spacing w:line="276" w:lineRule="auto" w:after="0" w:before="0"/>
            </w:pPr>
            <w:r>
              <w:rPr>
                <w:rFonts w:ascii="Calibri" w:hAnsi="Calibri" w:eastAsia="宋体"/>
                <w:b w:val="0"/>
                <w:color w:val="000000"/>
                <w:sz w:val="19"/>
              </w:rPr>
              <w:t>tau与p-tau</w:t>
            </w:r>
          </w:p>
        </w:tc>
        <w:tc>
          <w:tcPr>
            <w:tcW w:type="dxa" w:w="7257"/>
            <w:vAlign w:val="center"/>
          </w:tcPr>
          <w:p>
            <w:pPr>
              <w:keepNext w:val="0"/>
              <w:widowControl/>
              <w:spacing w:line="276" w:lineRule="auto" w:after="0" w:before="0"/>
            </w:pPr>
            <w:r>
              <w:rPr>
                <w:rFonts w:ascii="Calibri" w:hAnsi="Calibri" w:eastAsia="宋体"/>
                <w:b w:val="0"/>
                <w:color w:val="000000"/>
                <w:sz w:val="19"/>
              </w:rPr>
              <w:t>tau是一类蛋白；p-tau指磷酸化tau，不同形式和检测用途不同</w:t>
            </w:r>
          </w:p>
        </w:tc>
      </w:tr>
      <w:tr>
        <w:trPr>
          <w:cantSplit/>
        </w:trPr>
        <w:tc>
          <w:tcPr>
            <w:tcW w:type="dxa" w:w="2268"/>
            <w:vAlign w:val="center"/>
            <w:shd w:fill="F6F8FA"/>
          </w:tcPr>
          <w:p>
            <w:pPr>
              <w:keepNext w:val="0"/>
              <w:widowControl/>
              <w:spacing w:line="276" w:lineRule="auto" w:after="0" w:before="0"/>
            </w:pPr>
            <w:r>
              <w:rPr>
                <w:rFonts w:ascii="Calibri" w:hAnsi="Calibri" w:eastAsia="宋体"/>
                <w:b w:val="0"/>
                <w:color w:val="000000"/>
                <w:sz w:val="19"/>
              </w:rPr>
              <w:t>α突触核蛋白</w:t>
            </w:r>
          </w:p>
        </w:tc>
        <w:tc>
          <w:tcPr>
            <w:tcW w:type="dxa" w:w="7257"/>
            <w:vAlign w:val="center"/>
            <w:shd w:fill="F6F8FA"/>
          </w:tcPr>
          <w:p>
            <w:pPr>
              <w:keepNext w:val="0"/>
              <w:widowControl/>
              <w:spacing w:line="276" w:lineRule="auto" w:after="0" w:before="0"/>
            </w:pPr>
            <w:r>
              <w:rPr>
                <w:rFonts w:ascii="Calibri" w:hAnsi="Calibri" w:eastAsia="宋体"/>
                <w:b w:val="0"/>
                <w:color w:val="000000"/>
                <w:sz w:val="19"/>
              </w:rPr>
              <w:t>与PD、DLB和MSA等相关的蛋白；不同疾病的病理形态和位置可不同</w:t>
            </w:r>
          </w:p>
        </w:tc>
      </w:tr>
      <w:tr>
        <w:trPr>
          <w:cantSplit/>
        </w:trPr>
        <w:tc>
          <w:tcPr>
            <w:tcW w:type="dxa" w:w="2268"/>
            <w:vAlign w:val="center"/>
          </w:tcPr>
          <w:p>
            <w:pPr>
              <w:keepNext w:val="0"/>
              <w:widowControl/>
              <w:spacing w:line="276" w:lineRule="auto" w:after="0" w:before="0"/>
            </w:pPr>
            <w:r>
              <w:rPr>
                <w:rFonts w:ascii="Calibri" w:hAnsi="Calibri" w:eastAsia="宋体"/>
                <w:b w:val="0"/>
                <w:color w:val="000000"/>
                <w:sz w:val="19"/>
              </w:rPr>
              <w:t>自主神经</w:t>
            </w:r>
          </w:p>
        </w:tc>
        <w:tc>
          <w:tcPr>
            <w:tcW w:type="dxa" w:w="7257"/>
            <w:vAlign w:val="center"/>
          </w:tcPr>
          <w:p>
            <w:pPr>
              <w:keepNext w:val="0"/>
              <w:widowControl/>
              <w:spacing w:line="276" w:lineRule="auto" w:after="0" w:before="0"/>
            </w:pPr>
            <w:r>
              <w:rPr>
                <w:rFonts w:ascii="Calibri" w:hAnsi="Calibri" w:eastAsia="宋体"/>
                <w:b w:val="0"/>
                <w:color w:val="000000"/>
                <w:sz w:val="19"/>
              </w:rPr>
              <w:t>帮助调节血压、排尿等通常无需主动控制的功能</w:t>
            </w:r>
          </w:p>
        </w:tc>
      </w:tr>
      <w:tr>
        <w:trPr>
          <w:cantSplit/>
        </w:trPr>
        <w:tc>
          <w:tcPr>
            <w:tcW w:type="dxa" w:w="2268"/>
            <w:vAlign w:val="center"/>
            <w:shd w:fill="F6F8FA"/>
          </w:tcPr>
          <w:p>
            <w:pPr>
              <w:keepNext w:val="0"/>
              <w:widowControl/>
              <w:spacing w:line="276" w:lineRule="auto" w:after="0" w:before="0"/>
            </w:pPr>
            <w:r>
              <w:rPr>
                <w:rFonts w:ascii="Calibri" w:hAnsi="Calibri" w:eastAsia="宋体"/>
                <w:b w:val="0"/>
                <w:color w:val="000000"/>
                <w:sz w:val="19"/>
              </w:rPr>
              <w:t>REM睡眠</w:t>
            </w:r>
          </w:p>
        </w:tc>
        <w:tc>
          <w:tcPr>
            <w:tcW w:type="dxa" w:w="7257"/>
            <w:vAlign w:val="center"/>
            <w:shd w:fill="F6F8FA"/>
          </w:tcPr>
          <w:p>
            <w:pPr>
              <w:keepNext w:val="0"/>
              <w:widowControl/>
              <w:spacing w:line="276" w:lineRule="auto" w:after="0" w:before="0"/>
            </w:pPr>
            <w:r>
              <w:rPr>
                <w:rFonts w:ascii="Calibri" w:hAnsi="Calibri" w:eastAsia="宋体"/>
                <w:b w:val="0"/>
                <w:color w:val="000000"/>
                <w:sz w:val="19"/>
              </w:rPr>
              <w:t>快速眼动睡眠，一种常伴生动梦境的睡眠阶段</w:t>
            </w:r>
          </w:p>
        </w:tc>
      </w:tr>
      <w:tr>
        <w:trPr>
          <w:cantSplit/>
        </w:trPr>
        <w:tc>
          <w:tcPr>
            <w:tcW w:type="dxa" w:w="2268"/>
            <w:vAlign w:val="center"/>
          </w:tcPr>
          <w:p>
            <w:pPr>
              <w:keepNext w:val="0"/>
              <w:widowControl/>
              <w:spacing w:line="276" w:lineRule="auto" w:after="0" w:before="0"/>
            </w:pPr>
            <w:r>
              <w:rPr>
                <w:rFonts w:ascii="Calibri" w:hAnsi="Calibri" w:eastAsia="宋体"/>
                <w:b w:val="0"/>
                <w:color w:val="000000"/>
                <w:sz w:val="19"/>
              </w:rPr>
              <w:t>MDS</w:t>
            </w:r>
          </w:p>
        </w:tc>
        <w:tc>
          <w:tcPr>
            <w:tcW w:type="dxa" w:w="7257"/>
            <w:vAlign w:val="center"/>
          </w:tcPr>
          <w:p>
            <w:pPr>
              <w:keepNext w:val="0"/>
              <w:widowControl/>
              <w:spacing w:line="276" w:lineRule="auto" w:after="0" w:before="0"/>
            </w:pPr>
            <w:r>
              <w:rPr>
                <w:rFonts w:ascii="Calibri" w:hAnsi="Calibri" w:eastAsia="宋体"/>
                <w:b w:val="0"/>
                <w:color w:val="000000"/>
                <w:sz w:val="19"/>
              </w:rPr>
              <w:t>运动障碍学会，制定本文所述PD MSA PSP临床标准的专业学会</w:t>
            </w:r>
          </w:p>
        </w:tc>
      </w:tr>
      <w:tr>
        <w:trPr>
          <w:cantSplit/>
        </w:trPr>
        <w:tc>
          <w:tcPr>
            <w:tcW w:type="dxa" w:w="2268"/>
            <w:vAlign w:val="center"/>
            <w:shd w:fill="F6F8FA"/>
          </w:tcPr>
          <w:p>
            <w:pPr>
              <w:keepNext w:val="0"/>
              <w:widowControl/>
              <w:spacing w:line="276" w:lineRule="auto" w:after="0" w:before="0"/>
            </w:pPr>
            <w:r>
              <w:rPr>
                <w:rFonts w:ascii="Calibri" w:hAnsi="Calibri" w:eastAsia="宋体"/>
                <w:b w:val="0"/>
                <w:color w:val="000000"/>
                <w:sz w:val="19"/>
              </w:rPr>
              <w:t>共济失调</w:t>
            </w:r>
          </w:p>
        </w:tc>
        <w:tc>
          <w:tcPr>
            <w:tcW w:type="dxa" w:w="7257"/>
            <w:vAlign w:val="center"/>
            <w:shd w:fill="F6F8FA"/>
          </w:tcPr>
          <w:p>
            <w:pPr>
              <w:keepNext w:val="0"/>
              <w:widowControl/>
              <w:spacing w:line="276" w:lineRule="auto" w:after="0" w:before="0"/>
            </w:pPr>
            <w:r>
              <w:rPr>
                <w:rFonts w:ascii="Calibri" w:hAnsi="Calibri" w:eastAsia="宋体"/>
                <w:b w:val="0"/>
                <w:color w:val="000000"/>
                <w:sz w:val="19"/>
              </w:rPr>
              <w:t>动作协调出现问题，可影响走路、肢体动作和言语</w:t>
            </w:r>
          </w:p>
        </w:tc>
      </w:tr>
      <w:tr>
        <w:trPr>
          <w:cantSplit/>
        </w:trPr>
        <w:tc>
          <w:tcPr>
            <w:tcW w:type="dxa" w:w="2268"/>
            <w:vAlign w:val="center"/>
          </w:tcPr>
          <w:p>
            <w:pPr>
              <w:keepNext w:val="0"/>
              <w:widowControl/>
              <w:spacing w:line="276" w:lineRule="auto" w:after="0" w:before="0"/>
            </w:pPr>
            <w:r>
              <w:rPr>
                <w:rFonts w:ascii="Calibri" w:hAnsi="Calibri" w:eastAsia="宋体"/>
                <w:b w:val="0"/>
                <w:color w:val="000000"/>
                <w:sz w:val="19"/>
              </w:rPr>
              <w:t>外显率</w:t>
            </w:r>
          </w:p>
        </w:tc>
        <w:tc>
          <w:tcPr>
            <w:tcW w:type="dxa" w:w="7257"/>
            <w:vAlign w:val="center"/>
          </w:tcPr>
          <w:p>
            <w:pPr>
              <w:keepNext w:val="0"/>
              <w:widowControl/>
              <w:spacing w:line="276" w:lineRule="auto" w:after="0" w:before="0"/>
            </w:pPr>
            <w:r>
              <w:rPr>
                <w:rFonts w:ascii="Calibri" w:hAnsi="Calibri" w:eastAsia="宋体"/>
                <w:b w:val="0"/>
                <w:color w:val="000000"/>
                <w:sz w:val="19"/>
              </w:rPr>
              <w:t>带有某种遗传改变的人，实际出现相应表现的比例</w:t>
            </w:r>
          </w:p>
        </w:tc>
      </w:tr>
    </w:tbl>
    <w:p>
      <w:pPr>
        <w:spacing w:after="40" w:before="0" w:line="240" w:lineRule="auto"/>
      </w:pPr>
      <w:r>
        <w:rPr>
          <w:rFonts w:ascii="Calibri" w:hAnsi="Calibri" w:eastAsia="宋体"/>
          <w:color w:val="000000"/>
          <w:sz w:val="2"/>
        </w:rPr>
      </w:r>
    </w:p>
    <w:p>
      <w:pPr>
        <w:pStyle w:val="Heading1"/>
      </w:pPr>
      <w:r>
        <w:rPr>
          <w:rFonts w:ascii="Calibri" w:hAnsi="Calibri" w:eastAsia="微软雅黑"/>
          <w:b/>
          <w:color w:val="000000"/>
          <w:sz w:val="32"/>
        </w:rPr>
        <w:t>十 十四篇文献怎样读</w:t>
      </w:r>
    </w:p>
    <w:p>
      <w:r>
        <w:rPr>
          <w:rFonts w:ascii="Calibri" w:hAnsi="Calibri" w:eastAsia="宋体"/>
          <w:b w:val="0"/>
          <w:color w:val="000000"/>
          <w:sz w:val="23"/>
        </w:rPr>
        <w:t>建议先读[4]理解评估流程，再用[3]了解专科如何增加证据；接着用[5]理解临床AD痴呆，用[1,2]理解生物学诊断和血检；其余病种按兴趣阅读对应标准。下面的页码是本地PDF的顺序页码，包含可能存在的封面，与期刊印刷页码不一定相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52"/>
        <w:gridCol w:w="4535"/>
        <w:gridCol w:w="4337"/>
      </w:tblGrid>
      <w:tr>
        <w:trPr>
          <w:cantSplit/>
          <w:tblHeader/>
        </w:trPr>
        <w:tc>
          <w:tcPr>
            <w:tcW w:type="dxa" w:w="652"/>
            <w:vAlign w:val="center"/>
            <w:shd w:fill="334E68"/>
          </w:tcPr>
          <w:p>
            <w:pPr>
              <w:keepNext/>
              <w:widowControl/>
              <w:spacing w:line="276" w:lineRule="auto" w:after="0" w:before="0"/>
            </w:pPr>
            <w:r>
              <w:rPr>
                <w:rFonts w:ascii="Calibri" w:hAnsi="Calibri" w:eastAsia="微软雅黑"/>
                <w:b/>
                <w:color w:val="FFFFFF"/>
                <w:sz w:val="19"/>
              </w:rPr>
              <w:t>编号</w:t>
            </w:r>
          </w:p>
        </w:tc>
        <w:tc>
          <w:tcPr>
            <w:tcW w:type="dxa" w:w="4535"/>
            <w:vAlign w:val="center"/>
            <w:shd w:fill="334E68"/>
          </w:tcPr>
          <w:p>
            <w:pPr>
              <w:keepNext/>
              <w:widowControl/>
              <w:spacing w:line="276" w:lineRule="auto" w:after="0" w:before="0"/>
            </w:pPr>
            <w:r>
              <w:rPr>
                <w:rFonts w:ascii="Calibri" w:hAnsi="Calibri" w:eastAsia="微软雅黑"/>
                <w:b/>
                <w:color w:val="FFFFFF"/>
                <w:sz w:val="19"/>
              </w:rPr>
              <w:t>文献性质与核心贡献</w:t>
            </w:r>
          </w:p>
        </w:tc>
        <w:tc>
          <w:tcPr>
            <w:tcW w:type="dxa" w:w="4337"/>
            <w:vAlign w:val="center"/>
            <w:shd w:fill="334E68"/>
          </w:tcPr>
          <w:p>
            <w:pPr>
              <w:keepNext/>
              <w:widowControl/>
              <w:spacing w:line="276" w:lineRule="auto" w:after="0" w:before="0"/>
            </w:pPr>
            <w:r>
              <w:rPr>
                <w:rFonts w:ascii="Calibri" w:hAnsi="Calibri" w:eastAsia="微软雅黑"/>
                <w:b/>
                <w:color w:val="FFFFFF"/>
                <w:sz w:val="19"/>
              </w:rPr>
              <w:t>最值得先看的本地PDF位置</w:t>
            </w:r>
          </w:p>
        </w:tc>
      </w:tr>
      <w:tr>
        <w:trPr>
          <w:cantSplit/>
        </w:trPr>
        <w:tc>
          <w:tcPr>
            <w:tcW w:type="dxa" w:w="652"/>
            <w:vAlign w:val="center"/>
          </w:tcPr>
          <w:p>
            <w:pPr>
              <w:keepNext w:val="0"/>
              <w:widowControl/>
              <w:spacing w:line="276" w:lineRule="auto" w:after="0" w:before="0"/>
            </w:pPr>
            <w:r>
              <w:rPr>
                <w:rFonts w:ascii="Calibri" w:hAnsi="Calibri" w:eastAsia="宋体"/>
                <w:b w:val="0"/>
                <w:color w:val="000000"/>
                <w:sz w:val="19"/>
              </w:rPr>
              <w:t>[1]</w:t>
            </w:r>
          </w:p>
        </w:tc>
        <w:tc>
          <w:tcPr>
            <w:tcW w:type="dxa" w:w="4535"/>
            <w:vAlign w:val="center"/>
          </w:tcPr>
          <w:p>
            <w:pPr>
              <w:keepNext w:val="0"/>
              <w:widowControl/>
              <w:spacing w:line="276" w:lineRule="auto" w:after="0" w:before="0"/>
            </w:pPr>
            <w:r>
              <w:rPr>
                <w:rFonts w:ascii="Calibri" w:hAnsi="Calibri" w:eastAsia="宋体"/>
                <w:b w:val="0"/>
                <w:color w:val="000000"/>
                <w:sz w:val="19"/>
              </w:rPr>
              <w:t>2024 AD诊断分期框架；区分生物学病因与症状，说明核心1和核心2</w:t>
            </w:r>
          </w:p>
        </w:tc>
        <w:tc>
          <w:tcPr>
            <w:tcW w:type="dxa" w:w="4337"/>
            <w:vAlign w:val="center"/>
          </w:tcPr>
          <w:p>
            <w:pPr>
              <w:keepNext w:val="0"/>
              <w:widowControl/>
              <w:spacing w:line="276" w:lineRule="auto" w:after="0" w:before="0"/>
            </w:pPr>
            <w:r>
              <w:rPr>
                <w:rFonts w:ascii="Calibri" w:hAnsi="Calibri" w:eastAsia="宋体"/>
                <w:b w:val="0"/>
                <w:color w:val="000000"/>
                <w:sz w:val="19"/>
              </w:rPr>
              <w:t>第3页原则；第5–6页表2和框2；第15页临床分期</w:t>
            </w:r>
          </w:p>
        </w:tc>
      </w:tr>
      <w:tr>
        <w:trPr>
          <w:cantSplit/>
        </w:trPr>
        <w:tc>
          <w:tcPr>
            <w:tcW w:type="dxa" w:w="652"/>
            <w:vAlign w:val="center"/>
            <w:shd w:fill="F6F8FA"/>
          </w:tcPr>
          <w:p>
            <w:pPr>
              <w:keepNext w:val="0"/>
              <w:widowControl/>
              <w:spacing w:line="276" w:lineRule="auto" w:after="0" w:before="0"/>
            </w:pPr>
            <w:r>
              <w:rPr>
                <w:rFonts w:ascii="Calibri" w:hAnsi="Calibri" w:eastAsia="宋体"/>
                <w:b w:val="0"/>
                <w:color w:val="000000"/>
                <w:sz w:val="19"/>
              </w:rPr>
              <w:t>[2]</w:t>
            </w:r>
          </w:p>
        </w:tc>
        <w:tc>
          <w:tcPr>
            <w:tcW w:type="dxa" w:w="4535"/>
            <w:vAlign w:val="center"/>
            <w:shd w:fill="F6F8FA"/>
          </w:tcPr>
          <w:p>
            <w:pPr>
              <w:keepNext w:val="0"/>
              <w:widowControl/>
              <w:spacing w:line="276" w:lineRule="auto" w:after="0" w:before="0"/>
            </w:pPr>
            <w:r>
              <w:rPr>
                <w:rFonts w:ascii="Calibri" w:hAnsi="Calibri" w:eastAsia="宋体"/>
                <w:b w:val="0"/>
                <w:color w:val="000000"/>
                <w:sz w:val="19"/>
              </w:rPr>
              <w:t>2025 AD血液检测临床指南；明确人群、性能门槛和建议强度</w:t>
            </w:r>
          </w:p>
        </w:tc>
        <w:tc>
          <w:tcPr>
            <w:tcW w:type="dxa" w:w="4337"/>
            <w:vAlign w:val="center"/>
            <w:shd w:fill="F6F8FA"/>
          </w:tcPr>
          <w:p>
            <w:pPr>
              <w:keepNext w:val="0"/>
              <w:widowControl/>
              <w:spacing w:line="276" w:lineRule="auto" w:after="0" w:before="0"/>
            </w:pPr>
            <w:r>
              <w:rPr>
                <w:rFonts w:ascii="Calibri" w:hAnsi="Calibri" w:eastAsia="宋体"/>
                <w:b w:val="0"/>
                <w:color w:val="000000"/>
                <w:sz w:val="19"/>
              </w:rPr>
              <w:t>第7–8页，尤其表2及良好实践声明</w:t>
            </w:r>
          </w:p>
        </w:tc>
      </w:tr>
      <w:tr>
        <w:trPr>
          <w:cantSplit/>
        </w:trPr>
        <w:tc>
          <w:tcPr>
            <w:tcW w:type="dxa" w:w="652"/>
            <w:vAlign w:val="center"/>
          </w:tcPr>
          <w:p>
            <w:pPr>
              <w:keepNext w:val="0"/>
              <w:widowControl/>
              <w:spacing w:line="276" w:lineRule="auto" w:after="0" w:before="0"/>
            </w:pPr>
            <w:r>
              <w:rPr>
                <w:rFonts w:ascii="Calibri" w:hAnsi="Calibri" w:eastAsia="宋体"/>
                <w:b w:val="0"/>
                <w:color w:val="000000"/>
                <w:sz w:val="19"/>
              </w:rPr>
              <w:t>[3]</w:t>
            </w:r>
          </w:p>
        </w:tc>
        <w:tc>
          <w:tcPr>
            <w:tcW w:type="dxa" w:w="4535"/>
            <w:vAlign w:val="center"/>
          </w:tcPr>
          <w:p>
            <w:pPr>
              <w:keepNext w:val="0"/>
              <w:widowControl/>
              <w:spacing w:line="276" w:lineRule="auto" w:after="0" w:before="0"/>
            </w:pPr>
            <w:r>
              <w:rPr>
                <w:rFonts w:ascii="Calibri" w:hAnsi="Calibri" w:eastAsia="宋体"/>
                <w:b w:val="0"/>
                <w:color w:val="000000"/>
                <w:sz w:val="19"/>
              </w:rPr>
              <w:t>DETeCD专科指南；三层诊断表述、神经心理和追加病因检查</w:t>
            </w:r>
          </w:p>
        </w:tc>
        <w:tc>
          <w:tcPr>
            <w:tcW w:type="dxa" w:w="4337"/>
            <w:vAlign w:val="center"/>
          </w:tcPr>
          <w:p>
            <w:pPr>
              <w:keepNext w:val="0"/>
              <w:widowControl/>
              <w:spacing w:line="276" w:lineRule="auto" w:after="0" w:before="0"/>
            </w:pPr>
            <w:r>
              <w:rPr>
                <w:rFonts w:ascii="Calibri" w:hAnsi="Calibri" w:eastAsia="宋体"/>
                <w:b w:val="0"/>
                <w:color w:val="000000"/>
                <w:sz w:val="19"/>
              </w:rPr>
              <w:t>第4–5页推荐汇总；第12页分层评估说明</w:t>
            </w:r>
          </w:p>
        </w:tc>
      </w:tr>
      <w:tr>
        <w:trPr>
          <w:cantSplit/>
        </w:trPr>
        <w:tc>
          <w:tcPr>
            <w:tcW w:type="dxa" w:w="652"/>
            <w:vAlign w:val="center"/>
            <w:shd w:fill="F6F8FA"/>
          </w:tcPr>
          <w:p>
            <w:pPr>
              <w:keepNext w:val="0"/>
              <w:widowControl/>
              <w:spacing w:line="276" w:lineRule="auto" w:after="0" w:before="0"/>
            </w:pPr>
            <w:r>
              <w:rPr>
                <w:rFonts w:ascii="Calibri" w:hAnsi="Calibri" w:eastAsia="宋体"/>
                <w:b w:val="0"/>
                <w:color w:val="000000"/>
                <w:sz w:val="19"/>
              </w:rPr>
              <w:t>[4]</w:t>
            </w:r>
          </w:p>
        </w:tc>
        <w:tc>
          <w:tcPr>
            <w:tcW w:type="dxa" w:w="4535"/>
            <w:vAlign w:val="center"/>
            <w:shd w:fill="F6F8FA"/>
          </w:tcPr>
          <w:p>
            <w:pPr>
              <w:keepNext w:val="0"/>
              <w:widowControl/>
              <w:spacing w:line="276" w:lineRule="auto" w:after="0" w:before="0"/>
            </w:pPr>
            <w:r>
              <w:rPr>
                <w:rFonts w:ascii="Calibri" w:hAnsi="Calibri" w:eastAsia="宋体"/>
                <w:b w:val="0"/>
                <w:color w:val="000000"/>
                <w:sz w:val="19"/>
              </w:rPr>
              <w:t>DETeCD基层指南；如何开始评估、基础检验和结构影像</w:t>
            </w:r>
          </w:p>
        </w:tc>
        <w:tc>
          <w:tcPr>
            <w:tcW w:type="dxa" w:w="4337"/>
            <w:vAlign w:val="center"/>
            <w:shd w:fill="F6F8FA"/>
          </w:tcPr>
          <w:p>
            <w:pPr>
              <w:keepNext w:val="0"/>
              <w:widowControl/>
              <w:spacing w:line="276" w:lineRule="auto" w:after="0" w:before="0"/>
            </w:pPr>
            <w:r>
              <w:rPr>
                <w:rFonts w:ascii="Calibri" w:hAnsi="Calibri" w:eastAsia="宋体"/>
                <w:b w:val="0"/>
                <w:color w:val="000000"/>
                <w:sz w:val="19"/>
              </w:rPr>
              <w:t>第9页推荐8和9；结合前文病史与测评推荐</w:t>
            </w:r>
          </w:p>
        </w:tc>
      </w:tr>
      <w:tr>
        <w:trPr>
          <w:cantSplit/>
        </w:trPr>
        <w:tc>
          <w:tcPr>
            <w:tcW w:type="dxa" w:w="652"/>
            <w:vAlign w:val="center"/>
          </w:tcPr>
          <w:p>
            <w:pPr>
              <w:keepNext w:val="0"/>
              <w:widowControl/>
              <w:spacing w:line="276" w:lineRule="auto" w:after="0" w:before="0"/>
            </w:pPr>
            <w:r>
              <w:rPr>
                <w:rFonts w:ascii="Calibri" w:hAnsi="Calibri" w:eastAsia="宋体"/>
                <w:b w:val="0"/>
                <w:color w:val="000000"/>
                <w:sz w:val="19"/>
              </w:rPr>
              <w:t>[5]</w:t>
            </w:r>
          </w:p>
        </w:tc>
        <w:tc>
          <w:tcPr>
            <w:tcW w:type="dxa" w:w="4535"/>
            <w:vAlign w:val="center"/>
          </w:tcPr>
          <w:p>
            <w:pPr>
              <w:keepNext w:val="0"/>
              <w:widowControl/>
              <w:spacing w:line="276" w:lineRule="auto" w:after="0" w:before="0"/>
            </w:pPr>
            <w:r>
              <w:rPr>
                <w:rFonts w:ascii="Calibri" w:hAnsi="Calibri" w:eastAsia="宋体"/>
                <w:b w:val="0"/>
                <w:color w:val="000000"/>
                <w:sz w:val="19"/>
              </w:rPr>
              <w:t>2011 AD痴呆经典临床标准；说明痴呆及典型和非典型AD表现</w:t>
            </w:r>
          </w:p>
        </w:tc>
        <w:tc>
          <w:tcPr>
            <w:tcW w:type="dxa" w:w="4337"/>
            <w:vAlign w:val="center"/>
          </w:tcPr>
          <w:p>
            <w:pPr>
              <w:keepNext w:val="0"/>
              <w:widowControl/>
              <w:spacing w:line="276" w:lineRule="auto" w:after="0" w:before="0"/>
            </w:pPr>
            <w:r>
              <w:rPr>
                <w:rFonts w:ascii="Calibri" w:hAnsi="Calibri" w:eastAsia="宋体"/>
                <w:b w:val="0"/>
                <w:color w:val="000000"/>
                <w:sz w:val="19"/>
              </w:rPr>
              <w:t>第4–6页核心临床条款</w:t>
            </w:r>
          </w:p>
        </w:tc>
      </w:tr>
      <w:tr>
        <w:trPr>
          <w:cantSplit/>
        </w:trPr>
        <w:tc>
          <w:tcPr>
            <w:tcW w:type="dxa" w:w="652"/>
            <w:vAlign w:val="center"/>
            <w:shd w:fill="F6F8FA"/>
          </w:tcPr>
          <w:p>
            <w:pPr>
              <w:keepNext w:val="0"/>
              <w:widowControl/>
              <w:spacing w:line="276" w:lineRule="auto" w:after="0" w:before="0"/>
            </w:pPr>
            <w:r>
              <w:rPr>
                <w:rFonts w:ascii="Calibri" w:hAnsi="Calibri" w:eastAsia="宋体"/>
                <w:b w:val="0"/>
                <w:color w:val="000000"/>
                <w:sz w:val="19"/>
              </w:rPr>
              <w:t>[6]</w:t>
            </w:r>
          </w:p>
        </w:tc>
        <w:tc>
          <w:tcPr>
            <w:tcW w:type="dxa" w:w="4535"/>
            <w:vAlign w:val="center"/>
            <w:shd w:fill="F6F8FA"/>
          </w:tcPr>
          <w:p>
            <w:pPr>
              <w:keepNext w:val="0"/>
              <w:widowControl/>
              <w:spacing w:line="276" w:lineRule="auto" w:after="0" w:before="0"/>
            </w:pPr>
            <w:r>
              <w:rPr>
                <w:rFonts w:ascii="Calibri" w:hAnsi="Calibri" w:eastAsia="宋体"/>
                <w:b w:val="0"/>
                <w:color w:val="000000"/>
                <w:sz w:val="19"/>
              </w:rPr>
              <w:t>2015 MDS PD临床标准；先确认帕金森综合征，再判断PD类别</w:t>
            </w:r>
          </w:p>
        </w:tc>
        <w:tc>
          <w:tcPr>
            <w:tcW w:type="dxa" w:w="4337"/>
            <w:vAlign w:val="center"/>
            <w:shd w:fill="F6F8FA"/>
          </w:tcPr>
          <w:p>
            <w:pPr>
              <w:keepNext w:val="0"/>
              <w:widowControl/>
              <w:spacing w:line="276" w:lineRule="auto" w:after="0" w:before="0"/>
            </w:pPr>
            <w:r>
              <w:rPr>
                <w:rFonts w:ascii="Calibri" w:hAnsi="Calibri" w:eastAsia="宋体"/>
                <w:b w:val="0"/>
                <w:color w:val="000000"/>
                <w:sz w:val="19"/>
              </w:rPr>
              <w:t>第5页体征定义；第6页表1</w:t>
            </w:r>
          </w:p>
        </w:tc>
      </w:tr>
      <w:tr>
        <w:trPr>
          <w:cantSplit/>
        </w:trPr>
        <w:tc>
          <w:tcPr>
            <w:tcW w:type="dxa" w:w="652"/>
            <w:vAlign w:val="center"/>
          </w:tcPr>
          <w:p>
            <w:pPr>
              <w:keepNext w:val="0"/>
              <w:widowControl/>
              <w:spacing w:line="276" w:lineRule="auto" w:after="0" w:before="0"/>
            </w:pPr>
            <w:r>
              <w:rPr>
                <w:rFonts w:ascii="Calibri" w:hAnsi="Calibri" w:eastAsia="宋体"/>
                <w:b w:val="0"/>
                <w:color w:val="000000"/>
                <w:sz w:val="19"/>
              </w:rPr>
              <w:t>[7]</w:t>
            </w:r>
          </w:p>
        </w:tc>
        <w:tc>
          <w:tcPr>
            <w:tcW w:type="dxa" w:w="4535"/>
            <w:vAlign w:val="center"/>
          </w:tcPr>
          <w:p>
            <w:pPr>
              <w:keepNext w:val="0"/>
              <w:widowControl/>
              <w:spacing w:line="276" w:lineRule="auto" w:after="0" w:before="0"/>
            </w:pPr>
            <w:r>
              <w:rPr>
                <w:rFonts w:ascii="Calibri" w:hAnsi="Calibri" w:eastAsia="宋体"/>
                <w:b w:val="0"/>
                <w:color w:val="000000"/>
                <w:sz w:val="19"/>
              </w:rPr>
              <w:t>2017 DLB第四次共识；核心特征与指示性生物标志物的组合</w:t>
            </w:r>
          </w:p>
        </w:tc>
        <w:tc>
          <w:tcPr>
            <w:tcW w:type="dxa" w:w="4337"/>
            <w:vAlign w:val="center"/>
          </w:tcPr>
          <w:p>
            <w:pPr>
              <w:keepNext w:val="0"/>
              <w:widowControl/>
              <w:spacing w:line="276" w:lineRule="auto" w:after="0" w:before="0"/>
            </w:pPr>
            <w:r>
              <w:rPr>
                <w:rFonts w:ascii="Calibri" w:hAnsi="Calibri" w:eastAsia="宋体"/>
                <w:b w:val="0"/>
                <w:color w:val="000000"/>
                <w:sz w:val="19"/>
              </w:rPr>
              <w:t>第3页表1</w:t>
            </w:r>
          </w:p>
        </w:tc>
      </w:tr>
      <w:tr>
        <w:trPr>
          <w:cantSplit/>
        </w:trPr>
        <w:tc>
          <w:tcPr>
            <w:tcW w:type="dxa" w:w="652"/>
            <w:vAlign w:val="center"/>
            <w:shd w:fill="F6F8FA"/>
          </w:tcPr>
          <w:p>
            <w:pPr>
              <w:keepNext w:val="0"/>
              <w:widowControl/>
              <w:spacing w:line="276" w:lineRule="auto" w:after="0" w:before="0"/>
            </w:pPr>
            <w:r>
              <w:rPr>
                <w:rFonts w:ascii="Calibri" w:hAnsi="Calibri" w:eastAsia="宋体"/>
                <w:b w:val="0"/>
                <w:color w:val="000000"/>
                <w:sz w:val="19"/>
              </w:rPr>
              <w:t>[8]</w:t>
            </w:r>
          </w:p>
        </w:tc>
        <w:tc>
          <w:tcPr>
            <w:tcW w:type="dxa" w:w="4535"/>
            <w:vAlign w:val="center"/>
            <w:shd w:fill="F6F8FA"/>
          </w:tcPr>
          <w:p>
            <w:pPr>
              <w:keepNext w:val="0"/>
              <w:widowControl/>
              <w:spacing w:line="276" w:lineRule="auto" w:after="0" w:before="0"/>
            </w:pPr>
            <w:r>
              <w:rPr>
                <w:rFonts w:ascii="Calibri" w:hAnsi="Calibri" w:eastAsia="宋体"/>
                <w:b w:val="0"/>
                <w:color w:val="000000"/>
                <w:sz w:val="19"/>
              </w:rPr>
              <w:t>2011 bvFTD标准及敏感度验证；可能、很可能和确定类别</w:t>
            </w:r>
          </w:p>
        </w:tc>
        <w:tc>
          <w:tcPr>
            <w:tcW w:type="dxa" w:w="4337"/>
            <w:vAlign w:val="center"/>
            <w:shd w:fill="F6F8FA"/>
          </w:tcPr>
          <w:p>
            <w:pPr>
              <w:keepNext w:val="0"/>
              <w:widowControl/>
              <w:spacing w:line="276" w:lineRule="auto" w:after="0" w:before="0"/>
            </w:pPr>
            <w:r>
              <w:rPr>
                <w:rFonts w:ascii="Calibri" w:hAnsi="Calibri" w:eastAsia="宋体"/>
                <w:b w:val="0"/>
                <w:color w:val="000000"/>
                <w:sz w:val="19"/>
              </w:rPr>
              <w:t>第5页表3；第18–22页操作解释</w:t>
            </w:r>
          </w:p>
        </w:tc>
      </w:tr>
      <w:tr>
        <w:trPr>
          <w:cantSplit/>
        </w:trPr>
        <w:tc>
          <w:tcPr>
            <w:tcW w:type="dxa" w:w="652"/>
            <w:vAlign w:val="center"/>
          </w:tcPr>
          <w:p>
            <w:pPr>
              <w:keepNext w:val="0"/>
              <w:widowControl/>
              <w:spacing w:line="276" w:lineRule="auto" w:after="0" w:before="0"/>
            </w:pPr>
            <w:r>
              <w:rPr>
                <w:rFonts w:ascii="Calibri" w:hAnsi="Calibri" w:eastAsia="宋体"/>
                <w:b w:val="0"/>
                <w:color w:val="000000"/>
                <w:sz w:val="19"/>
              </w:rPr>
              <w:t>[9]</w:t>
            </w:r>
          </w:p>
        </w:tc>
        <w:tc>
          <w:tcPr>
            <w:tcW w:type="dxa" w:w="4535"/>
            <w:vAlign w:val="center"/>
          </w:tcPr>
          <w:p>
            <w:pPr>
              <w:keepNext w:val="0"/>
              <w:widowControl/>
              <w:spacing w:line="276" w:lineRule="auto" w:after="0" w:before="0"/>
            </w:pPr>
            <w:r>
              <w:rPr>
                <w:rFonts w:ascii="Calibri" w:hAnsi="Calibri" w:eastAsia="宋体"/>
                <w:b w:val="0"/>
                <w:color w:val="000000"/>
                <w:sz w:val="19"/>
              </w:rPr>
              <w:t>2020 ALS Gold Coast标准原始提案；简化临床诊断条件</w:t>
            </w:r>
          </w:p>
        </w:tc>
        <w:tc>
          <w:tcPr>
            <w:tcW w:type="dxa" w:w="4337"/>
            <w:vAlign w:val="center"/>
          </w:tcPr>
          <w:p>
            <w:pPr>
              <w:keepNext w:val="0"/>
              <w:widowControl/>
              <w:spacing w:line="276" w:lineRule="auto" w:after="0" w:before="0"/>
            </w:pPr>
            <w:r>
              <w:rPr>
                <w:rFonts w:ascii="Calibri" w:hAnsi="Calibri" w:eastAsia="宋体"/>
                <w:b w:val="0"/>
                <w:color w:val="000000"/>
                <w:sz w:val="19"/>
              </w:rPr>
              <w:t>第2页提案背景；第3页表1</w:t>
            </w:r>
          </w:p>
        </w:tc>
      </w:tr>
      <w:tr>
        <w:trPr>
          <w:cantSplit/>
        </w:trPr>
        <w:tc>
          <w:tcPr>
            <w:tcW w:type="dxa" w:w="652"/>
            <w:vAlign w:val="center"/>
            <w:shd w:fill="F6F8FA"/>
          </w:tcPr>
          <w:p>
            <w:pPr>
              <w:keepNext w:val="0"/>
              <w:widowControl/>
              <w:spacing w:line="276" w:lineRule="auto" w:after="0" w:before="0"/>
            </w:pPr>
            <w:r>
              <w:rPr>
                <w:rFonts w:ascii="Calibri" w:hAnsi="Calibri" w:eastAsia="宋体"/>
                <w:b w:val="0"/>
                <w:color w:val="000000"/>
                <w:sz w:val="19"/>
              </w:rPr>
              <w:t>[10]</w:t>
            </w:r>
          </w:p>
        </w:tc>
        <w:tc>
          <w:tcPr>
            <w:tcW w:type="dxa" w:w="4535"/>
            <w:vAlign w:val="center"/>
            <w:shd w:fill="F6F8FA"/>
          </w:tcPr>
          <w:p>
            <w:pPr>
              <w:keepNext w:val="0"/>
              <w:widowControl/>
              <w:spacing w:line="276" w:lineRule="auto" w:after="0" w:before="0"/>
            </w:pPr>
            <w:r>
              <w:rPr>
                <w:rFonts w:ascii="Calibri" w:hAnsi="Calibri" w:eastAsia="宋体"/>
                <w:b w:val="0"/>
                <w:color w:val="000000"/>
                <w:sz w:val="19"/>
              </w:rPr>
              <w:t>2022 ALS解释文章；帮助理解Gold Coast及肌电图局限</w:t>
            </w:r>
          </w:p>
        </w:tc>
        <w:tc>
          <w:tcPr>
            <w:tcW w:type="dxa" w:w="4337"/>
            <w:vAlign w:val="center"/>
            <w:shd w:fill="F6F8FA"/>
          </w:tcPr>
          <w:p>
            <w:pPr>
              <w:keepNext w:val="0"/>
              <w:widowControl/>
              <w:spacing w:line="276" w:lineRule="auto" w:after="0" w:before="0"/>
            </w:pPr>
            <w:r>
              <w:rPr>
                <w:rFonts w:ascii="Calibri" w:hAnsi="Calibri" w:eastAsia="宋体"/>
                <w:b w:val="0"/>
                <w:color w:val="000000"/>
                <w:sz w:val="19"/>
              </w:rPr>
              <w:t>第2页框1及肌电图讨论</w:t>
            </w:r>
          </w:p>
        </w:tc>
      </w:tr>
      <w:tr>
        <w:trPr>
          <w:cantSplit/>
        </w:trPr>
        <w:tc>
          <w:tcPr>
            <w:tcW w:type="dxa" w:w="652"/>
            <w:vAlign w:val="center"/>
          </w:tcPr>
          <w:p>
            <w:pPr>
              <w:keepNext w:val="0"/>
              <w:widowControl/>
              <w:spacing w:line="276" w:lineRule="auto" w:after="0" w:before="0"/>
            </w:pPr>
            <w:r>
              <w:rPr>
                <w:rFonts w:ascii="Calibri" w:hAnsi="Calibri" w:eastAsia="宋体"/>
                <w:b w:val="0"/>
                <w:color w:val="000000"/>
                <w:sz w:val="19"/>
              </w:rPr>
              <w:t>[11]</w:t>
            </w:r>
          </w:p>
        </w:tc>
        <w:tc>
          <w:tcPr>
            <w:tcW w:type="dxa" w:w="4535"/>
            <w:vAlign w:val="center"/>
          </w:tcPr>
          <w:p>
            <w:pPr>
              <w:keepNext w:val="0"/>
              <w:widowControl/>
              <w:spacing w:line="276" w:lineRule="auto" w:after="0" w:before="0"/>
            </w:pPr>
            <w:r>
              <w:rPr>
                <w:rFonts w:ascii="Calibri" w:hAnsi="Calibri" w:eastAsia="宋体"/>
                <w:b w:val="0"/>
                <w:color w:val="000000"/>
                <w:sz w:val="19"/>
              </w:rPr>
              <w:t>2022 MDS MSA标准；比较临床确立与很可能类别</w:t>
            </w:r>
          </w:p>
        </w:tc>
        <w:tc>
          <w:tcPr>
            <w:tcW w:type="dxa" w:w="4337"/>
            <w:vAlign w:val="center"/>
          </w:tcPr>
          <w:p>
            <w:pPr>
              <w:keepNext w:val="0"/>
              <w:widowControl/>
              <w:spacing w:line="276" w:lineRule="auto" w:after="0" w:before="0"/>
            </w:pPr>
            <w:r>
              <w:rPr>
                <w:rFonts w:ascii="Calibri" w:hAnsi="Calibri" w:eastAsia="宋体"/>
                <w:b w:val="0"/>
                <w:color w:val="000000"/>
                <w:sz w:val="19"/>
              </w:rPr>
              <w:t>第4–5页表1，勿遗漏续表排除条件</w:t>
            </w:r>
          </w:p>
        </w:tc>
      </w:tr>
      <w:tr>
        <w:trPr>
          <w:cantSplit/>
        </w:trPr>
        <w:tc>
          <w:tcPr>
            <w:tcW w:type="dxa" w:w="652"/>
            <w:vAlign w:val="center"/>
            <w:shd w:fill="F6F8FA"/>
          </w:tcPr>
          <w:p>
            <w:pPr>
              <w:keepNext w:val="0"/>
              <w:widowControl/>
              <w:spacing w:line="276" w:lineRule="auto" w:after="0" w:before="0"/>
            </w:pPr>
            <w:r>
              <w:rPr>
                <w:rFonts w:ascii="Calibri" w:hAnsi="Calibri" w:eastAsia="宋体"/>
                <w:b w:val="0"/>
                <w:color w:val="000000"/>
                <w:sz w:val="19"/>
              </w:rPr>
              <w:t>[12]</w:t>
            </w:r>
          </w:p>
        </w:tc>
        <w:tc>
          <w:tcPr>
            <w:tcW w:type="dxa" w:w="4535"/>
            <w:vAlign w:val="center"/>
            <w:shd w:fill="F6F8FA"/>
          </w:tcPr>
          <w:p>
            <w:pPr>
              <w:keepNext w:val="0"/>
              <w:widowControl/>
              <w:spacing w:line="276" w:lineRule="auto" w:after="0" w:before="0"/>
            </w:pPr>
            <w:r>
              <w:rPr>
                <w:rFonts w:ascii="Calibri" w:hAnsi="Calibri" w:eastAsia="宋体"/>
                <w:b w:val="0"/>
                <w:color w:val="000000"/>
                <w:sz w:val="19"/>
              </w:rPr>
              <w:t>2017 MDS PSP标准；四个功能领域、不同表型与把握度</w:t>
            </w:r>
          </w:p>
        </w:tc>
        <w:tc>
          <w:tcPr>
            <w:tcW w:type="dxa" w:w="4337"/>
            <w:vAlign w:val="center"/>
            <w:shd w:fill="F6F8FA"/>
          </w:tcPr>
          <w:p>
            <w:pPr>
              <w:keepNext w:val="0"/>
              <w:widowControl/>
              <w:spacing w:line="276" w:lineRule="auto" w:after="0" w:before="0"/>
            </w:pPr>
            <w:r>
              <w:rPr>
                <w:rFonts w:ascii="Calibri" w:hAnsi="Calibri" w:eastAsia="宋体"/>
                <w:b w:val="0"/>
                <w:color w:val="000000"/>
                <w:sz w:val="19"/>
              </w:rPr>
              <w:t>第5页核心特征定义；第7–8页把握度与表5</w:t>
            </w:r>
          </w:p>
        </w:tc>
      </w:tr>
      <w:tr>
        <w:trPr>
          <w:cantSplit/>
        </w:trPr>
        <w:tc>
          <w:tcPr>
            <w:tcW w:type="dxa" w:w="652"/>
            <w:vAlign w:val="center"/>
          </w:tcPr>
          <w:p>
            <w:pPr>
              <w:keepNext w:val="0"/>
              <w:widowControl/>
              <w:spacing w:line="276" w:lineRule="auto" w:after="0" w:before="0"/>
            </w:pPr>
            <w:r>
              <w:rPr>
                <w:rFonts w:ascii="Calibri" w:hAnsi="Calibri" w:eastAsia="宋体"/>
                <w:b w:val="0"/>
                <w:color w:val="000000"/>
                <w:sz w:val="19"/>
              </w:rPr>
              <w:t>[13]</w:t>
            </w:r>
          </w:p>
        </w:tc>
        <w:tc>
          <w:tcPr>
            <w:tcW w:type="dxa" w:w="4535"/>
            <w:vAlign w:val="center"/>
          </w:tcPr>
          <w:p>
            <w:pPr>
              <w:keepNext w:val="0"/>
              <w:widowControl/>
              <w:spacing w:line="276" w:lineRule="auto" w:after="0" w:before="0"/>
            </w:pPr>
            <w:r>
              <w:rPr>
                <w:rFonts w:ascii="Calibri" w:hAnsi="Calibri" w:eastAsia="宋体"/>
                <w:b w:val="0"/>
                <w:color w:val="000000"/>
                <w:sz w:val="19"/>
              </w:rPr>
              <w:t>2026更新的HD GeneReviews；HTT重复范围、诊断与遗传咨询</w:t>
            </w:r>
          </w:p>
        </w:tc>
        <w:tc>
          <w:tcPr>
            <w:tcW w:type="dxa" w:w="4337"/>
            <w:vAlign w:val="center"/>
          </w:tcPr>
          <w:p>
            <w:pPr>
              <w:keepNext w:val="0"/>
              <w:widowControl/>
              <w:spacing w:line="276" w:lineRule="auto" w:after="0" w:before="0"/>
            </w:pPr>
            <w:r>
              <w:rPr>
                <w:rFonts w:ascii="Calibri" w:hAnsi="Calibri" w:eastAsia="宋体"/>
                <w:b w:val="0"/>
                <w:color w:val="000000"/>
                <w:sz w:val="19"/>
              </w:rPr>
              <w:t>第2–3页诊断与重复数解释；后文遗传咨询部分</w:t>
            </w:r>
          </w:p>
        </w:tc>
      </w:tr>
      <w:tr>
        <w:trPr>
          <w:cantSplit/>
        </w:trPr>
        <w:tc>
          <w:tcPr>
            <w:tcW w:type="dxa" w:w="652"/>
            <w:vAlign w:val="center"/>
            <w:shd w:fill="F6F8FA"/>
          </w:tcPr>
          <w:p>
            <w:pPr>
              <w:keepNext w:val="0"/>
              <w:widowControl/>
              <w:spacing w:line="276" w:lineRule="auto" w:after="0" w:before="0"/>
            </w:pPr>
            <w:r>
              <w:rPr>
                <w:rFonts w:ascii="Calibri" w:hAnsi="Calibri" w:eastAsia="宋体"/>
                <w:b w:val="0"/>
                <w:color w:val="000000"/>
                <w:sz w:val="19"/>
              </w:rPr>
              <w:t>[14]</w:t>
            </w:r>
          </w:p>
        </w:tc>
        <w:tc>
          <w:tcPr>
            <w:tcW w:type="dxa" w:w="4535"/>
            <w:vAlign w:val="center"/>
            <w:shd w:fill="F6F8FA"/>
          </w:tcPr>
          <w:p>
            <w:pPr>
              <w:keepNext w:val="0"/>
              <w:widowControl/>
              <w:spacing w:line="276" w:lineRule="auto" w:after="0" w:before="0"/>
            </w:pPr>
            <w:r>
              <w:rPr>
                <w:rFonts w:ascii="Calibri" w:hAnsi="Calibri" w:eastAsia="宋体"/>
                <w:b w:val="0"/>
                <w:color w:val="000000"/>
                <w:sz w:val="19"/>
              </w:rPr>
              <w:t>2024 PD生物学研究框架；S N G与临床表现的联系</w:t>
            </w:r>
          </w:p>
        </w:tc>
        <w:tc>
          <w:tcPr>
            <w:tcW w:type="dxa" w:w="4337"/>
            <w:vAlign w:val="center"/>
            <w:shd w:fill="F6F8FA"/>
          </w:tcPr>
          <w:p>
            <w:pPr>
              <w:keepNext w:val="0"/>
              <w:widowControl/>
              <w:spacing w:line="276" w:lineRule="auto" w:after="0" w:before="0"/>
            </w:pPr>
            <w:r>
              <w:rPr>
                <w:rFonts w:ascii="Calibri" w:hAnsi="Calibri" w:eastAsia="宋体"/>
                <w:b w:val="0"/>
                <w:color w:val="000000"/>
                <w:sz w:val="19"/>
              </w:rPr>
              <w:t>第1页摘要及用途限定；后文分类与局限</w:t>
            </w:r>
          </w:p>
        </w:tc>
      </w:tr>
    </w:tbl>
    <w:p>
      <w:pPr>
        <w:spacing w:after="40" w:before="0" w:line="240" w:lineRule="auto"/>
      </w:pPr>
      <w:r>
        <w:rPr>
          <w:rFonts w:ascii="Calibri" w:hAnsi="Calibri" w:eastAsia="宋体"/>
          <w:color w:val="000000"/>
          <w:sz w:val="2"/>
        </w:rPr>
      </w:r>
    </w:p>
    <w:p>
      <w:pPr>
        <w:pStyle w:val="Heading1"/>
      </w:pPr>
      <w:r>
        <w:rPr>
          <w:rFonts w:ascii="Calibri" w:hAnsi="Calibri" w:eastAsia="微软雅黑"/>
          <w:b/>
          <w:color w:val="000000"/>
          <w:sz w:val="32"/>
        </w:rPr>
        <w:t>参考文献</w:t>
      </w:r>
    </w:p>
    <w:p>
      <w:r>
        <w:rPr>
          <w:rFonts w:ascii="Calibri" w:hAnsi="Calibri" w:eastAsia="宋体"/>
          <w:b w:val="0"/>
          <w:color w:val="000000"/>
          <w:sz w:val="23"/>
        </w:rPr>
        <w:t>下列编号对应本地资料文件名前两位。DOI或官方页面可用于核对版本；正文是解释性转述，不是对原标准的逐字翻译。</w:t>
      </w:r>
    </w:p>
    <w:p>
      <w:pPr>
        <w:keepLines/>
        <w:spacing w:line="276" w:lineRule="auto" w:after="60"/>
      </w:pPr>
      <w:r>
        <w:rPr>
          <w:rFonts w:ascii="Calibri" w:hAnsi="Calibri" w:eastAsia="宋体"/>
          <w:b w:val="0"/>
          <w:color w:val="000000"/>
          <w:sz w:val="19"/>
        </w:rPr>
        <w:t xml:space="preserve">[1] Jack CR Jr, Andrews JS, Beach TG, et al. Revised criteria for diagnosis and staging of Alzheimer's disease: Alzheimer's Association Workgroup. Alzheimer's &amp; Dementia. 2024;20:5143–5169. </w:t>
      </w:r>
      <w:hyperlink r:id="rId9">
        <w:r>
          <w:rPr>
            <w:rFonts w:ascii="Calibri" w:hAnsi="Calibri" w:eastAsia="宋体"/>
            <w:color w:val="1F4E79"/>
            <w:u w:val="single"/>
            <w:sz w:val="19"/>
          </w:rPr>
          <w:t>DOI 10.1002/alz.13859</w:t>
        </w:r>
      </w:hyperlink>
      <w:r>
        <w:rPr>
          <w:rFonts w:ascii="Calibri" w:hAnsi="Calibri" w:eastAsia="宋体"/>
          <w:b w:val="0"/>
          <w:color w:val="000000"/>
          <w:sz w:val="19"/>
        </w:rPr>
        <w:t>.</w:t>
      </w:r>
    </w:p>
    <w:p>
      <w:pPr>
        <w:keepLines/>
        <w:spacing w:line="276" w:lineRule="auto" w:after="60"/>
      </w:pPr>
      <w:r>
        <w:rPr>
          <w:rFonts w:ascii="Calibri" w:hAnsi="Calibri" w:eastAsia="宋体"/>
          <w:b w:val="0"/>
          <w:color w:val="000000"/>
          <w:sz w:val="19"/>
        </w:rPr>
        <w:t xml:space="preserve">[2] Palmqvist S, Whitson HE, Allen LA, et al. Alzheimer's Association Clinical Practice Guideline on the use of blood-based biomarkers in the diagnostic workup of suspected Alzheimer's disease within specialized care settings. Alzheimer's &amp; Dementia. 2025;21:e70535. </w:t>
      </w:r>
      <w:hyperlink r:id="rId10">
        <w:r>
          <w:rPr>
            <w:rFonts w:ascii="Calibri" w:hAnsi="Calibri" w:eastAsia="宋体"/>
            <w:color w:val="1F4E79"/>
            <w:u w:val="single"/>
            <w:sz w:val="19"/>
          </w:rPr>
          <w:t>DOI 10.1002/alz.70535</w:t>
        </w:r>
      </w:hyperlink>
      <w:r>
        <w:rPr>
          <w:rFonts w:ascii="Calibri" w:hAnsi="Calibri" w:eastAsia="宋体"/>
          <w:b w:val="0"/>
          <w:color w:val="000000"/>
          <w:sz w:val="19"/>
        </w:rPr>
        <w:t>.</w:t>
      </w:r>
    </w:p>
    <w:p>
      <w:pPr>
        <w:keepLines/>
        <w:spacing w:line="276" w:lineRule="auto" w:after="60"/>
      </w:pPr>
      <w:r>
        <w:rPr>
          <w:rFonts w:ascii="Calibri" w:hAnsi="Calibri" w:eastAsia="宋体"/>
          <w:b w:val="0"/>
          <w:color w:val="000000"/>
          <w:sz w:val="19"/>
        </w:rPr>
        <w:t>[3] Dickerson BC, Atri A, Clevenger C, et al. The Alzheimer's Association clinical practice guideline for the Diagnostic Evaluation, Testing, Counseling, and Disclosure of Suspected Alzheimer's Disease and Related Disorders (DETeCD-ADRD): Executive summary of recommendations for specialty care. Alzheimer's &amp; Dementia. 2025;21:e14337. 2024年在线发表。</w:t>
      </w:r>
      <w:hyperlink r:id="rId11">
        <w:r>
          <w:rPr>
            <w:rFonts w:ascii="Calibri" w:hAnsi="Calibri" w:eastAsia="宋体"/>
            <w:color w:val="1F4E79"/>
            <w:u w:val="single"/>
            <w:sz w:val="19"/>
          </w:rPr>
          <w:t>DOI 10.1002/alz.14337</w:t>
        </w:r>
      </w:hyperlink>
      <w:r>
        <w:rPr>
          <w:rFonts w:ascii="Calibri" w:hAnsi="Calibri" w:eastAsia="宋体"/>
          <w:b w:val="0"/>
          <w:color w:val="000000"/>
          <w:sz w:val="19"/>
        </w:rPr>
        <w:t>.</w:t>
      </w:r>
    </w:p>
    <w:p>
      <w:pPr>
        <w:keepLines/>
        <w:spacing w:line="276" w:lineRule="auto" w:after="60"/>
      </w:pPr>
      <w:r>
        <w:rPr>
          <w:rFonts w:ascii="Calibri" w:hAnsi="Calibri" w:eastAsia="宋体"/>
          <w:b w:val="0"/>
          <w:color w:val="000000"/>
          <w:sz w:val="19"/>
        </w:rPr>
        <w:t>[4] Atri A, Dickerson BC, Clevenger C, et al. Alzheimer's Association clinical practice guideline for the Diagnostic Evaluation, Testing, Counseling, and Disclosure of Suspected Alzheimer's Disease and Related Disorders (DETeCD-ADRD): Executive summary of recommendations for primary care. Alzheimer's &amp; Dementia. 2025;21:e14333. 2024年在线发表。</w:t>
      </w:r>
      <w:hyperlink r:id="rId12">
        <w:r>
          <w:rPr>
            <w:rFonts w:ascii="Calibri" w:hAnsi="Calibri" w:eastAsia="宋体"/>
            <w:color w:val="1F4E79"/>
            <w:u w:val="single"/>
            <w:sz w:val="19"/>
          </w:rPr>
          <w:t>DOI 10.1002/alz.14333</w:t>
        </w:r>
      </w:hyperlink>
      <w:r>
        <w:rPr>
          <w:rFonts w:ascii="Calibri" w:hAnsi="Calibri" w:eastAsia="宋体"/>
          <w:b w:val="0"/>
          <w:color w:val="000000"/>
          <w:sz w:val="19"/>
        </w:rPr>
        <w:t>.</w:t>
      </w:r>
    </w:p>
    <w:p>
      <w:pPr>
        <w:keepLines/>
        <w:spacing w:line="276" w:lineRule="auto" w:after="60"/>
      </w:pPr>
      <w:r>
        <w:rPr>
          <w:rFonts w:ascii="Calibri" w:hAnsi="Calibri" w:eastAsia="宋体"/>
          <w:b w:val="0"/>
          <w:color w:val="000000"/>
          <w:sz w:val="19"/>
        </w:rPr>
        <w:t xml:space="preserve">[5] McKhann GM, Knopman DS, Chertkow H, et al. The diagnosis of dementia due to Alzheimer's disease: Recommendations from the National Institute on Aging-Alzheimer's Association workgroups on diagnostic guidelines for Alzheimer's disease. Alzheimer's &amp; Dementia. 2011;7:263–269. </w:t>
      </w:r>
      <w:hyperlink r:id="rId13">
        <w:r>
          <w:rPr>
            <w:rFonts w:ascii="Calibri" w:hAnsi="Calibri" w:eastAsia="宋体"/>
            <w:color w:val="1F4E79"/>
            <w:u w:val="single"/>
            <w:sz w:val="19"/>
          </w:rPr>
          <w:t>DOI 10.1016/j.jalz.2011.03.005</w:t>
        </w:r>
      </w:hyperlink>
      <w:r>
        <w:rPr>
          <w:rFonts w:ascii="Calibri" w:hAnsi="Calibri" w:eastAsia="宋体"/>
          <w:b w:val="0"/>
          <w:color w:val="000000"/>
          <w:sz w:val="19"/>
        </w:rPr>
        <w:t>.</w:t>
      </w:r>
    </w:p>
    <w:p>
      <w:pPr>
        <w:keepLines/>
        <w:spacing w:line="276" w:lineRule="auto" w:after="60"/>
      </w:pPr>
      <w:r>
        <w:rPr>
          <w:rFonts w:ascii="Calibri" w:hAnsi="Calibri" w:eastAsia="宋体"/>
          <w:b w:val="0"/>
          <w:color w:val="000000"/>
          <w:sz w:val="19"/>
        </w:rPr>
        <w:t xml:space="preserve">[6] Postuma RB, Berg D, Stern M, et al. MDS clinical diagnostic criteria for Parkinson's disease. Movement Disorders. 2015;30(12). </w:t>
      </w:r>
      <w:hyperlink r:id="rId14">
        <w:r>
          <w:rPr>
            <w:rFonts w:ascii="Calibri" w:hAnsi="Calibri" w:eastAsia="宋体"/>
            <w:color w:val="1F4E79"/>
            <w:u w:val="single"/>
            <w:sz w:val="19"/>
          </w:rPr>
          <w:t>DOI 10.1002/mds.26424</w:t>
        </w:r>
      </w:hyperlink>
      <w:r>
        <w:rPr>
          <w:rFonts w:ascii="Calibri" w:hAnsi="Calibri" w:eastAsia="宋体"/>
          <w:b w:val="0"/>
          <w:color w:val="000000"/>
          <w:sz w:val="19"/>
        </w:rPr>
        <w:t>.</w:t>
      </w:r>
    </w:p>
    <w:p>
      <w:pPr>
        <w:keepLines/>
        <w:spacing w:line="276" w:lineRule="auto" w:after="60"/>
      </w:pPr>
      <w:r>
        <w:rPr>
          <w:rFonts w:ascii="Calibri" w:hAnsi="Calibri" w:eastAsia="宋体"/>
          <w:b w:val="0"/>
          <w:color w:val="000000"/>
          <w:sz w:val="19"/>
        </w:rPr>
        <w:t xml:space="preserve">[7] McKeith IG, Boeve BF, Dickson DW, et al. Diagnosis and management of dementia with Lewy bodies: Fourth consensus report of the DLB Consortium. Neurology. 2017;89:88–100. </w:t>
      </w:r>
      <w:hyperlink r:id="rId15">
        <w:r>
          <w:rPr>
            <w:rFonts w:ascii="Calibri" w:hAnsi="Calibri" w:eastAsia="宋体"/>
            <w:color w:val="1F4E79"/>
            <w:u w:val="single"/>
            <w:sz w:val="19"/>
          </w:rPr>
          <w:t>DOI 10.1212/WNL.0000000000004058</w:t>
        </w:r>
      </w:hyperlink>
      <w:r>
        <w:rPr>
          <w:rFonts w:ascii="Calibri" w:hAnsi="Calibri" w:eastAsia="宋体"/>
          <w:b w:val="0"/>
          <w:color w:val="000000"/>
          <w:sz w:val="19"/>
        </w:rPr>
        <w:t>.</w:t>
      </w:r>
    </w:p>
    <w:p>
      <w:pPr>
        <w:keepLines/>
        <w:spacing w:line="276" w:lineRule="auto" w:after="60"/>
      </w:pPr>
      <w:r>
        <w:rPr>
          <w:rFonts w:ascii="Calibri" w:hAnsi="Calibri" w:eastAsia="宋体"/>
          <w:b w:val="0"/>
          <w:color w:val="000000"/>
          <w:sz w:val="19"/>
        </w:rPr>
        <w:t xml:space="preserve">[8] Rascovsky K, Hodges JR, Knopman D, et al. Sensitivity of revised diagnostic criteria for the behavioural variant of frontotemporal dementia. Brain. 2011;134:2456–2477. </w:t>
      </w:r>
      <w:hyperlink r:id="rId16">
        <w:r>
          <w:rPr>
            <w:rFonts w:ascii="Calibri" w:hAnsi="Calibri" w:eastAsia="宋体"/>
            <w:color w:val="1F4E79"/>
            <w:u w:val="single"/>
            <w:sz w:val="19"/>
          </w:rPr>
          <w:t>DOI 10.1093/brain/awr179</w:t>
        </w:r>
      </w:hyperlink>
      <w:r>
        <w:rPr>
          <w:rFonts w:ascii="Calibri" w:hAnsi="Calibri" w:eastAsia="宋体"/>
          <w:b w:val="0"/>
          <w:color w:val="000000"/>
          <w:sz w:val="19"/>
        </w:rPr>
        <w:t>.</w:t>
      </w:r>
    </w:p>
    <w:p>
      <w:pPr>
        <w:keepLines/>
        <w:spacing w:line="276" w:lineRule="auto" w:after="60"/>
      </w:pPr>
      <w:r>
        <w:rPr>
          <w:rFonts w:ascii="Calibri" w:hAnsi="Calibri" w:eastAsia="宋体"/>
          <w:b w:val="0"/>
          <w:color w:val="000000"/>
          <w:sz w:val="19"/>
        </w:rPr>
        <w:t xml:space="preserve">[9] Shefner JM, Al-Chalabi A, Baker MR, et al. A proposal for new diagnostic criteria for ALS. Clinical Neurophysiology. 2020;131:1975–1978. </w:t>
      </w:r>
      <w:hyperlink r:id="rId17">
        <w:r>
          <w:rPr>
            <w:rFonts w:ascii="Calibri" w:hAnsi="Calibri" w:eastAsia="宋体"/>
            <w:color w:val="1F4E79"/>
            <w:u w:val="single"/>
            <w:sz w:val="19"/>
          </w:rPr>
          <w:t>DOI 10.1016/j.clinph.2020.04.005</w:t>
        </w:r>
      </w:hyperlink>
      <w:r>
        <w:rPr>
          <w:rFonts w:ascii="Calibri" w:hAnsi="Calibri" w:eastAsia="宋体"/>
          <w:b w:val="0"/>
          <w:color w:val="000000"/>
          <w:sz w:val="19"/>
        </w:rPr>
        <w:t>.</w:t>
      </w:r>
    </w:p>
    <w:p>
      <w:pPr>
        <w:keepLines/>
        <w:spacing w:line="276" w:lineRule="auto" w:after="60"/>
      </w:pPr>
      <w:r>
        <w:rPr>
          <w:rFonts w:ascii="Calibri" w:hAnsi="Calibri" w:eastAsia="宋体"/>
          <w:b w:val="0"/>
          <w:color w:val="000000"/>
          <w:sz w:val="19"/>
        </w:rPr>
        <w:t xml:space="preserve">[10] Turner MR, UK MND Clinical Studies Group. Diagnosing ALS: the Gold Coast criteria and the role of EMG. Practical Neurology. 2022;22:176–178. </w:t>
      </w:r>
      <w:hyperlink r:id="rId18">
        <w:r>
          <w:rPr>
            <w:rFonts w:ascii="Calibri" w:hAnsi="Calibri" w:eastAsia="宋体"/>
            <w:color w:val="1F4E79"/>
            <w:u w:val="single"/>
            <w:sz w:val="19"/>
          </w:rPr>
          <w:t>DOI 10.1136/practneurol-2021-003256</w:t>
        </w:r>
      </w:hyperlink>
      <w:r>
        <w:rPr>
          <w:rFonts w:ascii="Calibri" w:hAnsi="Calibri" w:eastAsia="宋体"/>
          <w:b w:val="0"/>
          <w:color w:val="000000"/>
          <w:sz w:val="19"/>
        </w:rPr>
        <w:t>.</w:t>
      </w:r>
    </w:p>
    <w:p>
      <w:pPr>
        <w:keepLines/>
        <w:spacing w:line="276" w:lineRule="auto" w:after="60"/>
      </w:pPr>
      <w:r>
        <w:rPr>
          <w:rFonts w:ascii="Calibri" w:hAnsi="Calibri" w:eastAsia="宋体"/>
          <w:b w:val="0"/>
          <w:color w:val="000000"/>
          <w:sz w:val="19"/>
        </w:rPr>
        <w:t xml:space="preserve">[11] Wenning GK, Stankovic I, Vignatelli L, et al. The Movement Disorder Society Criteria for the Diagnosis of Multiple System Atrophy. Movement Disorders. 2022;37:1131–1148. </w:t>
      </w:r>
      <w:hyperlink r:id="rId19">
        <w:r>
          <w:rPr>
            <w:rFonts w:ascii="Calibri" w:hAnsi="Calibri" w:eastAsia="宋体"/>
            <w:color w:val="1F4E79"/>
            <w:u w:val="single"/>
            <w:sz w:val="19"/>
          </w:rPr>
          <w:t>DOI 10.1002/mds.29005</w:t>
        </w:r>
      </w:hyperlink>
      <w:r>
        <w:rPr>
          <w:rFonts w:ascii="Calibri" w:hAnsi="Calibri" w:eastAsia="宋体"/>
          <w:b w:val="0"/>
          <w:color w:val="000000"/>
          <w:sz w:val="19"/>
        </w:rPr>
        <w:t>.</w:t>
      </w:r>
    </w:p>
    <w:p>
      <w:pPr>
        <w:keepLines/>
        <w:spacing w:line="276" w:lineRule="auto" w:after="60"/>
      </w:pPr>
      <w:r>
        <w:rPr>
          <w:rFonts w:ascii="Calibri" w:hAnsi="Calibri" w:eastAsia="宋体"/>
          <w:b w:val="0"/>
          <w:color w:val="000000"/>
          <w:sz w:val="19"/>
        </w:rPr>
        <w:t xml:space="preserve">[12] Höglinger GU, Respondek G, Stamelou M, et al. Clinical diagnosis of progressive supranuclear palsy: The Movement Disorder Society criteria. Movement Disorders. 2017;32:853–864. </w:t>
      </w:r>
      <w:hyperlink r:id="rId20">
        <w:r>
          <w:rPr>
            <w:rFonts w:ascii="Calibri" w:hAnsi="Calibri" w:eastAsia="宋体"/>
            <w:color w:val="1F4E79"/>
            <w:u w:val="single"/>
            <w:sz w:val="19"/>
          </w:rPr>
          <w:t>DOI 10.1002/mds.26987</w:t>
        </w:r>
      </w:hyperlink>
      <w:r>
        <w:rPr>
          <w:rFonts w:ascii="Calibri" w:hAnsi="Calibri" w:eastAsia="宋体"/>
          <w:b w:val="0"/>
          <w:color w:val="000000"/>
          <w:sz w:val="19"/>
        </w:rPr>
        <w:t>.</w:t>
      </w:r>
    </w:p>
    <w:p>
      <w:pPr>
        <w:keepLines/>
        <w:spacing w:line="276" w:lineRule="auto" w:after="60"/>
      </w:pPr>
      <w:r>
        <w:rPr>
          <w:rFonts w:ascii="Calibri" w:hAnsi="Calibri" w:eastAsia="宋体"/>
          <w:b w:val="0"/>
          <w:color w:val="000000"/>
          <w:sz w:val="19"/>
        </w:rPr>
        <w:t>[13] Caldeira Brás I, Dawson J, Kay C, Caron NS, Hayden MR. Huntington Disease. GeneReviews. 2026年2月12日更新。</w:t>
      </w:r>
      <w:hyperlink r:id="rId21">
        <w:r>
          <w:rPr>
            <w:rFonts w:ascii="Calibri" w:hAnsi="Calibri" w:eastAsia="宋体"/>
            <w:color w:val="1F4E79"/>
            <w:u w:val="single"/>
            <w:sz w:val="19"/>
          </w:rPr>
          <w:t>NCBI官方章节</w:t>
        </w:r>
      </w:hyperlink>
      <w:r>
        <w:rPr>
          <w:rFonts w:ascii="Calibri" w:hAnsi="Calibri" w:eastAsia="宋体"/>
          <w:b w:val="0"/>
          <w:color w:val="000000"/>
          <w:sz w:val="19"/>
        </w:rPr>
        <w:t>.</w:t>
      </w:r>
    </w:p>
    <w:p>
      <w:pPr>
        <w:keepLines/>
        <w:spacing w:line="276" w:lineRule="auto" w:after="60"/>
      </w:pPr>
      <w:r>
        <w:rPr>
          <w:rFonts w:ascii="Calibri" w:hAnsi="Calibri" w:eastAsia="宋体"/>
          <w:b w:val="0"/>
          <w:color w:val="000000"/>
          <w:sz w:val="19"/>
        </w:rPr>
        <w:t xml:space="preserve">[14] Höglinger GU, Adler CH, Berg D, et al. A biological classification of Parkinson's disease: the SynNeurGe research diagnostic criteria. The Lancet Neurology. 2024;23:191–204. </w:t>
      </w:r>
      <w:hyperlink r:id="rId22">
        <w:r>
          <w:rPr>
            <w:rFonts w:ascii="Calibri" w:hAnsi="Calibri" w:eastAsia="宋体"/>
            <w:color w:val="1F4E79"/>
            <w:u w:val="single"/>
            <w:sz w:val="19"/>
          </w:rPr>
          <w:t>DOI 10.1016/S1474-4422(23)00404-0</w:t>
        </w:r>
      </w:hyperlink>
      <w:r>
        <w:rPr>
          <w:rFonts w:ascii="Calibri" w:hAnsi="Calibri" w:eastAsia="宋体"/>
          <w:b w:val="0"/>
          <w:color w:val="000000"/>
          <w:sz w:val="19"/>
        </w:rPr>
        <w:t>.</w:t>
      </w:r>
    </w:p>
    <w:sectPr w:rsidR="00FC693F" w:rsidRPr="0006063C" w:rsidSect="00034616">
      <w:footerReference w:type="default" r:id="rId23"/>
      <w:pgSz w:w="11906" w:h="16838"/>
      <w:pgMar w:top="1077" w:right="1191" w:bottom="1077" w:left="1191"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000000"/>
        <w:sz w:val="18"/>
      </w:rPr>
      <w:t xml:space="preserve">第 </w:t>
    </w:r>
    <w:fldSimple w:instr="PAGE"/>
    <w:r>
      <w:rPr>
        <w:rFonts w:ascii="Calibri" w:hAnsi="Calibri" w:eastAsia="宋体"/>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Calibri" w:hAnsi="Calibri" w:eastAsia="宋体"/>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line="276" w:lineRule="auto"/>
      <w:outlineLvl w:val="0"/>
    </w:pPr>
    <w:rPr>
      <w:rFonts w:asciiTheme="majorHAnsi" w:eastAsiaTheme="majorEastAsia" w:hAnsiTheme="majorHAnsi" w:cstheme="majorBidi" w:ascii="Calibri" w:hAnsi="Calibri" w:eastAsia="微软雅黑"/>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180" w:after="160" w:line="276" w:lineRule="auto"/>
      <w:outlineLvl w:val="1"/>
    </w:pPr>
    <w:rPr>
      <w:rFonts w:asciiTheme="majorHAnsi" w:eastAsiaTheme="majorEastAsia" w:hAnsiTheme="majorHAnsi" w:cstheme="majorBidi" w:ascii="Calibri" w:hAnsi="Calibri"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76" w:lineRule="auto"/>
      <w:contextualSpacing/>
    </w:pPr>
    <w:rPr>
      <w:rFonts w:asciiTheme="majorHAnsi" w:eastAsiaTheme="majorEastAsia" w:hAnsiTheme="majorHAnsi" w:cstheme="majorBidi" w:ascii="Calibri" w:hAnsi="Calibri" w:eastAsia="微软雅黑"/>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2/alz.13859" TargetMode="External"/><Relationship Id="rId10" Type="http://schemas.openxmlformats.org/officeDocument/2006/relationships/hyperlink" Target="https://doi.org/10.1002/alz.70535" TargetMode="External"/><Relationship Id="rId11" Type="http://schemas.openxmlformats.org/officeDocument/2006/relationships/hyperlink" Target="https://doi.org/10.1002/alz.14337" TargetMode="External"/><Relationship Id="rId12" Type="http://schemas.openxmlformats.org/officeDocument/2006/relationships/hyperlink" Target="https://doi.org/10.1002/alz.14333" TargetMode="External"/><Relationship Id="rId13" Type="http://schemas.openxmlformats.org/officeDocument/2006/relationships/hyperlink" Target="https://doi.org/10.1016/j.jalz.2011.03.005" TargetMode="External"/><Relationship Id="rId14" Type="http://schemas.openxmlformats.org/officeDocument/2006/relationships/hyperlink" Target="https://doi.org/10.1002/mds.26424" TargetMode="External"/><Relationship Id="rId15" Type="http://schemas.openxmlformats.org/officeDocument/2006/relationships/hyperlink" Target="https://doi.org/10.1212/WNL.0000000000004058" TargetMode="External"/><Relationship Id="rId16" Type="http://schemas.openxmlformats.org/officeDocument/2006/relationships/hyperlink" Target="https://doi.org/10.1093/brain/awr179" TargetMode="External"/><Relationship Id="rId17" Type="http://schemas.openxmlformats.org/officeDocument/2006/relationships/hyperlink" Target="https://doi.org/10.1016/j.clinph.2020.04.005" TargetMode="External"/><Relationship Id="rId18" Type="http://schemas.openxmlformats.org/officeDocument/2006/relationships/hyperlink" Target="https://doi.org/10.1136/practneurol-2021-003256" TargetMode="External"/><Relationship Id="rId19" Type="http://schemas.openxmlformats.org/officeDocument/2006/relationships/hyperlink" Target="https://doi.org/10.1002/mds.29005" TargetMode="External"/><Relationship Id="rId20" Type="http://schemas.openxmlformats.org/officeDocument/2006/relationships/hyperlink" Target="https://doi.org/10.1002/mds.26987" TargetMode="External"/><Relationship Id="rId21" Type="http://schemas.openxmlformats.org/officeDocument/2006/relationships/hyperlink" Target="https://www.ncbi.nlm.nih.gov/books/NBK1305/" TargetMode="External"/><Relationship Id="rId22" Type="http://schemas.openxmlformats.org/officeDocument/2006/relationships/hyperlink" Target="https://doi.org/10.1016/S1474-4422(23)00404-0"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神经退行性疾病诊断入门综述</dc:title>
  <dc:subject>诊断流程 金标准 临床标准 生物标志物 文献导读</dc:subject>
  <dc:creator/>
  <cp:keywords>神经退行性疾病,诊断,指南,综述</cp:keywords>
  <dc:description/>
  <cp:lastModifiedBy/>
  <cp:revision>1</cp:revision>
  <dcterms:created xsi:type="dcterms:W3CDTF">2013-12-23T23:15:00Z</dcterms:created>
  <dcterms:modified xsi:type="dcterms:W3CDTF">2013-12-23T23:15:00Z</dcterms:modified>
  <cp:category/>
</cp:coreProperties>
</file>