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0E3D8">
      <w:pPr>
        <w:pStyle w:val="31"/>
        <w:spacing w:after="360"/>
        <w:jc w:val="center"/>
      </w:pPr>
      <w:r>
        <w:rPr>
          <w:rFonts w:ascii="Times New Roman" w:hAnsi="Times New Roman" w:eastAsia="黑体"/>
          <w:b/>
          <w:sz w:val="32"/>
        </w:rPr>
        <w:t>神经退行性疾病人工智能辅助诊疗研究现状综述</w:t>
      </w:r>
    </w:p>
    <w:p w14:paraId="060E507E">
      <w:pPr>
        <w:pStyle w:val="3"/>
        <w:spacing w:before="240" w:after="160" w:line="400" w:lineRule="exact"/>
        <w:jc w:val="left"/>
        <w:rPr>
          <w:color w:val="000000" w:themeColor="text1"/>
          <w14:textFill>
            <w14:solidFill>
              <w14:schemeClr w14:val="tx1"/>
            </w14:solidFill>
          </w14:textFill>
        </w:rPr>
      </w:pPr>
      <w:r>
        <w:rPr>
          <w:rFonts w:ascii="Times New Roman" w:hAnsi="Times New Roman" w:eastAsia="黑体"/>
          <w:b w:val="0"/>
          <w:color w:val="000000" w:themeColor="text1"/>
          <w:sz w:val="30"/>
          <w14:textFill>
            <w14:solidFill>
              <w14:schemeClr w14:val="tx1"/>
            </w14:solidFill>
          </w14:textFill>
        </w:rPr>
        <w:t>1. 研究背景与临床问题界定</w:t>
      </w:r>
    </w:p>
    <w:p w14:paraId="2206795A">
      <w:pPr>
        <w:spacing w:before="0" w:after="120" w:line="360" w:lineRule="exact"/>
        <w:ind w:firstLine="420"/>
      </w:pPr>
      <w:r>
        <w:rPr>
          <w:rFonts w:ascii="Times New Roman" w:hAnsi="Times New Roman" w:eastAsia="宋体"/>
          <w:b w:val="0"/>
          <w:sz w:val="24"/>
        </w:rPr>
        <w:t>神经退行性疾病是一组以神经元结构和功能进行性损害为主要特征的疾病谱，常见类型包括阿尔茨海默病（Alzheimer's disease，AD）、帕金森病（Parkinson's disease，PD）、额颞叶变性相关疾病、路易体病、肌萎缩侧索硬化症等。此类疾病通常起病隐匿、进展缓慢，早期症状容易与正常老化、情绪障碍、睡眠障碍或其他内科疾病混淆。以 AD 及相关痴呆为例，临床诊断并非单纯判断“是否记忆力下降”，而是需要依次区分认知功能状态、临床综合征、潜在病因、疾病分期与进展风险[1-6]。因此，神经退行性疾病辅助诊疗系统的核心任务并不是替代医生输出单一病名，而是在复杂、多源、缺失和不确定的证据条件下，帮助医生完成风险识别、鉴别诊断、检查建议、病情解释和随访管理。</w:t>
      </w:r>
    </w:p>
    <w:p w14:paraId="1C36091C">
      <w:pPr>
        <w:spacing w:before="0" w:after="120" w:line="360" w:lineRule="exact"/>
        <w:ind w:firstLine="420"/>
      </w:pPr>
      <w:r>
        <w:rPr>
          <w:rFonts w:ascii="Times New Roman" w:hAnsi="Times New Roman" w:eastAsia="宋体"/>
          <w:b w:val="0"/>
          <w:sz w:val="24"/>
        </w:rPr>
        <w:t>近年来，AD 诊断标准从传统临床综合征逐步转向临床表现与生物标志物相结合的框架。NIA-AA 关于 MCI due to AD 的诊断建议强调临床症状、功能改变和生物标志物证据的联合解释[1]；2018 年 AT(N) 研究框架进一步将淀粉样蛋白、tau 蛋白和神经退行性改变作为生物学维度进行组织[2]；2024 年 Alzheimer's Association 修订标准则在血液标志物快速发展的背景下进一步强化 AD 的生物学定义和分期体系[3]。与此同时，DETeCD-ADRD 指南分别面向基层和专科场景，强调病史、知情人信息、认知评估、日常功能、神经系统检查、实验室检查、结构影像、PET、脑脊液和遗传咨询等证据的分层使用[4-5]。中国专家共识也指出，AD 源性轻度认知障碍的诊疗需要结合中国临床场景，重视筛查、鉴别诊断、随访和管理[6]。这些指南共同说明，辅助诊疗系统必须服务于临床证据整合流程，而不能仅停留在影像二分类或量表分数解释。</w:t>
      </w:r>
    </w:p>
    <w:p w14:paraId="0DE9D901">
      <w:pPr>
        <w:pStyle w:val="3"/>
        <w:spacing w:before="240" w:after="160" w:line="400" w:lineRule="exact"/>
        <w:jc w:val="left"/>
        <w:rPr>
          <w:color w:val="000000" w:themeColor="text1"/>
          <w14:textFill>
            <w14:solidFill>
              <w14:schemeClr w14:val="tx1"/>
            </w14:solidFill>
          </w14:textFill>
        </w:rPr>
      </w:pPr>
      <w:r>
        <w:rPr>
          <w:rFonts w:ascii="Times New Roman" w:hAnsi="Times New Roman" w:eastAsia="黑体"/>
          <w:b w:val="0"/>
          <w:color w:val="000000" w:themeColor="text1"/>
          <w:sz w:val="30"/>
          <w14:textFill>
            <w14:solidFill>
              <w14:schemeClr w14:val="tx1"/>
            </w14:solidFill>
          </w14:textFill>
        </w:rPr>
        <w:t>2. 传统机器学习与深度学习辅助诊断研究</w:t>
      </w:r>
    </w:p>
    <w:p w14:paraId="576058B1">
      <w:pPr>
        <w:spacing w:before="0" w:after="120" w:line="360" w:lineRule="exact"/>
        <w:ind w:firstLine="420"/>
      </w:pPr>
      <w:r>
        <w:rPr>
          <w:rFonts w:ascii="Times New Roman" w:hAnsi="Times New Roman" w:eastAsia="宋体"/>
          <w:b w:val="0"/>
          <w:sz w:val="24"/>
        </w:rPr>
        <w:t>早期人工智能研究主要围绕影像、量表、遗传、生物标志物或电子病历等单一数据源展开。机器学习方法通过支持向量机、随机森林、逻辑回归等模型从手工特征中学习疾病相关模式；深度学习方法则进一步利用卷积神经网络、循环神经网络、注意力机制和 Transformer 等结构，从 MRI、FDG-PET、Amyloid PET、脑电、语音和临床文本中自动提取特征[7-12]。在 AD 研究中，ADNI 等公开数据库推动了大量 CN、MCI、AD 分类和 MCI 转归预测研究。Wen 等对 AD 深度学习分类研究进行可复现评估，指出预处理流程、患者级划分、外部验证和数据泄漏控制会显著影响模型性能解释[7]。这提示硕士论文在综述模型效果时，不能只比较准确率或 AUC，而应同时关注数据来源、标签定义、划分方式和验证场景。</w:t>
      </w:r>
    </w:p>
    <w:p w14:paraId="6010F297">
      <w:pPr>
        <w:spacing w:before="0" w:after="120" w:line="360" w:lineRule="exact"/>
        <w:ind w:firstLine="420"/>
      </w:pPr>
      <w:r>
        <w:rPr>
          <w:rFonts w:ascii="Times New Roman" w:hAnsi="Times New Roman" w:eastAsia="宋体"/>
          <w:b w:val="0"/>
          <w:sz w:val="24"/>
        </w:rPr>
        <w:t>随着疾病诊断从单病种分类走向多病因鉴别，多模态学习成为研究重点。多模态 AI 将人口学信息、神经心理量表、结构影像、功能影像、遗传信息、蛋白组学和临床文本进行融合，以提高早期识别、病因判断和进展预测能力[8-13]。Qiu 等利用临床信息和影像数据开展痴呆评估，体现了多模态深度学习在 AD 诊断中的潜力[8]。Xue 等进一步面向多种痴呆病因进行 AI 辅助鉴别诊断，模型融合多队列、多模态数据，并考虑混合病因和标签缺失问题[9]。这类研究表明，神经退行性疾病 AI 诊断正在从“AD 与正常对照分类”转向“复杂病因鉴别”和“临床决策支持”。但是，多模态模型也面临真实世界缺失机制、跨中心分布差异、少见病因样本不足、共病标签不完整和模型可解释性不足等问题[10-14]。</w:t>
      </w:r>
    </w:p>
    <w:p w14:paraId="5F2B28EB">
      <w:pPr>
        <w:spacing w:before="0" w:after="120" w:line="360" w:lineRule="exact"/>
        <w:ind w:firstLine="420"/>
      </w:pPr>
      <w:r>
        <w:rPr>
          <w:rFonts w:ascii="Times New Roman" w:hAnsi="Times New Roman" w:eastAsia="宋体"/>
          <w:b w:val="0"/>
          <w:sz w:val="24"/>
        </w:rPr>
        <w:t>在影像方向，MRI 与 PET 的融合是 AD 辅助诊断的重要路径。近期综述显示，多模态影像模型通常优于单模态基线，但不同研究在数据规模、模态组合、融合策略和报告规范方面差异较大，临床转化证据仍不充分[11-13]。E2AD 通过 MRI-FDG-PET 教师模型向仅 MRI 学生模型进行跨模态知识蒸馏，尝试解决实际临床中 PET 不可得的问题，并将解剖注意区域与多智能体报告生成结合[14]。这一方向的价值在于利用训练阶段的多模态信息改善部署阶段的低成本输入，但其局限也很明显：模型仍依赖配对数据训练，脑区权重并不等同于真实病理因果解释，报告生成质量也不能直接代表诊断效能。</w:t>
      </w:r>
    </w:p>
    <w:p w14:paraId="58530916">
      <w:pPr>
        <w:pStyle w:val="3"/>
        <w:spacing w:before="240" w:after="160" w:line="400" w:lineRule="exact"/>
        <w:jc w:val="left"/>
        <w:rPr>
          <w:color w:val="000000" w:themeColor="text1"/>
          <w14:textFill>
            <w14:solidFill>
              <w14:schemeClr w14:val="tx1"/>
            </w14:solidFill>
          </w14:textFill>
        </w:rPr>
      </w:pPr>
      <w:r>
        <w:rPr>
          <w:rFonts w:ascii="Times New Roman" w:hAnsi="Times New Roman" w:eastAsia="黑体"/>
          <w:b w:val="0"/>
          <w:color w:val="000000" w:themeColor="text1"/>
          <w:sz w:val="30"/>
          <w14:textFill>
            <w14:solidFill>
              <w14:schemeClr w14:val="tx1"/>
            </w14:solidFill>
          </w14:textFill>
        </w:rPr>
        <w:t>3. 电子病历、自然语言处理与纵向风险预测</w:t>
      </w:r>
    </w:p>
    <w:p w14:paraId="6ADB7E14">
      <w:pPr>
        <w:spacing w:before="0" w:after="120" w:line="360" w:lineRule="exact"/>
        <w:ind w:firstLine="420"/>
      </w:pPr>
      <w:r>
        <w:rPr>
          <w:rFonts w:ascii="Times New Roman" w:hAnsi="Times New Roman" w:eastAsia="宋体"/>
          <w:b w:val="0"/>
          <w:sz w:val="24"/>
        </w:rPr>
        <w:t>除影像和生物标志物外，电子病历中的非结构化文本包含大量早期症状、功能变化、照护者描述和医生判断，是神经退行性疾病风险识别的重要信息来源。传统电子病历预测模型多依赖诊断编码、用药、检验结果和结构化变量，容易遗漏病程记录中尚未编码的早期线索。Wang 等利用临床记录训练深度学习模型，以更早识别认知下降风险，说明纵向文本中确实存在可被模型利用的弱信号[15]。NYUTron 等健康系统级语言模型进一步证明，基于大规模临床笔记预训练的语言模型可以在多个临床预测任务中发挥作用[16]。</w:t>
      </w:r>
    </w:p>
    <w:p w14:paraId="4824FC05">
      <w:pPr>
        <w:spacing w:before="0" w:after="120" w:line="360" w:lineRule="exact"/>
        <w:ind w:firstLine="420"/>
      </w:pPr>
      <w:r>
        <w:rPr>
          <w:rFonts w:ascii="Times New Roman" w:hAnsi="Times New Roman" w:eastAsia="宋体"/>
          <w:b w:val="0"/>
          <w:sz w:val="24"/>
        </w:rPr>
        <w:t>在 AD 场景中，CARE-AD 将纵向临床 notes、症状抽取、患者时间画像和多专科智能体分析结合，用于预测未来 AD 风险[17]。该研究的意义不在于“提前多年确诊 AD”，而在于把长期病历叙事纳入风险识别流程，并用神经科、老年医学、精神心理等专科视角组织证据。然而，纵向病历研究存在诊断编码滞后、症状记录不完整、病历复制粘贴、观察窗口不同和选择偏倚等问题。特别是远期预测中，低阳性预测值和不平衡标签会限制其作为筛查工具的实际价值。因此，基于病历文本的 AI 系统更适合定位为风险提示、随访提醒和证据整理工具，而不宜被描述为独立确诊系统。</w:t>
      </w:r>
    </w:p>
    <w:p w14:paraId="50984EBB">
      <w:pPr>
        <w:pStyle w:val="3"/>
        <w:spacing w:before="240" w:after="160" w:line="400" w:lineRule="exact"/>
        <w:jc w:val="left"/>
        <w:rPr>
          <w:color w:val="000000" w:themeColor="text1"/>
          <w14:textFill>
            <w14:solidFill>
              <w14:schemeClr w14:val="tx1"/>
            </w14:solidFill>
          </w14:textFill>
        </w:rPr>
      </w:pPr>
      <w:r>
        <w:rPr>
          <w:rFonts w:ascii="Times New Roman" w:hAnsi="Times New Roman" w:eastAsia="黑体"/>
          <w:b w:val="0"/>
          <w:color w:val="000000" w:themeColor="text1"/>
          <w:sz w:val="30"/>
          <w14:textFill>
            <w14:solidFill>
              <w14:schemeClr w14:val="tx1"/>
            </w14:solidFill>
          </w14:textFill>
        </w:rPr>
        <w:t>4. 大语言模型在医学辅助诊疗中的应用现状</w:t>
      </w:r>
    </w:p>
    <w:p w14:paraId="46187985">
      <w:pPr>
        <w:spacing w:before="0" w:after="120" w:line="360" w:lineRule="exact"/>
        <w:ind w:firstLine="420"/>
      </w:pPr>
      <w:r>
        <w:rPr>
          <w:rFonts w:ascii="Times New Roman" w:hAnsi="Times New Roman" w:eastAsia="宋体"/>
          <w:b w:val="0"/>
          <w:sz w:val="24"/>
        </w:rPr>
        <w:t>大语言模型（large language models，LLMs）为医学 AI 带来了新的能力：一方面，LLM 能够理解非结构化文本、解释医学知识、生成报告和进行自然语言交互；另一方面，LLM 可通过工具调用、检索增强生成（RAG）、多轮推理和智能体工作流，将模型能力嵌入较复杂的临床任务中[18-22]。Med-PaLM 系列研究显示，经过医学任务适配的大语言模型可以编码相当程度的临床知识，并在医学问答任务上达到较高表现[18]。iScience 的范围综述指出，医学 LLM 研究已快速扩展到诊断辅助、病历书写、患者沟通和医学教育等方向，但临床有效性、伦理、隐私、过度依赖和真实场景验证仍是主要挑战[19]。</w:t>
      </w:r>
    </w:p>
    <w:p w14:paraId="17BCBDAD">
      <w:pPr>
        <w:spacing w:before="0" w:after="120" w:line="360" w:lineRule="exact"/>
        <w:ind w:firstLine="420"/>
      </w:pPr>
      <w:r>
        <w:rPr>
          <w:rFonts w:ascii="Times New Roman" w:hAnsi="Times New Roman" w:eastAsia="宋体"/>
          <w:b w:val="0"/>
          <w:sz w:val="24"/>
        </w:rPr>
        <w:t>对于神经退行性疾病，LLM 的价值并不只是“回答疾病知识问题”，而在于处理临床叙事、整合多源证据、解释检查结果、生成个体化建议和提示诊断不确定性。例如，PD 多智能体对话系统通过生成、批判和综合智能体提升回答质量，可用于患者教育和临床支持问答[23]；PPA 病理确诊病例研究则模拟行为神经科、神经心理和神经影像专科协作，用于临床分型和病理预测[24]。这些工作说明，LLM 在神经退行性疾病中开始从通用问答转向疾病特异流程支持。但同时应看到，多数 LLM 系统仍缺少前瞻性验证，评估常依赖专家评分、病例集准确率或问答基准，尚不能等同于真实门诊中的临床获益。</w:t>
      </w:r>
    </w:p>
    <w:p w14:paraId="4DE0DCC2">
      <w:pPr>
        <w:spacing w:before="0" w:after="120" w:line="360" w:lineRule="exact"/>
        <w:ind w:firstLine="420"/>
      </w:pPr>
      <w:r>
        <w:rPr>
          <w:rFonts w:ascii="Times New Roman" w:hAnsi="Times New Roman" w:eastAsia="宋体"/>
          <w:b w:val="0"/>
          <w:sz w:val="24"/>
        </w:rPr>
        <w:t>LLM 还带来新的风险。首先，模型可能生成看似合理但缺少证据来源的解释，尤其在引用文献、检查阈值和指南适应证方面容易出现幻觉。其次，LLM 的语言置信度不等于统计校准概率，不能把“模型说很可能”直接解释为临床风险概率。再次，LLM 的长上下文整合能力仍可能受到无关信息、重复病历和提示顺序影响。因此，在医学辅助诊疗场景中，LLM 应与检索、规则、工具、证据追踪和医生复核结合，而不应作为单独决策主体。</w:t>
      </w:r>
    </w:p>
    <w:p w14:paraId="679ECD1B">
      <w:pPr>
        <w:pStyle w:val="3"/>
        <w:spacing w:before="240" w:after="160" w:line="400" w:lineRule="exact"/>
        <w:jc w:val="left"/>
        <w:rPr>
          <w:color w:val="000000" w:themeColor="text1"/>
          <w14:textFill>
            <w14:solidFill>
              <w14:schemeClr w14:val="tx1"/>
            </w14:solidFill>
          </w14:textFill>
        </w:rPr>
      </w:pPr>
      <w:r>
        <w:rPr>
          <w:rFonts w:ascii="Times New Roman" w:hAnsi="Times New Roman" w:eastAsia="黑体"/>
          <w:b w:val="0"/>
          <w:color w:val="000000" w:themeColor="text1"/>
          <w:sz w:val="30"/>
          <w14:textFill>
            <w14:solidFill>
              <w14:schemeClr w14:val="tx1"/>
            </w14:solidFill>
          </w14:textFill>
        </w:rPr>
        <w:t>5. 多智能体协作与神经退行性疾病辅助诊疗</w:t>
      </w:r>
    </w:p>
    <w:p w14:paraId="55586205">
      <w:pPr>
        <w:spacing w:before="0" w:after="120" w:line="360" w:lineRule="exact"/>
        <w:ind w:firstLine="420"/>
      </w:pPr>
      <w:r>
        <w:rPr>
          <w:rFonts w:ascii="Times New Roman" w:hAnsi="Times New Roman" w:eastAsia="宋体"/>
          <w:b w:val="0"/>
          <w:sz w:val="24"/>
        </w:rPr>
        <w:t>多智能体系统为复杂诊疗任务提供了新的组织方式。通用多智能体研究表明，角色分工、标准作业流程、独立推理、讨论共识和通信拓扑优化可以改善复杂任务的执行稳定性[25-30]。MetaGPT 强调通过 SOP 和结构化中间产物减少协作混乱[25]；ReConcile 探索多个异质 LLM 先独立判断、再讨论形成共识的推理机制[26]；AutoGen、GPTSwarm、G-Designer 和 AgentDropout 分别从会话编排、协作图优化、通信拓扑和成本控制角度推动多智能体方法发展[27-30]。这些方法不能直接证明医学有效性，但为“如何组织多个专科视角、工具和证据流”提供了技术基础。</w:t>
      </w:r>
    </w:p>
    <w:p w14:paraId="5ED3F1B0">
      <w:pPr>
        <w:spacing w:before="0" w:after="120" w:line="360" w:lineRule="exact"/>
        <w:ind w:firstLine="420"/>
      </w:pPr>
      <w:r>
        <w:rPr>
          <w:rFonts w:ascii="Times New Roman" w:hAnsi="Times New Roman" w:eastAsia="宋体"/>
          <w:b w:val="0"/>
          <w:sz w:val="24"/>
        </w:rPr>
        <w:t>医学多智能体研究更强调证据质量、临床流程和可审计性。MedAgent-Pro 通过指南驱动计划、患者层执行、工具调用和证据检查组织多模态医学诊断[31]；ColaCare 将 EHR 专家模型、SHAP 解释、RAG 医学知识和 LLM 多专科讨论结合，用于电子病历建模[32]；ArgMed-Agents 和 MedCollab 则尝试把医学推理转化为支持、反驳、冲突和论证图结构，以增强解释的可追踪性[33-34]。这些研究启示我们，医学智能体不应只是“多个模型聊天”，而应围绕患者证据、指南约束、工具结果、鉴别假设和复核机制形成闭环。</w:t>
      </w:r>
    </w:p>
    <w:p w14:paraId="2A472530">
      <w:pPr>
        <w:spacing w:before="0" w:after="120" w:line="360" w:lineRule="exact"/>
        <w:ind w:firstLine="420"/>
      </w:pPr>
      <w:r>
        <w:rPr>
          <w:rFonts w:ascii="Times New Roman" w:hAnsi="Times New Roman" w:eastAsia="宋体"/>
          <w:b w:val="0"/>
          <w:sz w:val="24"/>
        </w:rPr>
        <w:t>在神经退行性疾病专用智能体方面，ADAgent 利用 LLM 协调器调度 MRI、PET、量表等工具或模型，用于 AD 诊断和 MCI 进展预测[35]；CARE-AD 面向纵向临床文本模拟多专科会诊，用于 AD 风险预测[17]；AgenticAD 提出面向 AD 管理的多智能体框架，覆盖照护问答、文献检索、影像理解和报告生成等功能[36]；PPA 智能体系统则在尸检确认病例中模拟多学科诊断流程[24]。这些工作共同表明，神经退行性疾病辅助诊疗已进入“模型预测 + 工具调用 + 临床知识 + 多专科协作”的阶段。不过，现有研究仍多集中于 AD 或特定综合征，验证数据规模、疾病覆盖、外部泛化、中文场景适应和真实临床工作流评估仍显不足。</w:t>
      </w:r>
    </w:p>
    <w:p w14:paraId="7C950656">
      <w:pPr>
        <w:pStyle w:val="3"/>
        <w:numPr>
          <w:ilvl w:val="0"/>
          <w:numId w:val="7"/>
        </w:numPr>
        <w:jc w:val="left"/>
        <w:rPr>
          <w:b w:val="0"/>
          <w:bCs/>
          <w:color w:val="000000" w:themeColor="text1"/>
          <w14:textFill>
            <w14:solidFill>
              <w14:schemeClr w14:val="tx1"/>
            </w14:solidFill>
          </w14:textFill>
        </w:rPr>
      </w:pPr>
      <w:r>
        <w:rPr>
          <w:rFonts w:ascii="Times New Roman" w:hAnsi="Times New Roman" w:eastAsia="黑体"/>
          <w:b w:val="0"/>
          <w:bCs/>
          <w:color w:val="000000" w:themeColor="text1"/>
          <w:sz w:val="30"/>
          <w14:textFill>
            <w14:solidFill>
              <w14:schemeClr w14:val="tx1"/>
            </w14:solidFill>
          </w14:textFill>
        </w:rPr>
        <w:t>公开数据集及其在辅助诊疗研究中的作用</w:t>
      </w:r>
    </w:p>
    <w:p w14:paraId="621A5A8C">
      <w:pPr>
        <w:spacing w:before="0" w:after="120" w:line="360" w:lineRule="exact"/>
        <w:ind w:firstLine="420"/>
      </w:pPr>
      <w:r>
        <w:rPr>
          <w:rFonts w:ascii="Times New Roman" w:hAnsi="Times New Roman" w:eastAsia="宋体"/>
          <w:b w:val="0"/>
          <w:sz w:val="24"/>
        </w:rPr>
        <w:t>公开数据集是神经退行性疾病人工智能研究的基础设施，但其作用需要区分为模型训练、模型调参、外部验证、压力测试和临床流程模拟。对传统深度学习模型而言，ADNI、AIBL、OASIS、NACC 等数据集常被用于训练影像或多模态预测模型；对基于 LLM 的智能体系统而言，如果研究重点是工具编排、证据整合和报告生成，公开数据集也可以主要承担验证作用，即用真实或半真实病例检验智能体能否正确读取多源资料、调用工具、处理缺失模态、生成可追溯结论。若系统不重新训练底层影像模型或语言模型，数据集不一定用于训练；但仍需要用于构建病例输入、设定标准答案、设计消融实验和评估泛化能力。</w:t>
      </w:r>
    </w:p>
    <w:p w14:paraId="00798B5A">
      <w:pPr>
        <w:spacing w:before="0" w:after="120" w:line="360" w:lineRule="exact"/>
        <w:ind w:firstLine="420"/>
      </w:pPr>
      <w:r>
        <w:rPr>
          <w:rFonts w:ascii="Times New Roman" w:hAnsi="Times New Roman" w:eastAsia="宋体"/>
          <w:b w:val="0"/>
          <w:sz w:val="24"/>
        </w:rPr>
        <w:t>从现有代表性研究看，数据集选择直接决定研究结论的边界。Xue 等的多病因痴呆鉴别研究使用 NACC、NIFD、PPMI、OASIS、LBDSU、4RTNI、FHS 和 ADNI 等队列，其中 ADNI、FHS 和 NACC 留出集用于测试；ADAgent 主要基于 ADNI 的 T1-MRI 和 FDG-PET 开展 AD 诊断及 36 个月 MCI 转归预测；E2AD 在 ADNI 上训练，并以 AIBL 和 NACC 作为外部验证；CARE-AD 使用美国退伍军人健康管理局的纵向 EHR notes，该数据规模大但并非一般公开数据集。由此可见，公开数据集并不只是“找几个样本跑一下”，而是决定系统能否证明跨队列、跨模态和真实缺失条件下仍然可靠。</w:t>
      </w:r>
    </w:p>
    <w:p w14:paraId="5B7D0D11">
      <w:pPr>
        <w:ind w:firstLine="0"/>
        <w:jc w:val="center"/>
      </w:pPr>
      <w:r>
        <w:rPr>
          <w:rFonts w:ascii="Times New Roman" w:hAnsi="Times New Roman" w:eastAsia="黑体"/>
          <w:b w:val="0"/>
          <w:sz w:val="21"/>
        </w:rPr>
        <w:t>表 1  神经退行性疾病 AI 辅助诊疗常用公开或可申请数据集概况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2"/>
        <w:gridCol w:w="782"/>
        <w:gridCol w:w="1239"/>
        <w:gridCol w:w="2029"/>
        <w:gridCol w:w="1801"/>
        <w:gridCol w:w="1753"/>
      </w:tblGrid>
      <w:tr w14:paraId="01B22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shd w:val="clear" w:color="auto" w:fill="D9EAF7"/>
            <w:tcMar>
              <w:top w:w="70" w:type="dxa"/>
              <w:left w:w="70" w:type="dxa"/>
              <w:bottom w:w="70" w:type="dxa"/>
              <w:right w:w="70" w:type="dxa"/>
            </w:tcMar>
            <w:vAlign w:val="center"/>
          </w:tcPr>
          <w:p w14:paraId="5CD6AB51">
            <w:pPr>
              <w:spacing w:after="0" w:line="240" w:lineRule="exact"/>
              <w:jc w:val="left"/>
            </w:pPr>
            <w:r>
              <w:rPr>
                <w:rFonts w:ascii="Times New Roman" w:hAnsi="Times New Roman" w:eastAsia="黑体"/>
                <w:b/>
                <w:sz w:val="18"/>
              </w:rPr>
              <w:t>数据集</w:t>
            </w:r>
          </w:p>
        </w:tc>
        <w:tc>
          <w:tcPr>
            <w:tcW w:w="850" w:type="dxa"/>
            <w:shd w:val="clear" w:color="auto" w:fill="D9EAF7"/>
            <w:tcMar>
              <w:top w:w="70" w:type="dxa"/>
              <w:left w:w="70" w:type="dxa"/>
              <w:bottom w:w="70" w:type="dxa"/>
              <w:right w:w="70" w:type="dxa"/>
            </w:tcMar>
            <w:vAlign w:val="center"/>
          </w:tcPr>
          <w:p w14:paraId="1C7AA271">
            <w:pPr>
              <w:spacing w:after="0" w:line="240" w:lineRule="exact"/>
              <w:jc w:val="center"/>
            </w:pPr>
            <w:r>
              <w:rPr>
                <w:rFonts w:ascii="Times New Roman" w:hAnsi="Times New Roman" w:eastAsia="黑体"/>
                <w:b/>
                <w:sz w:val="18"/>
              </w:rPr>
              <w:t>开放性</w:t>
            </w:r>
          </w:p>
        </w:tc>
        <w:tc>
          <w:tcPr>
            <w:tcW w:w="1417" w:type="dxa"/>
            <w:shd w:val="clear" w:color="auto" w:fill="D9EAF7"/>
            <w:tcMar>
              <w:top w:w="70" w:type="dxa"/>
              <w:left w:w="70" w:type="dxa"/>
              <w:bottom w:w="70" w:type="dxa"/>
              <w:right w:w="70" w:type="dxa"/>
            </w:tcMar>
            <w:vAlign w:val="center"/>
          </w:tcPr>
          <w:p w14:paraId="05430EA1">
            <w:pPr>
              <w:spacing w:after="0" w:line="240" w:lineRule="exact"/>
              <w:jc w:val="left"/>
            </w:pPr>
            <w:r>
              <w:rPr>
                <w:rFonts w:ascii="Times New Roman" w:hAnsi="Times New Roman" w:eastAsia="黑体"/>
                <w:b/>
                <w:sz w:val="18"/>
              </w:rPr>
              <w:t>疾病/人群</w:t>
            </w:r>
          </w:p>
        </w:tc>
        <w:tc>
          <w:tcPr>
            <w:tcW w:w="2438" w:type="dxa"/>
            <w:shd w:val="clear" w:color="auto" w:fill="D9EAF7"/>
            <w:tcMar>
              <w:top w:w="70" w:type="dxa"/>
              <w:left w:w="70" w:type="dxa"/>
              <w:bottom w:w="70" w:type="dxa"/>
              <w:right w:w="70" w:type="dxa"/>
            </w:tcMar>
            <w:vAlign w:val="center"/>
          </w:tcPr>
          <w:p w14:paraId="391C0F22">
            <w:pPr>
              <w:spacing w:after="0" w:line="240" w:lineRule="exact"/>
              <w:jc w:val="left"/>
            </w:pPr>
            <w:r>
              <w:rPr>
                <w:rFonts w:ascii="Times New Roman" w:hAnsi="Times New Roman" w:eastAsia="黑体"/>
                <w:b/>
                <w:sz w:val="18"/>
              </w:rPr>
              <w:t>主要内容</w:t>
            </w:r>
          </w:p>
        </w:tc>
        <w:tc>
          <w:tcPr>
            <w:tcW w:w="2154" w:type="dxa"/>
            <w:shd w:val="clear" w:color="auto" w:fill="D9EAF7"/>
            <w:tcMar>
              <w:top w:w="70" w:type="dxa"/>
              <w:left w:w="70" w:type="dxa"/>
              <w:bottom w:w="70" w:type="dxa"/>
              <w:right w:w="70" w:type="dxa"/>
            </w:tcMar>
            <w:vAlign w:val="center"/>
          </w:tcPr>
          <w:p w14:paraId="495C77DE">
            <w:pPr>
              <w:spacing w:after="0" w:line="240" w:lineRule="exact"/>
              <w:jc w:val="left"/>
            </w:pPr>
            <w:r>
              <w:rPr>
                <w:rFonts w:ascii="Times New Roman" w:hAnsi="Times New Roman" w:eastAsia="黑体"/>
                <w:b/>
                <w:sz w:val="18"/>
              </w:rPr>
              <w:t>在现有研究中的典型作用</w:t>
            </w:r>
          </w:p>
        </w:tc>
        <w:tc>
          <w:tcPr>
            <w:tcW w:w="2154" w:type="dxa"/>
            <w:shd w:val="clear" w:color="auto" w:fill="D9EAF7"/>
            <w:tcMar>
              <w:top w:w="70" w:type="dxa"/>
              <w:left w:w="70" w:type="dxa"/>
              <w:bottom w:w="70" w:type="dxa"/>
              <w:right w:w="70" w:type="dxa"/>
            </w:tcMar>
            <w:vAlign w:val="center"/>
          </w:tcPr>
          <w:p w14:paraId="0E5B573F">
            <w:pPr>
              <w:spacing w:after="0" w:line="240" w:lineRule="exact"/>
              <w:jc w:val="left"/>
            </w:pPr>
            <w:r>
              <w:rPr>
                <w:rFonts w:ascii="Times New Roman" w:hAnsi="Times New Roman" w:eastAsia="黑体"/>
                <w:b/>
                <w:sz w:val="18"/>
              </w:rPr>
              <w:t>对本文系统的意义</w:t>
            </w:r>
          </w:p>
        </w:tc>
      </w:tr>
      <w:tr w14:paraId="2634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Mar>
              <w:top w:w="70" w:type="dxa"/>
              <w:left w:w="70" w:type="dxa"/>
              <w:bottom w:w="70" w:type="dxa"/>
              <w:right w:w="70" w:type="dxa"/>
            </w:tcMar>
            <w:vAlign w:val="center"/>
          </w:tcPr>
          <w:p w14:paraId="605C8E95">
            <w:pPr>
              <w:spacing w:after="0" w:line="240" w:lineRule="exact"/>
              <w:jc w:val="left"/>
            </w:pPr>
            <w:r>
              <w:rPr>
                <w:rFonts w:ascii="Times New Roman" w:hAnsi="Times New Roman" w:eastAsia="宋体"/>
                <w:b w:val="0"/>
                <w:sz w:val="17"/>
              </w:rPr>
              <w:t>ADNI</w:t>
            </w:r>
          </w:p>
        </w:tc>
        <w:tc>
          <w:tcPr>
            <w:tcW w:w="850" w:type="dxa"/>
            <w:tcMar>
              <w:top w:w="70" w:type="dxa"/>
              <w:left w:w="70" w:type="dxa"/>
              <w:bottom w:w="70" w:type="dxa"/>
              <w:right w:w="70" w:type="dxa"/>
            </w:tcMar>
            <w:vAlign w:val="center"/>
          </w:tcPr>
          <w:p w14:paraId="25549123">
            <w:pPr>
              <w:spacing w:after="0" w:line="240" w:lineRule="exact"/>
              <w:jc w:val="center"/>
            </w:pPr>
            <w:r>
              <w:rPr>
                <w:rFonts w:ascii="Times New Roman" w:hAnsi="Times New Roman" w:eastAsia="宋体"/>
                <w:b w:val="0"/>
                <w:sz w:val="17"/>
              </w:rPr>
              <w:t>需申请</w:t>
            </w:r>
          </w:p>
        </w:tc>
        <w:tc>
          <w:tcPr>
            <w:tcW w:w="1417" w:type="dxa"/>
            <w:tcMar>
              <w:top w:w="70" w:type="dxa"/>
              <w:left w:w="70" w:type="dxa"/>
              <w:bottom w:w="70" w:type="dxa"/>
              <w:right w:w="70" w:type="dxa"/>
            </w:tcMar>
            <w:vAlign w:val="center"/>
          </w:tcPr>
          <w:p w14:paraId="42AEEB8D">
            <w:pPr>
              <w:spacing w:after="0" w:line="240" w:lineRule="exact"/>
              <w:jc w:val="left"/>
            </w:pPr>
            <w:r>
              <w:rPr>
                <w:rFonts w:ascii="Times New Roman" w:hAnsi="Times New Roman" w:eastAsia="宋体"/>
                <w:b w:val="0"/>
                <w:sz w:val="17"/>
              </w:rPr>
              <w:t>AD、MCI、认知正常老年人</w:t>
            </w:r>
          </w:p>
        </w:tc>
        <w:tc>
          <w:tcPr>
            <w:tcW w:w="2438" w:type="dxa"/>
            <w:tcMar>
              <w:top w:w="70" w:type="dxa"/>
              <w:left w:w="70" w:type="dxa"/>
              <w:bottom w:w="70" w:type="dxa"/>
              <w:right w:w="70" w:type="dxa"/>
            </w:tcMar>
            <w:vAlign w:val="center"/>
          </w:tcPr>
          <w:p w14:paraId="5CFF2065">
            <w:pPr>
              <w:spacing w:after="0" w:line="240" w:lineRule="exact"/>
              <w:jc w:val="left"/>
            </w:pPr>
            <w:r>
              <w:rPr>
                <w:rFonts w:ascii="Times New Roman" w:hAnsi="Times New Roman" w:eastAsia="宋体"/>
                <w:b w:val="0"/>
                <w:sz w:val="17"/>
              </w:rPr>
              <w:t>纵向临床资料、认知量表、MRI、FDG-PET、Amyloid/Tau PET、CSF、血液标志物、遗传数据</w:t>
            </w:r>
          </w:p>
        </w:tc>
        <w:tc>
          <w:tcPr>
            <w:tcW w:w="2154" w:type="dxa"/>
            <w:tcMar>
              <w:top w:w="70" w:type="dxa"/>
              <w:left w:w="70" w:type="dxa"/>
              <w:bottom w:w="70" w:type="dxa"/>
              <w:right w:w="70" w:type="dxa"/>
            </w:tcMar>
            <w:vAlign w:val="center"/>
          </w:tcPr>
          <w:p w14:paraId="1513A01A">
            <w:pPr>
              <w:spacing w:after="0" w:line="240" w:lineRule="exact"/>
              <w:jc w:val="left"/>
            </w:pPr>
            <w:r>
              <w:rPr>
                <w:rFonts w:ascii="Times New Roman" w:hAnsi="Times New Roman" w:eastAsia="宋体"/>
                <w:b w:val="0"/>
                <w:sz w:val="17"/>
              </w:rPr>
              <w:t>ADAgent、E2AD、Xue 等研究的重要训练或测试来源</w:t>
            </w:r>
          </w:p>
        </w:tc>
        <w:tc>
          <w:tcPr>
            <w:tcW w:w="2154" w:type="dxa"/>
            <w:tcMar>
              <w:top w:w="70" w:type="dxa"/>
              <w:left w:w="70" w:type="dxa"/>
              <w:bottom w:w="70" w:type="dxa"/>
              <w:right w:w="70" w:type="dxa"/>
            </w:tcMar>
            <w:vAlign w:val="center"/>
          </w:tcPr>
          <w:p w14:paraId="6855A97B">
            <w:pPr>
              <w:spacing w:after="0" w:line="240" w:lineRule="exact"/>
              <w:jc w:val="left"/>
            </w:pPr>
            <w:r>
              <w:rPr>
                <w:rFonts w:ascii="Times New Roman" w:hAnsi="Times New Roman" w:eastAsia="宋体"/>
                <w:b w:val="0"/>
                <w:sz w:val="17"/>
              </w:rPr>
              <w:t>适合验证 MRI/PET 工具调用、多模态缺失和 AD/MCI 场景</w:t>
            </w:r>
          </w:p>
        </w:tc>
      </w:tr>
      <w:tr w14:paraId="7F52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Mar>
              <w:top w:w="70" w:type="dxa"/>
              <w:left w:w="70" w:type="dxa"/>
              <w:bottom w:w="70" w:type="dxa"/>
              <w:right w:w="70" w:type="dxa"/>
            </w:tcMar>
            <w:vAlign w:val="center"/>
          </w:tcPr>
          <w:p w14:paraId="21D39D5E">
            <w:pPr>
              <w:spacing w:after="0" w:line="240" w:lineRule="exact"/>
              <w:jc w:val="left"/>
            </w:pPr>
            <w:r>
              <w:rPr>
                <w:rFonts w:ascii="Times New Roman" w:hAnsi="Times New Roman" w:eastAsia="宋体"/>
                <w:b w:val="0"/>
                <w:sz w:val="17"/>
              </w:rPr>
              <w:t>NACC</w:t>
            </w:r>
          </w:p>
        </w:tc>
        <w:tc>
          <w:tcPr>
            <w:tcW w:w="850" w:type="dxa"/>
            <w:tcMar>
              <w:top w:w="70" w:type="dxa"/>
              <w:left w:w="70" w:type="dxa"/>
              <w:bottom w:w="70" w:type="dxa"/>
              <w:right w:w="70" w:type="dxa"/>
            </w:tcMar>
            <w:vAlign w:val="center"/>
          </w:tcPr>
          <w:p w14:paraId="421C7EC1">
            <w:pPr>
              <w:spacing w:after="0" w:line="240" w:lineRule="exact"/>
              <w:jc w:val="center"/>
            </w:pPr>
            <w:r>
              <w:rPr>
                <w:rFonts w:ascii="Times New Roman" w:hAnsi="Times New Roman" w:eastAsia="宋体"/>
                <w:b w:val="0"/>
                <w:sz w:val="17"/>
              </w:rPr>
              <w:t>需申请</w:t>
            </w:r>
          </w:p>
        </w:tc>
        <w:tc>
          <w:tcPr>
            <w:tcW w:w="1417" w:type="dxa"/>
            <w:tcMar>
              <w:top w:w="70" w:type="dxa"/>
              <w:left w:w="70" w:type="dxa"/>
              <w:bottom w:w="70" w:type="dxa"/>
              <w:right w:w="70" w:type="dxa"/>
            </w:tcMar>
            <w:vAlign w:val="center"/>
          </w:tcPr>
          <w:p w14:paraId="23781896">
            <w:pPr>
              <w:spacing w:after="0" w:line="240" w:lineRule="exact"/>
              <w:jc w:val="left"/>
            </w:pPr>
            <w:r>
              <w:rPr>
                <w:rFonts w:ascii="Times New Roman" w:hAnsi="Times New Roman" w:eastAsia="宋体"/>
                <w:b w:val="0"/>
                <w:sz w:val="17"/>
              </w:rPr>
              <w:t>美国 ADRC 纵向认知老化和痴呆队列</w:t>
            </w:r>
          </w:p>
        </w:tc>
        <w:tc>
          <w:tcPr>
            <w:tcW w:w="2438" w:type="dxa"/>
            <w:tcMar>
              <w:top w:w="70" w:type="dxa"/>
              <w:left w:w="70" w:type="dxa"/>
              <w:bottom w:w="70" w:type="dxa"/>
              <w:right w:w="70" w:type="dxa"/>
            </w:tcMar>
            <w:vAlign w:val="center"/>
          </w:tcPr>
          <w:p w14:paraId="382F301F">
            <w:pPr>
              <w:spacing w:after="0" w:line="240" w:lineRule="exact"/>
              <w:jc w:val="left"/>
            </w:pPr>
            <w:r>
              <w:rPr>
                <w:rFonts w:ascii="Times New Roman" w:hAnsi="Times New Roman" w:eastAsia="宋体"/>
                <w:b w:val="0"/>
                <w:sz w:val="17"/>
              </w:rPr>
              <w:t>UDS 年度随访、诊断、量表、功能评估、神经病理、遗传、CSF、MRI/PET 子集</w:t>
            </w:r>
          </w:p>
        </w:tc>
        <w:tc>
          <w:tcPr>
            <w:tcW w:w="2154" w:type="dxa"/>
            <w:tcMar>
              <w:top w:w="70" w:type="dxa"/>
              <w:left w:w="70" w:type="dxa"/>
              <w:bottom w:w="70" w:type="dxa"/>
              <w:right w:w="70" w:type="dxa"/>
            </w:tcMar>
            <w:vAlign w:val="center"/>
          </w:tcPr>
          <w:p w14:paraId="4829BE4B">
            <w:pPr>
              <w:spacing w:after="0" w:line="240" w:lineRule="exact"/>
              <w:jc w:val="left"/>
            </w:pPr>
            <w:r>
              <w:rPr>
                <w:rFonts w:ascii="Times New Roman" w:hAnsi="Times New Roman" w:eastAsia="宋体"/>
                <w:b w:val="0"/>
                <w:sz w:val="17"/>
              </w:rPr>
              <w:t>Xue 研究的主要训练/测试来源，E2AD 外部验证来源</w:t>
            </w:r>
          </w:p>
        </w:tc>
        <w:tc>
          <w:tcPr>
            <w:tcW w:w="2154" w:type="dxa"/>
            <w:tcMar>
              <w:top w:w="70" w:type="dxa"/>
              <w:left w:w="70" w:type="dxa"/>
              <w:bottom w:w="70" w:type="dxa"/>
              <w:right w:w="70" w:type="dxa"/>
            </w:tcMar>
            <w:vAlign w:val="center"/>
          </w:tcPr>
          <w:p w14:paraId="272B3542">
            <w:pPr>
              <w:spacing w:after="0" w:line="240" w:lineRule="exact"/>
              <w:jc w:val="left"/>
            </w:pPr>
            <w:r>
              <w:rPr>
                <w:rFonts w:ascii="Times New Roman" w:hAnsi="Times New Roman" w:eastAsia="宋体"/>
                <w:b w:val="0"/>
                <w:sz w:val="17"/>
              </w:rPr>
              <w:t>适合构建多病因鉴别和临床变量证据表</w:t>
            </w:r>
          </w:p>
        </w:tc>
      </w:tr>
      <w:tr w14:paraId="0900D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Mar>
              <w:top w:w="70" w:type="dxa"/>
              <w:left w:w="70" w:type="dxa"/>
              <w:bottom w:w="70" w:type="dxa"/>
              <w:right w:w="70" w:type="dxa"/>
            </w:tcMar>
            <w:vAlign w:val="center"/>
          </w:tcPr>
          <w:p w14:paraId="7464BEE7">
            <w:pPr>
              <w:spacing w:after="0" w:line="240" w:lineRule="exact"/>
              <w:jc w:val="left"/>
            </w:pPr>
            <w:r>
              <w:rPr>
                <w:rFonts w:ascii="Times New Roman" w:hAnsi="Times New Roman" w:eastAsia="宋体"/>
                <w:b w:val="0"/>
                <w:sz w:val="17"/>
              </w:rPr>
              <w:t>AIBL</w:t>
            </w:r>
          </w:p>
        </w:tc>
        <w:tc>
          <w:tcPr>
            <w:tcW w:w="850" w:type="dxa"/>
            <w:tcMar>
              <w:top w:w="70" w:type="dxa"/>
              <w:left w:w="70" w:type="dxa"/>
              <w:bottom w:w="70" w:type="dxa"/>
              <w:right w:w="70" w:type="dxa"/>
            </w:tcMar>
            <w:vAlign w:val="center"/>
          </w:tcPr>
          <w:p w14:paraId="32A82457">
            <w:pPr>
              <w:spacing w:after="0" w:line="240" w:lineRule="exact"/>
              <w:jc w:val="center"/>
            </w:pPr>
            <w:r>
              <w:rPr>
                <w:rFonts w:ascii="Times New Roman" w:hAnsi="Times New Roman" w:eastAsia="宋体"/>
                <w:b w:val="0"/>
                <w:sz w:val="17"/>
              </w:rPr>
              <w:t>需申请/通过 ADNI-LONI 等渠道</w:t>
            </w:r>
          </w:p>
        </w:tc>
        <w:tc>
          <w:tcPr>
            <w:tcW w:w="1417" w:type="dxa"/>
            <w:tcMar>
              <w:top w:w="70" w:type="dxa"/>
              <w:left w:w="70" w:type="dxa"/>
              <w:bottom w:w="70" w:type="dxa"/>
              <w:right w:w="70" w:type="dxa"/>
            </w:tcMar>
            <w:vAlign w:val="center"/>
          </w:tcPr>
          <w:p w14:paraId="4696A024">
            <w:pPr>
              <w:spacing w:after="0" w:line="240" w:lineRule="exact"/>
              <w:jc w:val="left"/>
            </w:pPr>
            <w:r>
              <w:rPr>
                <w:rFonts w:ascii="Times New Roman" w:hAnsi="Times New Roman" w:eastAsia="宋体"/>
                <w:b w:val="0"/>
                <w:sz w:val="17"/>
              </w:rPr>
              <w:t>澳大利亚老年人、MCI、AD</w:t>
            </w:r>
          </w:p>
        </w:tc>
        <w:tc>
          <w:tcPr>
            <w:tcW w:w="2438" w:type="dxa"/>
            <w:tcMar>
              <w:top w:w="70" w:type="dxa"/>
              <w:left w:w="70" w:type="dxa"/>
              <w:bottom w:w="70" w:type="dxa"/>
              <w:right w:w="70" w:type="dxa"/>
            </w:tcMar>
            <w:vAlign w:val="center"/>
          </w:tcPr>
          <w:p w14:paraId="42F00808">
            <w:pPr>
              <w:spacing w:after="0" w:line="240" w:lineRule="exact"/>
              <w:jc w:val="left"/>
            </w:pPr>
            <w:r>
              <w:rPr>
                <w:rFonts w:ascii="Times New Roman" w:hAnsi="Times New Roman" w:eastAsia="宋体"/>
                <w:b w:val="0"/>
                <w:sz w:val="17"/>
              </w:rPr>
              <w:t>认知评估、MRI、PET、生活方式、血液及部分生物标志物</w:t>
            </w:r>
          </w:p>
        </w:tc>
        <w:tc>
          <w:tcPr>
            <w:tcW w:w="2154" w:type="dxa"/>
            <w:tcMar>
              <w:top w:w="70" w:type="dxa"/>
              <w:left w:w="70" w:type="dxa"/>
              <w:bottom w:w="70" w:type="dxa"/>
              <w:right w:w="70" w:type="dxa"/>
            </w:tcMar>
            <w:vAlign w:val="center"/>
          </w:tcPr>
          <w:p w14:paraId="2DAD9B5E">
            <w:pPr>
              <w:spacing w:after="0" w:line="240" w:lineRule="exact"/>
              <w:jc w:val="left"/>
            </w:pPr>
            <w:r>
              <w:rPr>
                <w:rFonts w:ascii="Times New Roman" w:hAnsi="Times New Roman" w:eastAsia="宋体"/>
                <w:b w:val="0"/>
                <w:sz w:val="17"/>
              </w:rPr>
              <w:t>E2AD 外部验证，常用于 AD 影像模型泛化评估</w:t>
            </w:r>
          </w:p>
        </w:tc>
        <w:tc>
          <w:tcPr>
            <w:tcW w:w="2154" w:type="dxa"/>
            <w:tcMar>
              <w:top w:w="70" w:type="dxa"/>
              <w:left w:w="70" w:type="dxa"/>
              <w:bottom w:w="70" w:type="dxa"/>
              <w:right w:w="70" w:type="dxa"/>
            </w:tcMar>
            <w:vAlign w:val="center"/>
          </w:tcPr>
          <w:p w14:paraId="2C67C1C1">
            <w:pPr>
              <w:spacing w:after="0" w:line="240" w:lineRule="exact"/>
              <w:jc w:val="left"/>
            </w:pPr>
            <w:r>
              <w:rPr>
                <w:rFonts w:ascii="Times New Roman" w:hAnsi="Times New Roman" w:eastAsia="宋体"/>
                <w:b w:val="0"/>
                <w:sz w:val="17"/>
              </w:rPr>
              <w:t>适合做跨国家/跨队列外部验证</w:t>
            </w:r>
          </w:p>
        </w:tc>
      </w:tr>
      <w:tr w14:paraId="5A6C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Mar>
              <w:top w:w="70" w:type="dxa"/>
              <w:left w:w="70" w:type="dxa"/>
              <w:bottom w:w="70" w:type="dxa"/>
              <w:right w:w="70" w:type="dxa"/>
            </w:tcMar>
            <w:vAlign w:val="center"/>
          </w:tcPr>
          <w:p w14:paraId="7EF26E56">
            <w:pPr>
              <w:spacing w:after="0" w:line="240" w:lineRule="exact"/>
              <w:jc w:val="left"/>
            </w:pPr>
            <w:r>
              <w:rPr>
                <w:rFonts w:ascii="Times New Roman" w:hAnsi="Times New Roman" w:eastAsia="宋体"/>
                <w:b w:val="0"/>
                <w:sz w:val="17"/>
              </w:rPr>
              <w:t>OASIS-3</w:t>
            </w:r>
          </w:p>
        </w:tc>
        <w:tc>
          <w:tcPr>
            <w:tcW w:w="850" w:type="dxa"/>
            <w:tcMar>
              <w:top w:w="70" w:type="dxa"/>
              <w:left w:w="70" w:type="dxa"/>
              <w:bottom w:w="70" w:type="dxa"/>
              <w:right w:w="70" w:type="dxa"/>
            </w:tcMar>
            <w:vAlign w:val="center"/>
          </w:tcPr>
          <w:p w14:paraId="161EA9E7">
            <w:pPr>
              <w:spacing w:after="0" w:line="240" w:lineRule="exact"/>
              <w:jc w:val="center"/>
            </w:pPr>
            <w:r>
              <w:rPr>
                <w:rFonts w:ascii="Times New Roman" w:hAnsi="Times New Roman" w:eastAsia="宋体"/>
                <w:b w:val="0"/>
                <w:sz w:val="17"/>
              </w:rPr>
              <w:t>公开申请</w:t>
            </w:r>
          </w:p>
        </w:tc>
        <w:tc>
          <w:tcPr>
            <w:tcW w:w="1417" w:type="dxa"/>
            <w:tcMar>
              <w:top w:w="70" w:type="dxa"/>
              <w:left w:w="70" w:type="dxa"/>
              <w:bottom w:w="70" w:type="dxa"/>
              <w:right w:w="70" w:type="dxa"/>
            </w:tcMar>
            <w:vAlign w:val="center"/>
          </w:tcPr>
          <w:p w14:paraId="5FA3C7E7">
            <w:pPr>
              <w:spacing w:after="0" w:line="240" w:lineRule="exact"/>
              <w:jc w:val="left"/>
            </w:pPr>
            <w:r>
              <w:rPr>
                <w:rFonts w:ascii="Times New Roman" w:hAnsi="Times New Roman" w:eastAsia="宋体"/>
                <w:b w:val="0"/>
                <w:sz w:val="17"/>
              </w:rPr>
              <w:t>认知正常、MCI、AD/痴呆相关老年人</w:t>
            </w:r>
          </w:p>
        </w:tc>
        <w:tc>
          <w:tcPr>
            <w:tcW w:w="2438" w:type="dxa"/>
            <w:tcMar>
              <w:top w:w="70" w:type="dxa"/>
              <w:left w:w="70" w:type="dxa"/>
              <w:bottom w:w="70" w:type="dxa"/>
              <w:right w:w="70" w:type="dxa"/>
            </w:tcMar>
            <w:vAlign w:val="center"/>
          </w:tcPr>
          <w:p w14:paraId="2AD420D1">
            <w:pPr>
              <w:spacing w:after="0" w:line="240" w:lineRule="exact"/>
              <w:jc w:val="left"/>
            </w:pPr>
            <w:r>
              <w:rPr>
                <w:rFonts w:ascii="Times New Roman" w:hAnsi="Times New Roman" w:eastAsia="宋体"/>
                <w:b w:val="0"/>
                <w:sz w:val="17"/>
              </w:rPr>
              <w:t>纵向 MRI、PET、临床诊断、认知量表和人口学资料</w:t>
            </w:r>
          </w:p>
        </w:tc>
        <w:tc>
          <w:tcPr>
            <w:tcW w:w="2154" w:type="dxa"/>
            <w:tcMar>
              <w:top w:w="70" w:type="dxa"/>
              <w:left w:w="70" w:type="dxa"/>
              <w:bottom w:w="70" w:type="dxa"/>
              <w:right w:w="70" w:type="dxa"/>
            </w:tcMar>
            <w:vAlign w:val="center"/>
          </w:tcPr>
          <w:p w14:paraId="5123C49D">
            <w:pPr>
              <w:spacing w:after="0" w:line="240" w:lineRule="exact"/>
              <w:jc w:val="left"/>
            </w:pPr>
            <w:r>
              <w:rPr>
                <w:rFonts w:ascii="Times New Roman" w:hAnsi="Times New Roman" w:eastAsia="宋体"/>
                <w:b w:val="0"/>
                <w:sz w:val="17"/>
              </w:rPr>
              <w:t>Xue 等多队列研究使用，也常用于影像诊断基线</w:t>
            </w:r>
          </w:p>
        </w:tc>
        <w:tc>
          <w:tcPr>
            <w:tcW w:w="2154" w:type="dxa"/>
            <w:tcMar>
              <w:top w:w="70" w:type="dxa"/>
              <w:left w:w="70" w:type="dxa"/>
              <w:bottom w:w="70" w:type="dxa"/>
              <w:right w:w="70" w:type="dxa"/>
            </w:tcMar>
            <w:vAlign w:val="center"/>
          </w:tcPr>
          <w:p w14:paraId="4680DFDC">
            <w:pPr>
              <w:spacing w:after="0" w:line="240" w:lineRule="exact"/>
              <w:jc w:val="left"/>
            </w:pPr>
            <w:r>
              <w:rPr>
                <w:rFonts w:ascii="Times New Roman" w:hAnsi="Times New Roman" w:eastAsia="宋体"/>
                <w:b w:val="0"/>
                <w:sz w:val="17"/>
              </w:rPr>
              <w:t>适合做影像与认知量表结合的轻量验证</w:t>
            </w:r>
          </w:p>
        </w:tc>
      </w:tr>
      <w:tr w14:paraId="48625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Mar>
              <w:top w:w="70" w:type="dxa"/>
              <w:left w:w="70" w:type="dxa"/>
              <w:bottom w:w="70" w:type="dxa"/>
              <w:right w:w="70" w:type="dxa"/>
            </w:tcMar>
            <w:vAlign w:val="center"/>
          </w:tcPr>
          <w:p w14:paraId="683F737B">
            <w:pPr>
              <w:spacing w:after="0" w:line="240" w:lineRule="exact"/>
              <w:jc w:val="left"/>
            </w:pPr>
            <w:r>
              <w:rPr>
                <w:rFonts w:ascii="Times New Roman" w:hAnsi="Times New Roman" w:eastAsia="宋体"/>
                <w:b w:val="0"/>
                <w:sz w:val="17"/>
              </w:rPr>
              <w:t>PPMI</w:t>
            </w:r>
          </w:p>
        </w:tc>
        <w:tc>
          <w:tcPr>
            <w:tcW w:w="850" w:type="dxa"/>
            <w:tcMar>
              <w:top w:w="70" w:type="dxa"/>
              <w:left w:w="70" w:type="dxa"/>
              <w:bottom w:w="70" w:type="dxa"/>
              <w:right w:w="70" w:type="dxa"/>
            </w:tcMar>
            <w:vAlign w:val="center"/>
          </w:tcPr>
          <w:p w14:paraId="46B58C09">
            <w:pPr>
              <w:spacing w:after="0" w:line="240" w:lineRule="exact"/>
              <w:jc w:val="center"/>
            </w:pPr>
            <w:r>
              <w:rPr>
                <w:rFonts w:ascii="Times New Roman" w:hAnsi="Times New Roman" w:eastAsia="宋体"/>
                <w:b w:val="0"/>
                <w:sz w:val="17"/>
              </w:rPr>
              <w:t>需注册申请</w:t>
            </w:r>
          </w:p>
        </w:tc>
        <w:tc>
          <w:tcPr>
            <w:tcW w:w="1417" w:type="dxa"/>
            <w:tcMar>
              <w:top w:w="70" w:type="dxa"/>
              <w:left w:w="70" w:type="dxa"/>
              <w:bottom w:w="70" w:type="dxa"/>
              <w:right w:w="70" w:type="dxa"/>
            </w:tcMar>
            <w:vAlign w:val="center"/>
          </w:tcPr>
          <w:p w14:paraId="4260CC79">
            <w:pPr>
              <w:spacing w:after="0" w:line="240" w:lineRule="exact"/>
              <w:jc w:val="left"/>
            </w:pPr>
            <w:r>
              <w:rPr>
                <w:rFonts w:ascii="Times New Roman" w:hAnsi="Times New Roman" w:eastAsia="宋体"/>
                <w:b w:val="0"/>
                <w:sz w:val="17"/>
              </w:rPr>
              <w:t>PD、前驱 PD、健康对照及相关人群</w:t>
            </w:r>
          </w:p>
        </w:tc>
        <w:tc>
          <w:tcPr>
            <w:tcW w:w="2438" w:type="dxa"/>
            <w:tcMar>
              <w:top w:w="70" w:type="dxa"/>
              <w:left w:w="70" w:type="dxa"/>
              <w:bottom w:w="70" w:type="dxa"/>
              <w:right w:w="70" w:type="dxa"/>
            </w:tcMar>
            <w:vAlign w:val="center"/>
          </w:tcPr>
          <w:p w14:paraId="17788DFC">
            <w:pPr>
              <w:spacing w:after="0" w:line="240" w:lineRule="exact"/>
              <w:jc w:val="left"/>
            </w:pPr>
            <w:r>
              <w:rPr>
                <w:rFonts w:ascii="Times New Roman" w:hAnsi="Times New Roman" w:eastAsia="宋体"/>
                <w:b w:val="0"/>
                <w:sz w:val="17"/>
              </w:rPr>
              <w:t>纵向临床量表、运动/非运动评估、DaTSCAN、MRI、遗传、组学、生物样本、数字传感器</w:t>
            </w:r>
          </w:p>
        </w:tc>
        <w:tc>
          <w:tcPr>
            <w:tcW w:w="2154" w:type="dxa"/>
            <w:tcMar>
              <w:top w:w="70" w:type="dxa"/>
              <w:left w:w="70" w:type="dxa"/>
              <w:bottom w:w="70" w:type="dxa"/>
              <w:right w:w="70" w:type="dxa"/>
            </w:tcMar>
            <w:vAlign w:val="center"/>
          </w:tcPr>
          <w:p w14:paraId="1347D50F">
            <w:pPr>
              <w:spacing w:after="0" w:line="240" w:lineRule="exact"/>
              <w:jc w:val="left"/>
            </w:pPr>
            <w:r>
              <w:rPr>
                <w:rFonts w:ascii="Times New Roman" w:hAnsi="Times New Roman" w:eastAsia="宋体"/>
                <w:b w:val="0"/>
                <w:sz w:val="17"/>
              </w:rPr>
              <w:t>Xue 等研究纳入 PD 相关病因信息，PD AI 研究常用</w:t>
            </w:r>
          </w:p>
        </w:tc>
        <w:tc>
          <w:tcPr>
            <w:tcW w:w="2154" w:type="dxa"/>
            <w:tcMar>
              <w:top w:w="70" w:type="dxa"/>
              <w:left w:w="70" w:type="dxa"/>
              <w:bottom w:w="70" w:type="dxa"/>
              <w:right w:w="70" w:type="dxa"/>
            </w:tcMar>
            <w:vAlign w:val="center"/>
          </w:tcPr>
          <w:p w14:paraId="5F34CCEC">
            <w:pPr>
              <w:spacing w:after="0" w:line="240" w:lineRule="exact"/>
              <w:jc w:val="left"/>
            </w:pPr>
            <w:r>
              <w:rPr>
                <w:rFonts w:ascii="Times New Roman" w:hAnsi="Times New Roman" w:eastAsia="宋体"/>
                <w:b w:val="0"/>
                <w:sz w:val="17"/>
              </w:rPr>
              <w:t>适合扩展到帕金森病证据链和非 AD 验证</w:t>
            </w:r>
          </w:p>
        </w:tc>
      </w:tr>
      <w:tr w14:paraId="34F8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Mar>
              <w:top w:w="70" w:type="dxa"/>
              <w:left w:w="70" w:type="dxa"/>
              <w:bottom w:w="70" w:type="dxa"/>
              <w:right w:w="70" w:type="dxa"/>
            </w:tcMar>
            <w:vAlign w:val="center"/>
          </w:tcPr>
          <w:p w14:paraId="7E234AA7">
            <w:pPr>
              <w:spacing w:after="0" w:line="240" w:lineRule="exact"/>
              <w:jc w:val="left"/>
            </w:pPr>
            <w:r>
              <w:rPr>
                <w:rFonts w:ascii="Times New Roman" w:hAnsi="Times New Roman" w:eastAsia="宋体"/>
                <w:b w:val="0"/>
                <w:sz w:val="17"/>
              </w:rPr>
              <w:t>NIFD / 4RTNI</w:t>
            </w:r>
          </w:p>
        </w:tc>
        <w:tc>
          <w:tcPr>
            <w:tcW w:w="850" w:type="dxa"/>
            <w:tcMar>
              <w:top w:w="70" w:type="dxa"/>
              <w:left w:w="70" w:type="dxa"/>
              <w:bottom w:w="70" w:type="dxa"/>
              <w:right w:w="70" w:type="dxa"/>
            </w:tcMar>
            <w:vAlign w:val="center"/>
          </w:tcPr>
          <w:p w14:paraId="0B97A932">
            <w:pPr>
              <w:spacing w:after="0" w:line="240" w:lineRule="exact"/>
              <w:jc w:val="center"/>
            </w:pPr>
            <w:r>
              <w:rPr>
                <w:rFonts w:ascii="Times New Roman" w:hAnsi="Times New Roman" w:eastAsia="宋体"/>
                <w:b w:val="0"/>
                <w:sz w:val="17"/>
              </w:rPr>
              <w:t>多为需申请</w:t>
            </w:r>
          </w:p>
        </w:tc>
        <w:tc>
          <w:tcPr>
            <w:tcW w:w="1417" w:type="dxa"/>
            <w:tcMar>
              <w:top w:w="70" w:type="dxa"/>
              <w:left w:w="70" w:type="dxa"/>
              <w:bottom w:w="70" w:type="dxa"/>
              <w:right w:w="70" w:type="dxa"/>
            </w:tcMar>
            <w:vAlign w:val="center"/>
          </w:tcPr>
          <w:p w14:paraId="5415E972">
            <w:pPr>
              <w:spacing w:after="0" w:line="240" w:lineRule="exact"/>
              <w:jc w:val="left"/>
            </w:pPr>
            <w:r>
              <w:rPr>
                <w:rFonts w:ascii="Times New Roman" w:hAnsi="Times New Roman" w:eastAsia="宋体"/>
                <w:b w:val="0"/>
                <w:sz w:val="17"/>
              </w:rPr>
              <w:t>FTD、PPA、PSP/CBD 等额颞叶和 tau 相关疾病</w:t>
            </w:r>
          </w:p>
        </w:tc>
        <w:tc>
          <w:tcPr>
            <w:tcW w:w="2438" w:type="dxa"/>
            <w:tcMar>
              <w:top w:w="70" w:type="dxa"/>
              <w:left w:w="70" w:type="dxa"/>
              <w:bottom w:w="70" w:type="dxa"/>
              <w:right w:w="70" w:type="dxa"/>
            </w:tcMar>
            <w:vAlign w:val="center"/>
          </w:tcPr>
          <w:p w14:paraId="3D71AC64">
            <w:pPr>
              <w:spacing w:after="0" w:line="240" w:lineRule="exact"/>
              <w:jc w:val="left"/>
            </w:pPr>
            <w:r>
              <w:rPr>
                <w:rFonts w:ascii="Times New Roman" w:hAnsi="Times New Roman" w:eastAsia="宋体"/>
                <w:b w:val="0"/>
                <w:sz w:val="17"/>
              </w:rPr>
              <w:t>临床评估、神经心理、MRI、PET、遗传/生物标志物子集</w:t>
            </w:r>
          </w:p>
        </w:tc>
        <w:tc>
          <w:tcPr>
            <w:tcW w:w="2154" w:type="dxa"/>
            <w:tcMar>
              <w:top w:w="70" w:type="dxa"/>
              <w:left w:w="70" w:type="dxa"/>
              <w:bottom w:w="70" w:type="dxa"/>
              <w:right w:w="70" w:type="dxa"/>
            </w:tcMar>
            <w:vAlign w:val="center"/>
          </w:tcPr>
          <w:p w14:paraId="5541FB6C">
            <w:pPr>
              <w:spacing w:after="0" w:line="240" w:lineRule="exact"/>
              <w:jc w:val="left"/>
            </w:pPr>
            <w:r>
              <w:rPr>
                <w:rFonts w:ascii="Times New Roman" w:hAnsi="Times New Roman" w:eastAsia="宋体"/>
                <w:b w:val="0"/>
                <w:sz w:val="17"/>
              </w:rPr>
              <w:t>Xue 研究用于多病因痴呆鉴别训练</w:t>
            </w:r>
          </w:p>
        </w:tc>
        <w:tc>
          <w:tcPr>
            <w:tcW w:w="2154" w:type="dxa"/>
            <w:tcMar>
              <w:top w:w="70" w:type="dxa"/>
              <w:left w:w="70" w:type="dxa"/>
              <w:bottom w:w="70" w:type="dxa"/>
              <w:right w:w="70" w:type="dxa"/>
            </w:tcMar>
            <w:vAlign w:val="center"/>
          </w:tcPr>
          <w:p w14:paraId="0E582E2E">
            <w:pPr>
              <w:spacing w:after="0" w:line="240" w:lineRule="exact"/>
              <w:jc w:val="left"/>
            </w:pPr>
            <w:r>
              <w:rPr>
                <w:rFonts w:ascii="Times New Roman" w:hAnsi="Times New Roman" w:eastAsia="宋体"/>
                <w:b w:val="0"/>
                <w:sz w:val="17"/>
              </w:rPr>
              <w:t>适合验证非 AD 鉴别诊断，但病例异质性和样本量需注意</w:t>
            </w:r>
          </w:p>
        </w:tc>
      </w:tr>
      <w:tr w14:paraId="69E8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Mar>
              <w:top w:w="70" w:type="dxa"/>
              <w:left w:w="70" w:type="dxa"/>
              <w:bottom w:w="70" w:type="dxa"/>
              <w:right w:w="70" w:type="dxa"/>
            </w:tcMar>
            <w:vAlign w:val="center"/>
          </w:tcPr>
          <w:p w14:paraId="1DF2FC0F">
            <w:pPr>
              <w:spacing w:after="0" w:line="240" w:lineRule="exact"/>
              <w:jc w:val="left"/>
            </w:pPr>
            <w:r>
              <w:rPr>
                <w:rFonts w:ascii="Times New Roman" w:hAnsi="Times New Roman" w:eastAsia="宋体"/>
                <w:b w:val="0"/>
                <w:sz w:val="17"/>
              </w:rPr>
              <w:t>DementiaBank Pitt Corpus</w:t>
            </w:r>
          </w:p>
        </w:tc>
        <w:tc>
          <w:tcPr>
            <w:tcW w:w="850" w:type="dxa"/>
            <w:tcMar>
              <w:top w:w="70" w:type="dxa"/>
              <w:left w:w="70" w:type="dxa"/>
              <w:bottom w:w="70" w:type="dxa"/>
              <w:right w:w="70" w:type="dxa"/>
            </w:tcMar>
            <w:vAlign w:val="center"/>
          </w:tcPr>
          <w:p w14:paraId="45CF5D26">
            <w:pPr>
              <w:spacing w:after="0" w:line="240" w:lineRule="exact"/>
              <w:jc w:val="center"/>
            </w:pPr>
            <w:r>
              <w:rPr>
                <w:rFonts w:ascii="Times New Roman" w:hAnsi="Times New Roman" w:eastAsia="宋体"/>
                <w:b w:val="0"/>
                <w:sz w:val="17"/>
              </w:rPr>
              <w:t>需申请</w:t>
            </w:r>
          </w:p>
        </w:tc>
        <w:tc>
          <w:tcPr>
            <w:tcW w:w="1417" w:type="dxa"/>
            <w:tcMar>
              <w:top w:w="70" w:type="dxa"/>
              <w:left w:w="70" w:type="dxa"/>
              <w:bottom w:w="70" w:type="dxa"/>
              <w:right w:w="70" w:type="dxa"/>
            </w:tcMar>
            <w:vAlign w:val="center"/>
          </w:tcPr>
          <w:p w14:paraId="05E284B0">
            <w:pPr>
              <w:spacing w:after="0" w:line="240" w:lineRule="exact"/>
              <w:jc w:val="left"/>
            </w:pPr>
            <w:r>
              <w:rPr>
                <w:rFonts w:ascii="Times New Roman" w:hAnsi="Times New Roman" w:eastAsia="宋体"/>
                <w:b w:val="0"/>
                <w:sz w:val="17"/>
              </w:rPr>
              <w:t>AD、MCI 或认知正常者语言样本</w:t>
            </w:r>
          </w:p>
        </w:tc>
        <w:tc>
          <w:tcPr>
            <w:tcW w:w="2438" w:type="dxa"/>
            <w:tcMar>
              <w:top w:w="70" w:type="dxa"/>
              <w:left w:w="70" w:type="dxa"/>
              <w:bottom w:w="70" w:type="dxa"/>
              <w:right w:w="70" w:type="dxa"/>
            </w:tcMar>
            <w:vAlign w:val="center"/>
          </w:tcPr>
          <w:p w14:paraId="342CBC8F">
            <w:pPr>
              <w:spacing w:after="0" w:line="240" w:lineRule="exact"/>
              <w:jc w:val="left"/>
            </w:pPr>
            <w:r>
              <w:rPr>
                <w:rFonts w:ascii="Times New Roman" w:hAnsi="Times New Roman" w:eastAsia="宋体"/>
                <w:b w:val="0"/>
                <w:sz w:val="17"/>
              </w:rPr>
              <w:t>Cookie Theft 图片描述、转录文本、部分 MMSE 和纵向语言记录</w:t>
            </w:r>
          </w:p>
        </w:tc>
        <w:tc>
          <w:tcPr>
            <w:tcW w:w="2154" w:type="dxa"/>
            <w:tcMar>
              <w:top w:w="70" w:type="dxa"/>
              <w:left w:w="70" w:type="dxa"/>
              <w:bottom w:w="70" w:type="dxa"/>
              <w:right w:w="70" w:type="dxa"/>
            </w:tcMar>
            <w:vAlign w:val="center"/>
          </w:tcPr>
          <w:p w14:paraId="19D43973">
            <w:pPr>
              <w:spacing w:after="0" w:line="240" w:lineRule="exact"/>
              <w:jc w:val="left"/>
            </w:pPr>
            <w:r>
              <w:rPr>
                <w:rFonts w:ascii="Times New Roman" w:hAnsi="Times New Roman" w:eastAsia="宋体"/>
                <w:b w:val="0"/>
                <w:sz w:val="17"/>
              </w:rPr>
              <w:t>常用于语音/文本认知障碍识别</w:t>
            </w:r>
          </w:p>
        </w:tc>
        <w:tc>
          <w:tcPr>
            <w:tcW w:w="2154" w:type="dxa"/>
            <w:tcMar>
              <w:top w:w="70" w:type="dxa"/>
              <w:left w:w="70" w:type="dxa"/>
              <w:bottom w:w="70" w:type="dxa"/>
              <w:right w:w="70" w:type="dxa"/>
            </w:tcMar>
            <w:vAlign w:val="center"/>
          </w:tcPr>
          <w:p w14:paraId="6AD7120D">
            <w:pPr>
              <w:spacing w:after="0" w:line="240" w:lineRule="exact"/>
              <w:jc w:val="left"/>
            </w:pPr>
            <w:r>
              <w:rPr>
                <w:rFonts w:ascii="Times New Roman" w:hAnsi="Times New Roman" w:eastAsia="宋体"/>
                <w:b w:val="0"/>
                <w:sz w:val="17"/>
              </w:rPr>
              <w:t>适合验证文本 Agent 对语言异常和认知线索的抽取能力</w:t>
            </w:r>
          </w:p>
        </w:tc>
      </w:tr>
      <w:tr w14:paraId="59C1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Mar>
              <w:top w:w="70" w:type="dxa"/>
              <w:left w:w="70" w:type="dxa"/>
              <w:bottom w:w="70" w:type="dxa"/>
              <w:right w:w="70" w:type="dxa"/>
            </w:tcMar>
            <w:vAlign w:val="center"/>
          </w:tcPr>
          <w:p w14:paraId="498D80D0">
            <w:pPr>
              <w:spacing w:after="0" w:line="240" w:lineRule="exact"/>
              <w:jc w:val="left"/>
            </w:pPr>
            <w:r>
              <w:rPr>
                <w:rFonts w:ascii="Times New Roman" w:hAnsi="Times New Roman" w:eastAsia="宋体"/>
                <w:b w:val="0"/>
                <w:sz w:val="17"/>
              </w:rPr>
              <w:t>UK Biobank</w:t>
            </w:r>
          </w:p>
        </w:tc>
        <w:tc>
          <w:tcPr>
            <w:tcW w:w="850" w:type="dxa"/>
            <w:tcMar>
              <w:top w:w="70" w:type="dxa"/>
              <w:left w:w="70" w:type="dxa"/>
              <w:bottom w:w="70" w:type="dxa"/>
              <w:right w:w="70" w:type="dxa"/>
            </w:tcMar>
            <w:vAlign w:val="center"/>
          </w:tcPr>
          <w:p w14:paraId="6ED229B6">
            <w:pPr>
              <w:spacing w:after="0" w:line="240" w:lineRule="exact"/>
              <w:jc w:val="center"/>
            </w:pPr>
            <w:r>
              <w:rPr>
                <w:rFonts w:ascii="Times New Roman" w:hAnsi="Times New Roman" w:eastAsia="宋体"/>
                <w:b w:val="0"/>
                <w:sz w:val="17"/>
              </w:rPr>
              <w:t>需申请</w:t>
            </w:r>
          </w:p>
        </w:tc>
        <w:tc>
          <w:tcPr>
            <w:tcW w:w="1417" w:type="dxa"/>
            <w:tcMar>
              <w:top w:w="70" w:type="dxa"/>
              <w:left w:w="70" w:type="dxa"/>
              <w:bottom w:w="70" w:type="dxa"/>
              <w:right w:w="70" w:type="dxa"/>
            </w:tcMar>
            <w:vAlign w:val="center"/>
          </w:tcPr>
          <w:p w14:paraId="3123B82E">
            <w:pPr>
              <w:spacing w:after="0" w:line="240" w:lineRule="exact"/>
              <w:jc w:val="left"/>
            </w:pPr>
            <w:r>
              <w:rPr>
                <w:rFonts w:ascii="Times New Roman" w:hAnsi="Times New Roman" w:eastAsia="宋体"/>
                <w:b w:val="0"/>
                <w:sz w:val="17"/>
              </w:rPr>
              <w:t>大规模一般人群，含部分神经退行性疾病结局</w:t>
            </w:r>
          </w:p>
        </w:tc>
        <w:tc>
          <w:tcPr>
            <w:tcW w:w="2438" w:type="dxa"/>
            <w:tcMar>
              <w:top w:w="70" w:type="dxa"/>
              <w:left w:w="70" w:type="dxa"/>
              <w:bottom w:w="70" w:type="dxa"/>
              <w:right w:w="70" w:type="dxa"/>
            </w:tcMar>
            <w:vAlign w:val="center"/>
          </w:tcPr>
          <w:p w14:paraId="6178F2EA">
            <w:pPr>
              <w:spacing w:after="0" w:line="240" w:lineRule="exact"/>
              <w:jc w:val="left"/>
            </w:pPr>
            <w:r>
              <w:rPr>
                <w:rFonts w:ascii="Times New Roman" w:hAnsi="Times New Roman" w:eastAsia="宋体"/>
                <w:b w:val="0"/>
                <w:sz w:val="17"/>
              </w:rPr>
              <w:t>脑 MRI、遗传、生活方式、认知测试、健康记录链接、生物样本</w:t>
            </w:r>
          </w:p>
        </w:tc>
        <w:tc>
          <w:tcPr>
            <w:tcW w:w="2154" w:type="dxa"/>
            <w:tcMar>
              <w:top w:w="70" w:type="dxa"/>
              <w:left w:w="70" w:type="dxa"/>
              <w:bottom w:w="70" w:type="dxa"/>
              <w:right w:w="70" w:type="dxa"/>
            </w:tcMar>
            <w:vAlign w:val="center"/>
          </w:tcPr>
          <w:p w14:paraId="3AF8F2E8">
            <w:pPr>
              <w:spacing w:after="0" w:line="240" w:lineRule="exact"/>
              <w:jc w:val="left"/>
            </w:pPr>
            <w:r>
              <w:rPr>
                <w:rFonts w:ascii="Times New Roman" w:hAnsi="Times New Roman" w:eastAsia="宋体"/>
                <w:b w:val="0"/>
                <w:sz w:val="17"/>
              </w:rPr>
              <w:t>常用于风险因素、影像遗传和人群泛化研究</w:t>
            </w:r>
          </w:p>
        </w:tc>
        <w:tc>
          <w:tcPr>
            <w:tcW w:w="2154" w:type="dxa"/>
            <w:tcMar>
              <w:top w:w="70" w:type="dxa"/>
              <w:left w:w="70" w:type="dxa"/>
              <w:bottom w:w="70" w:type="dxa"/>
              <w:right w:w="70" w:type="dxa"/>
            </w:tcMar>
            <w:vAlign w:val="center"/>
          </w:tcPr>
          <w:p w14:paraId="17AFFBB6">
            <w:pPr>
              <w:spacing w:after="0" w:line="240" w:lineRule="exact"/>
              <w:jc w:val="left"/>
            </w:pPr>
            <w:r>
              <w:rPr>
                <w:rFonts w:ascii="Times New Roman" w:hAnsi="Times New Roman" w:eastAsia="宋体"/>
                <w:b w:val="0"/>
                <w:sz w:val="17"/>
              </w:rPr>
              <w:t>适合做大样本人群外部验证或风险分层，但诊断深度有限</w:t>
            </w:r>
          </w:p>
        </w:tc>
      </w:tr>
      <w:tr w14:paraId="0066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Mar>
              <w:top w:w="70" w:type="dxa"/>
              <w:left w:w="70" w:type="dxa"/>
              <w:bottom w:w="70" w:type="dxa"/>
              <w:right w:w="70" w:type="dxa"/>
            </w:tcMar>
            <w:vAlign w:val="center"/>
          </w:tcPr>
          <w:p w14:paraId="0A1BC6AC">
            <w:pPr>
              <w:spacing w:after="0" w:line="240" w:lineRule="exact"/>
              <w:jc w:val="left"/>
            </w:pPr>
            <w:r>
              <w:rPr>
                <w:rFonts w:ascii="Times New Roman" w:hAnsi="Times New Roman" w:eastAsia="宋体"/>
                <w:b w:val="0"/>
                <w:sz w:val="17"/>
              </w:rPr>
              <w:t>VHA EHR</w:t>
            </w:r>
          </w:p>
        </w:tc>
        <w:tc>
          <w:tcPr>
            <w:tcW w:w="850" w:type="dxa"/>
            <w:tcMar>
              <w:top w:w="70" w:type="dxa"/>
              <w:left w:w="70" w:type="dxa"/>
              <w:bottom w:w="70" w:type="dxa"/>
              <w:right w:w="70" w:type="dxa"/>
            </w:tcMar>
            <w:vAlign w:val="center"/>
          </w:tcPr>
          <w:p w14:paraId="7FBDA3E1">
            <w:pPr>
              <w:spacing w:after="0" w:line="240" w:lineRule="exact"/>
              <w:jc w:val="center"/>
            </w:pPr>
            <w:r>
              <w:rPr>
                <w:rFonts w:ascii="Times New Roman" w:hAnsi="Times New Roman" w:eastAsia="宋体"/>
                <w:b w:val="0"/>
                <w:sz w:val="17"/>
              </w:rPr>
              <w:t>非一般公开</w:t>
            </w:r>
          </w:p>
        </w:tc>
        <w:tc>
          <w:tcPr>
            <w:tcW w:w="1417" w:type="dxa"/>
            <w:tcMar>
              <w:top w:w="70" w:type="dxa"/>
              <w:left w:w="70" w:type="dxa"/>
              <w:bottom w:w="70" w:type="dxa"/>
              <w:right w:w="70" w:type="dxa"/>
            </w:tcMar>
            <w:vAlign w:val="center"/>
          </w:tcPr>
          <w:p w14:paraId="6EB091B9">
            <w:pPr>
              <w:spacing w:after="0" w:line="240" w:lineRule="exact"/>
              <w:jc w:val="left"/>
            </w:pPr>
            <w:r>
              <w:rPr>
                <w:rFonts w:ascii="Times New Roman" w:hAnsi="Times New Roman" w:eastAsia="宋体"/>
                <w:b w:val="0"/>
                <w:sz w:val="17"/>
              </w:rPr>
              <w:t>美国退伍军人医疗系统患者</w:t>
            </w:r>
          </w:p>
        </w:tc>
        <w:tc>
          <w:tcPr>
            <w:tcW w:w="2438" w:type="dxa"/>
            <w:tcMar>
              <w:top w:w="70" w:type="dxa"/>
              <w:left w:w="70" w:type="dxa"/>
              <w:bottom w:w="70" w:type="dxa"/>
              <w:right w:w="70" w:type="dxa"/>
            </w:tcMar>
            <w:vAlign w:val="center"/>
          </w:tcPr>
          <w:p w14:paraId="32E2EBDE">
            <w:pPr>
              <w:spacing w:after="0" w:line="240" w:lineRule="exact"/>
              <w:jc w:val="left"/>
            </w:pPr>
            <w:r>
              <w:rPr>
                <w:rFonts w:ascii="Times New Roman" w:hAnsi="Times New Roman" w:eastAsia="宋体"/>
                <w:b w:val="0"/>
                <w:sz w:val="17"/>
              </w:rPr>
              <w:t>纵向 EHR notes、ICD、用药、实验室和临床记录</w:t>
            </w:r>
          </w:p>
        </w:tc>
        <w:tc>
          <w:tcPr>
            <w:tcW w:w="2154" w:type="dxa"/>
            <w:tcMar>
              <w:top w:w="70" w:type="dxa"/>
              <w:left w:w="70" w:type="dxa"/>
              <w:bottom w:w="70" w:type="dxa"/>
              <w:right w:w="70" w:type="dxa"/>
            </w:tcMar>
            <w:vAlign w:val="center"/>
          </w:tcPr>
          <w:p w14:paraId="0A4C79EF">
            <w:pPr>
              <w:spacing w:after="0" w:line="240" w:lineRule="exact"/>
              <w:jc w:val="left"/>
            </w:pPr>
            <w:r>
              <w:rPr>
                <w:rFonts w:ascii="Times New Roman" w:hAnsi="Times New Roman" w:eastAsia="宋体"/>
                <w:b w:val="0"/>
                <w:sz w:val="17"/>
              </w:rPr>
              <w:t>CARE-AD 的核心数据来源</w:t>
            </w:r>
          </w:p>
        </w:tc>
        <w:tc>
          <w:tcPr>
            <w:tcW w:w="2154" w:type="dxa"/>
            <w:tcMar>
              <w:top w:w="70" w:type="dxa"/>
              <w:left w:w="70" w:type="dxa"/>
              <w:bottom w:w="70" w:type="dxa"/>
              <w:right w:w="70" w:type="dxa"/>
            </w:tcMar>
            <w:vAlign w:val="center"/>
          </w:tcPr>
          <w:p w14:paraId="79A33906">
            <w:pPr>
              <w:spacing w:after="0" w:line="240" w:lineRule="exact"/>
              <w:jc w:val="left"/>
            </w:pPr>
            <w:r>
              <w:rPr>
                <w:rFonts w:ascii="Times New Roman" w:hAnsi="Times New Roman" w:eastAsia="宋体"/>
                <w:b w:val="0"/>
                <w:sz w:val="17"/>
              </w:rPr>
              <w:t>适合说明纵向病历价值，但不能作为本课题可直接复现实验数据</w:t>
            </w:r>
          </w:p>
        </w:tc>
      </w:tr>
    </w:tbl>
    <w:p w14:paraId="25147AAE"/>
    <w:p w14:paraId="70B3DB64">
      <w:pPr>
        <w:spacing w:before="0" w:after="120" w:line="360" w:lineRule="exact"/>
        <w:ind w:firstLine="420"/>
      </w:pPr>
      <w:r>
        <w:rPr>
          <w:rFonts w:ascii="Times New Roman" w:hAnsi="Times New Roman" w:eastAsia="宋体"/>
          <w:b w:val="0"/>
          <w:sz w:val="24"/>
        </w:rPr>
        <w:t>需要注意的是，数据集的“公开”通常意味着研究者可在签署数据使用协议后申请访问，并不等同于可随意下载或用于商业部署。ADNI、NACC、PPMI、UK Biobank 等均有数据使用、隐私保护和发表致谢要求；VHA 等真实世界 EHR 数据则通常不可公开复用。</w:t>
      </w:r>
    </w:p>
    <w:p w14:paraId="1CCBB7BF">
      <w:pPr>
        <w:spacing w:before="0" w:after="120" w:line="360" w:lineRule="exact"/>
        <w:ind w:firstLine="420"/>
      </w:pPr>
      <w:r>
        <w:rPr>
          <w:rFonts w:ascii="Times New Roman" w:hAnsi="Times New Roman" w:eastAsia="宋体"/>
          <w:b w:val="0"/>
          <w:sz w:val="24"/>
        </w:rPr>
        <w:t>对于本文拟研究的智能体辅助诊疗系统，数据集的作用可以分为三层。第一层是病例构建：从公开数据集中抽取人口学信息、量表、影像结果、生物标志物和随访结局，转化为智能体可读取的结构化病例。第二层是工具验证：系统调用已有 MRI/PET 分类器、量表解释器或检索模块，需要用数据集检验这些工具输出是否稳定、是否受缺失模态影响。第三层是系统验证：比较单智能体、多智能体自由讨论、结构化证据复核和医生基线在相同病例上的表现，观察诊断准确性、证据引用正确率、冲突识别率、不可判定率和报告可用性。若不训练新的底层模型，数据集仍然是系统有效性和边界条件的核心证据；若后续涉及训练，则应明确区分训练集、验证集、测试集和外部验证集，避免患者级数据泄漏。</w:t>
      </w:r>
    </w:p>
    <w:p w14:paraId="789D88E6">
      <w:pPr>
        <w:spacing w:before="0" w:after="120" w:line="360" w:lineRule="exact"/>
        <w:ind w:firstLine="420"/>
      </w:pPr>
      <w:r>
        <w:rPr>
          <w:rFonts w:ascii="Times New Roman" w:hAnsi="Times New Roman" w:eastAsia="宋体"/>
          <w:b w:val="0"/>
          <w:sz w:val="24"/>
        </w:rPr>
        <w:t>因此，公开数据集并非只服务于训练。对 LLM Agent 研究而言</w:t>
      </w:r>
      <w:r>
        <w:rPr>
          <w:rFonts w:hint="eastAsia"/>
          <w:b w:val="0"/>
          <w:sz w:val="24"/>
          <w:lang w:eastAsia="zh-CN"/>
        </w:rPr>
        <w:t>，</w:t>
      </w:r>
      <w:r>
        <w:rPr>
          <w:rFonts w:ascii="Times New Roman" w:hAnsi="Times New Roman" w:eastAsia="宋体"/>
          <w:b w:val="0"/>
          <w:sz w:val="24"/>
        </w:rPr>
        <w:t>将公开数据集作为标准化病例来源和外部验证环境，重点验证智能体协作是否能在多源异构、模态缺失和诊断不确定情形下改进证据整合质量。只有当研究目标包含训练影像模型、文本分类器或融合模型时，数据集才承担模型参数学习的作用；否则，它主要承担病例输入、工具校验、系统评估和可复现实验基准的作用。</w:t>
      </w:r>
    </w:p>
    <w:p w14:paraId="1342925C">
      <w:pPr>
        <w:pStyle w:val="3"/>
        <w:spacing w:before="240" w:after="160" w:line="400" w:lineRule="exact"/>
        <w:jc w:val="left"/>
        <w:rPr>
          <w:color w:val="000000" w:themeColor="text1"/>
          <w14:textFill>
            <w14:solidFill>
              <w14:schemeClr w14:val="tx1"/>
            </w14:solidFill>
          </w14:textFill>
        </w:rPr>
      </w:pPr>
      <w:r>
        <w:rPr>
          <w:rFonts w:hint="eastAsia" w:ascii="Times New Roman" w:hAnsi="Times New Roman" w:eastAsia="黑体"/>
          <w:b w:val="0"/>
          <w:color w:val="000000" w:themeColor="text1"/>
          <w:sz w:val="30"/>
          <w:lang w:val="en-US" w:eastAsia="zh-CN"/>
          <w14:textFill>
            <w14:solidFill>
              <w14:schemeClr w14:val="tx1"/>
            </w14:solidFill>
          </w14:textFill>
        </w:rPr>
        <w:t>7</w:t>
      </w:r>
      <w:r>
        <w:rPr>
          <w:rFonts w:ascii="Times New Roman" w:hAnsi="Times New Roman" w:eastAsia="黑体"/>
          <w:b w:val="0"/>
          <w:color w:val="000000" w:themeColor="text1"/>
          <w:sz w:val="30"/>
          <w14:textFill>
            <w14:solidFill>
              <w14:schemeClr w14:val="tx1"/>
            </w14:solidFill>
          </w14:textFill>
        </w:rPr>
        <w:t>. 现有研究不足与本文观点</w:t>
      </w:r>
    </w:p>
    <w:p w14:paraId="676A3A69">
      <w:pPr>
        <w:spacing w:before="0" w:after="120" w:line="360" w:lineRule="exact"/>
        <w:ind w:firstLine="420"/>
      </w:pPr>
      <w:r>
        <w:rPr>
          <w:rFonts w:ascii="Times New Roman" w:hAnsi="Times New Roman" w:eastAsia="宋体"/>
          <w:b w:val="0"/>
          <w:sz w:val="24"/>
        </w:rPr>
        <w:t>综合来看，神经退行性疾病 AI 辅助诊疗研究已取得明显进展：传统机器学习和深度学习提高了影像、量表和多模态数据的模式识别能力；电子病历 NLP 和 LLM 扩展了对纵向临床叙事的利用；多智能体方法则为复杂诊疗流程中的分工、讨论、复核和报告生成提供了新范式。但是，现有研究仍存在以下关键不足。</w:t>
      </w:r>
    </w:p>
    <w:p w14:paraId="1B463C91">
      <w:pPr>
        <w:numPr>
          <w:ilvl w:val="0"/>
          <w:numId w:val="8"/>
        </w:numPr>
        <w:spacing w:before="0" w:after="120" w:line="360" w:lineRule="exact"/>
        <w:ind w:firstLine="420"/>
        <w:rPr>
          <w:rFonts w:ascii="Times New Roman" w:hAnsi="Times New Roman" w:eastAsia="宋体"/>
          <w:b w:val="0"/>
          <w:sz w:val="24"/>
        </w:rPr>
      </w:pPr>
      <w:r>
        <w:rPr>
          <w:rFonts w:ascii="Times New Roman" w:hAnsi="Times New Roman" w:eastAsia="宋体"/>
          <w:b w:val="0"/>
          <w:sz w:val="24"/>
        </w:rPr>
        <w:t>许多研究仍将诊断任务简化为分类问题，未充分区分认知状态、临床综合征、病理病因和进展风险。神经退行性疾病特别强调病因重叠、混合病理和非典型表现，如果系统只能输出单一标签，就容易掩盖诊断不确定性。</w:t>
      </w:r>
    </w:p>
    <w:p w14:paraId="6F00C8A2">
      <w:pPr>
        <w:numPr>
          <w:ilvl w:val="0"/>
          <w:numId w:val="8"/>
        </w:numPr>
        <w:spacing w:before="0" w:after="120" w:line="360" w:lineRule="exact"/>
        <w:ind w:firstLine="420"/>
      </w:pPr>
      <w:r>
        <w:rPr>
          <w:rFonts w:ascii="Times New Roman" w:hAnsi="Times New Roman" w:eastAsia="宋体"/>
          <w:b w:val="0"/>
          <w:sz w:val="24"/>
        </w:rPr>
        <w:t>缺失模态问题虽已有研究，但多数方法关注“缺失时如何维持预测性能”，较少回答“为什么缺失、是否需要补查、补查能否改变临床判断”。</w:t>
      </w:r>
    </w:p>
    <w:p w14:paraId="62E5786B">
      <w:pPr>
        <w:numPr>
          <w:ilvl w:val="0"/>
          <w:numId w:val="8"/>
        </w:numPr>
        <w:spacing w:before="0" w:after="120" w:line="360" w:lineRule="exact"/>
        <w:ind w:firstLine="420"/>
      </w:pPr>
      <w:r>
        <w:rPr>
          <w:rFonts w:ascii="Times New Roman" w:hAnsi="Times New Roman" w:eastAsia="宋体"/>
          <w:b w:val="0"/>
          <w:sz w:val="24"/>
        </w:rPr>
        <w:t>纵向证据的时间属性尚未被充分利用，旧影像、新量表、既往病史、家族史和当前主诉之间可能存在时间错位，简单拼接上下文容易导致重复计权或错误因果推断。</w:t>
      </w:r>
    </w:p>
    <w:p w14:paraId="3973B825">
      <w:pPr>
        <w:numPr>
          <w:ilvl w:val="0"/>
          <w:numId w:val="8"/>
        </w:numPr>
        <w:spacing w:before="0" w:after="120" w:line="360" w:lineRule="exact"/>
        <w:ind w:firstLine="420"/>
      </w:pPr>
      <w:r>
        <w:rPr>
          <w:rFonts w:ascii="Times New Roman" w:hAnsi="Times New Roman" w:eastAsia="宋体"/>
          <w:b w:val="0"/>
          <w:sz w:val="24"/>
        </w:rPr>
        <w:t>多智能体协作的增益仍需严格验证。若不控制模型能力、工具能力、检索质量和推理预算，很难判断性能提升究竟来自协作机制，还是来自更多调用、更长上下文或更强基础模型。</w:t>
      </w:r>
    </w:p>
    <w:p w14:paraId="06684424">
      <w:pPr>
        <w:numPr>
          <w:ilvl w:val="0"/>
          <w:numId w:val="8"/>
        </w:numPr>
        <w:spacing w:before="0" w:after="120" w:line="360" w:lineRule="exact"/>
        <w:ind w:firstLine="420"/>
      </w:pPr>
      <w:r>
        <w:rPr>
          <w:rFonts w:ascii="Times New Roman" w:hAnsi="Times New Roman" w:eastAsia="宋体"/>
          <w:b w:val="0"/>
          <w:sz w:val="24"/>
        </w:rPr>
        <w:t>解释性仍处于“可读”与“可追溯”之间。临床真正需要的是每个结论能定位到原始证据、指南依据和反证，而不只是生成一段流畅的解释。</w:t>
      </w:r>
    </w:p>
    <w:p w14:paraId="7E8ED2EC">
      <w:pPr>
        <w:spacing w:before="0" w:after="120" w:line="360" w:lineRule="exact"/>
        <w:ind w:firstLine="420"/>
      </w:pPr>
      <w:r>
        <w:rPr>
          <w:rFonts w:ascii="Times New Roman" w:hAnsi="Times New Roman" w:eastAsia="宋体"/>
          <w:b w:val="0"/>
          <w:sz w:val="24"/>
        </w:rPr>
        <w:t>基于上述判断，</w:t>
      </w:r>
      <w:r>
        <w:rPr>
          <w:rFonts w:hint="eastAsia"/>
          <w:b w:val="0"/>
          <w:sz w:val="24"/>
          <w:lang w:val="en-US" w:eastAsia="zh-CN"/>
        </w:rPr>
        <w:t>文章，</w:t>
      </w:r>
      <w:bookmarkStart w:id="0" w:name="_GoBack"/>
      <w:bookmarkEnd w:id="0"/>
      <w:r>
        <w:rPr>
          <w:rFonts w:ascii="Times New Roman" w:hAnsi="Times New Roman" w:eastAsia="宋体"/>
          <w:b w:val="0"/>
          <w:sz w:val="24"/>
        </w:rPr>
        <w:t>不宜把创新点放在简单增加 LLM 或设置多个专科角色上，而应进一步落到证据级协作机制。较有价值的研究方向是：面向神经退行性疾病诊疗流程，构建包含来源、时间、质量、支持/反驳对象和不确定性的证据表示；在此基础上设计多智能体协作复核流程，使不同智能体围绕病史、认知评估、影像、实验室、生物标志物、指南和鉴别诊断进行结构化分析；最后通过公平基线、消融实验、复杂病例压力测试和医生评价检验系统价值。这样的研究定位既能承接现有 AI/LLM/Agent 前沿，又能避免泛泛地声称“多智能体更智能”，更符合硕士论文对问题边界、方法可实现性和验证充分性的要求。</w:t>
      </w:r>
    </w:p>
    <w:p w14:paraId="2896E0C5">
      <w:pPr>
        <w:sectPr>
          <w:footerReference r:id="rId5" w:type="default"/>
          <w:pgSz w:w="12240" w:h="15840"/>
          <w:pgMar w:top="1440" w:right="1797" w:bottom="1440" w:left="1797" w:header="720" w:footer="720" w:gutter="0"/>
          <w:cols w:space="720" w:num="1"/>
          <w:docGrid w:linePitch="360" w:charSpace="0"/>
        </w:sectPr>
      </w:pPr>
    </w:p>
    <w:p w14:paraId="7462A8BA">
      <w:pPr>
        <w:pStyle w:val="3"/>
        <w:spacing w:before="240" w:after="160" w:line="400" w:lineRule="exact"/>
        <w:jc w:val="center"/>
        <w:rPr>
          <w:color w:val="000000" w:themeColor="text1"/>
          <w14:textFill>
            <w14:solidFill>
              <w14:schemeClr w14:val="tx1"/>
            </w14:solidFill>
          </w14:textFill>
        </w:rPr>
      </w:pPr>
      <w:r>
        <w:rPr>
          <w:rFonts w:ascii="Times New Roman" w:hAnsi="Times New Roman" w:eastAsia="黑体"/>
          <w:b w:val="0"/>
          <w:color w:val="000000" w:themeColor="text1"/>
          <w:sz w:val="30"/>
          <w14:textFill>
            <w14:solidFill>
              <w14:schemeClr w14:val="tx1"/>
            </w14:solidFill>
          </w14:textFill>
        </w:rPr>
        <w:t>参考文献</w:t>
      </w:r>
    </w:p>
    <w:p w14:paraId="5EC9EBA1">
      <w:pPr>
        <w:spacing w:after="60" w:line="300" w:lineRule="exact"/>
        <w:ind w:left="420" w:hanging="420"/>
      </w:pPr>
      <w:r>
        <w:rPr>
          <w:rFonts w:ascii="Times New Roman" w:hAnsi="Times New Roman" w:eastAsia="宋体"/>
          <w:b w:val="0"/>
          <w:sz w:val="21"/>
        </w:rPr>
        <w:t>[1] ALBERT M S, DEKOSKY S T, DICKSON D, et al. The diagnosis of mild cognitive impairment due to Alzheimer's disease: recommendations from the National Institute on Aging-Alzheimer's Association workgroups on diagnostic guidelines for Alzheimer's disease[J]. Alzheimer's &amp; Dementia, 2011, 7(3): 270-279.</w:t>
      </w:r>
    </w:p>
    <w:p w14:paraId="0330CD3C">
      <w:pPr>
        <w:spacing w:after="60" w:line="300" w:lineRule="exact"/>
        <w:ind w:left="420" w:hanging="420"/>
      </w:pPr>
      <w:r>
        <w:rPr>
          <w:rFonts w:ascii="Times New Roman" w:hAnsi="Times New Roman" w:eastAsia="宋体"/>
          <w:b w:val="0"/>
          <w:sz w:val="21"/>
        </w:rPr>
        <w:t>[2] JACK C R, BENNETT D A, BLENNOW K, et al. NIA-AA Research Framework: Toward a biological definition of Alzheimer's disease[J]. Alzheimer's &amp; Dementia, 2018, 14(4): 535-562.</w:t>
      </w:r>
    </w:p>
    <w:p w14:paraId="4C206FBF">
      <w:pPr>
        <w:spacing w:after="60" w:line="300" w:lineRule="exact"/>
        <w:ind w:left="420" w:hanging="420"/>
      </w:pPr>
      <w:r>
        <w:rPr>
          <w:rFonts w:ascii="Times New Roman" w:hAnsi="Times New Roman" w:eastAsia="宋体"/>
          <w:b w:val="0"/>
          <w:sz w:val="21"/>
        </w:rPr>
        <w:t>[3] JACK C R, ANDREWS J S, BEACH T G, et al. Revised criteria for diagnosis and staging of Alzheimer's disease: Alzheimer's Association Workgroup[J]. Alzheimer's &amp; Dementia, 2024.</w:t>
      </w:r>
    </w:p>
    <w:p w14:paraId="1D622FCE">
      <w:pPr>
        <w:spacing w:after="60" w:line="300" w:lineRule="exact"/>
        <w:ind w:left="420" w:hanging="420"/>
      </w:pPr>
      <w:r>
        <w:rPr>
          <w:rFonts w:ascii="Times New Roman" w:hAnsi="Times New Roman" w:eastAsia="宋体"/>
          <w:b w:val="0"/>
          <w:sz w:val="21"/>
        </w:rPr>
        <w:t>[4] ATRI A, DICKERSON B C, et al. Alzheimer's Association clinical practice guideline for the Diagnostic Evaluation, Testing, Counseling, and Disclosure of Suspected AD/ADRD: Executive summary of recommendations for primary care[J]. Alzheimer's &amp; Dementia, 2024/2025.</w:t>
      </w:r>
    </w:p>
    <w:p w14:paraId="3A04636A">
      <w:pPr>
        <w:spacing w:after="60" w:line="300" w:lineRule="exact"/>
        <w:ind w:left="420" w:hanging="420"/>
      </w:pPr>
      <w:r>
        <w:rPr>
          <w:rFonts w:ascii="Times New Roman" w:hAnsi="Times New Roman" w:eastAsia="宋体"/>
          <w:b w:val="0"/>
          <w:sz w:val="21"/>
        </w:rPr>
        <w:t>[5] DICKERSON B C, ATRI A, et al. Alzheimer's Association clinical practice guideline for the Diagnostic Evaluation, Testing, Counseling, and Disclosure of Suspected AD/ADRD: Executive summary of recommendations for specialty care[J]. Alzheimer's &amp; Dementia, 2024/2025.</w:t>
      </w:r>
    </w:p>
    <w:p w14:paraId="0C93A355">
      <w:pPr>
        <w:spacing w:after="60" w:line="300" w:lineRule="exact"/>
        <w:ind w:left="420" w:hanging="420"/>
      </w:pPr>
      <w:r>
        <w:rPr>
          <w:rFonts w:ascii="Times New Roman" w:hAnsi="Times New Roman" w:eastAsia="宋体"/>
          <w:b w:val="0"/>
          <w:sz w:val="21"/>
        </w:rPr>
        <w:t>[6] 中华医学会神经病学分会痴呆与认知障碍学组. 阿尔茨海默病源性轻度认知障碍诊疗中国专家共识 2024[J]. 中华神经科杂志, 2024, 57(7): 715-737.</w:t>
      </w:r>
    </w:p>
    <w:p w14:paraId="119E3557">
      <w:pPr>
        <w:spacing w:after="60" w:line="300" w:lineRule="exact"/>
        <w:ind w:left="420" w:hanging="420"/>
      </w:pPr>
      <w:r>
        <w:rPr>
          <w:rFonts w:ascii="Times New Roman" w:hAnsi="Times New Roman" w:eastAsia="宋体"/>
          <w:b w:val="0"/>
          <w:sz w:val="21"/>
        </w:rPr>
        <w:t>[7] WEN J, THIBEAU-SUTRE E, DIAZ-MELO M, et al. Convolutional neural networks for classification of Alzheimer's disease: Overview and reproducible evaluation[J]. Medical Image Analysis, 2020, 63: 101694.</w:t>
      </w:r>
    </w:p>
    <w:p w14:paraId="25506C3C">
      <w:pPr>
        <w:spacing w:after="60" w:line="300" w:lineRule="exact"/>
        <w:ind w:left="420" w:hanging="420"/>
      </w:pPr>
      <w:r>
        <w:rPr>
          <w:rFonts w:ascii="Times New Roman" w:hAnsi="Times New Roman" w:eastAsia="宋体"/>
          <w:b w:val="0"/>
          <w:sz w:val="21"/>
        </w:rPr>
        <w:t>[8] QIU S, MILLER M I, JOSHI P S, et al. Multimodal deep learning for Alzheimer's disease dementia assessment[J]. Nature Communications, 2022, 13: 3404.</w:t>
      </w:r>
    </w:p>
    <w:p w14:paraId="49C3D2A0">
      <w:pPr>
        <w:spacing w:after="60" w:line="300" w:lineRule="exact"/>
        <w:ind w:left="420" w:hanging="420"/>
      </w:pPr>
      <w:r>
        <w:rPr>
          <w:rFonts w:ascii="Times New Roman" w:hAnsi="Times New Roman" w:eastAsia="宋体"/>
          <w:b w:val="0"/>
          <w:sz w:val="21"/>
        </w:rPr>
        <w:t>[9] XUE C, et al. AI-based differential diagnosis of dementia etiologies on multimodal data[J]. Nature Medicine, 2024.</w:t>
      </w:r>
    </w:p>
    <w:p w14:paraId="1D5BA7E5">
      <w:pPr>
        <w:spacing w:after="60" w:line="300" w:lineRule="exact"/>
        <w:ind w:left="420" w:hanging="420"/>
      </w:pPr>
      <w:r>
        <w:rPr>
          <w:rFonts w:ascii="Times New Roman" w:hAnsi="Times New Roman" w:eastAsia="宋体"/>
          <w:b w:val="0"/>
          <w:sz w:val="21"/>
        </w:rPr>
        <w:t>[10] ELAZAB A, WANG C, ABDELAZIZ M, et al. Alzheimer's disease diagnosis from single and multimodal data using machine and deep learning models: Achievements and future directions[J]. Expert Systems with Applications, 2024, 255: 124780.</w:t>
      </w:r>
    </w:p>
    <w:p w14:paraId="52E87CCB">
      <w:pPr>
        <w:spacing w:after="60" w:line="300" w:lineRule="exact"/>
        <w:ind w:left="420" w:hanging="420"/>
      </w:pPr>
      <w:r>
        <w:rPr>
          <w:rFonts w:ascii="Times New Roman" w:hAnsi="Times New Roman" w:eastAsia="宋体"/>
          <w:b w:val="0"/>
          <w:sz w:val="21"/>
        </w:rPr>
        <w:t>[11] WAHUL R M, AMBADEKAR S, DHANVIJAY D M, et al. Multimodal approaches and AI-driven innovations in dementia diagnosis: a systematic review[J]. Discover Artificial Intelligence, 2025, 5: 96.</w:t>
      </w:r>
    </w:p>
    <w:p w14:paraId="381F460F">
      <w:pPr>
        <w:spacing w:after="60" w:line="300" w:lineRule="exact"/>
        <w:ind w:left="420" w:hanging="420"/>
      </w:pPr>
      <w:r>
        <w:rPr>
          <w:rFonts w:ascii="Times New Roman" w:hAnsi="Times New Roman" w:eastAsia="宋体"/>
          <w:b w:val="0"/>
          <w:sz w:val="21"/>
        </w:rPr>
        <w:t>[12] TOUMAJ S, HEIDARI A, SHAHHOSSEINI R, et al. Applications of deep learning in Alzheimer's disease: a systematic literature review of current trends, methodologies, challenges, innovations, and future directions[J]. Artificial Intelligence Review, 2025, 58: 44.</w:t>
      </w:r>
    </w:p>
    <w:p w14:paraId="02CB341B">
      <w:pPr>
        <w:spacing w:after="60" w:line="300" w:lineRule="exact"/>
        <w:ind w:left="420" w:hanging="420"/>
      </w:pPr>
      <w:r>
        <w:rPr>
          <w:rFonts w:ascii="Times New Roman" w:hAnsi="Times New Roman" w:eastAsia="宋体"/>
          <w:b w:val="0"/>
          <w:sz w:val="21"/>
        </w:rPr>
        <w:t>[13] ALOHAILI A, et al. Multimodal AI for Alzheimer Disease Diagnosis: Systematic Review of Datasets, Models, and Modalities[J]. Journal of Medical Internet Research, 2026.</w:t>
      </w:r>
    </w:p>
    <w:p w14:paraId="22AFFD0C">
      <w:pPr>
        <w:spacing w:after="60" w:line="300" w:lineRule="exact"/>
        <w:ind w:left="420" w:hanging="420"/>
      </w:pPr>
      <w:r>
        <w:rPr>
          <w:rFonts w:ascii="Times New Roman" w:hAnsi="Times New Roman" w:eastAsia="宋体"/>
          <w:b w:val="0"/>
          <w:sz w:val="21"/>
        </w:rPr>
        <w:t>[14] WANG Y, et al. E2AD: Enhanced and explainable Alzheimer's disease detection framework via anatomy- and relation-aware cross-modal knowledge distillation[J]. Medical Image Analysis, 2026, 112: 104099.</w:t>
      </w:r>
    </w:p>
    <w:p w14:paraId="12356255">
      <w:pPr>
        <w:spacing w:after="60" w:line="300" w:lineRule="exact"/>
        <w:ind w:left="420" w:hanging="420"/>
      </w:pPr>
      <w:r>
        <w:rPr>
          <w:rFonts w:ascii="Times New Roman" w:hAnsi="Times New Roman" w:eastAsia="宋体"/>
          <w:b w:val="0"/>
          <w:sz w:val="21"/>
        </w:rPr>
        <w:t>[15] WANG L, et al. Development and Validation of a Deep Learning Model for Earlier Detection of Cognitive Decline From Clinical Notes in Electronic Health Records[J]. JAMA Network Open, 2021.</w:t>
      </w:r>
    </w:p>
    <w:p w14:paraId="6564AD26">
      <w:pPr>
        <w:spacing w:after="60" w:line="300" w:lineRule="exact"/>
        <w:ind w:left="420" w:hanging="420"/>
      </w:pPr>
      <w:r>
        <w:rPr>
          <w:rFonts w:ascii="Times New Roman" w:hAnsi="Times New Roman" w:eastAsia="宋体"/>
          <w:b w:val="0"/>
          <w:sz w:val="21"/>
        </w:rPr>
        <w:t>[16] JIANG L Y, LIU X C, NEJATIAN N P, et al. Health system-scale language models are all-purpose prediction engines[J]. Nature, 2023, 619(7969): 357-362.</w:t>
      </w:r>
    </w:p>
    <w:p w14:paraId="76BB5D1C">
      <w:pPr>
        <w:spacing w:after="60" w:line="300" w:lineRule="exact"/>
        <w:ind w:left="420" w:hanging="420"/>
      </w:pPr>
      <w:r>
        <w:rPr>
          <w:rFonts w:ascii="Times New Roman" w:hAnsi="Times New Roman" w:eastAsia="宋体"/>
          <w:b w:val="0"/>
          <w:sz w:val="21"/>
        </w:rPr>
        <w:t>[17] LI X, et al. CARE-AD: a multi-agent large language model framework for Alzheimer's disease prediction using longitudinal clinical notes[J]. npj Digital Medicine, 2025, 8: 541.</w:t>
      </w:r>
    </w:p>
    <w:p w14:paraId="47A4F8DA">
      <w:pPr>
        <w:spacing w:after="60" w:line="300" w:lineRule="exact"/>
        <w:ind w:left="420" w:hanging="420"/>
      </w:pPr>
      <w:r>
        <w:rPr>
          <w:rFonts w:ascii="Times New Roman" w:hAnsi="Times New Roman" w:eastAsia="宋体"/>
          <w:b w:val="0"/>
          <w:sz w:val="21"/>
        </w:rPr>
        <w:t>[18] SINGHAL K, AZIZI S, TU T, et al. Large language models encode clinical knowledge[J]. Nature, 2023, 620: 172-180.</w:t>
      </w:r>
    </w:p>
    <w:p w14:paraId="721C88BF">
      <w:pPr>
        <w:spacing w:after="60" w:line="300" w:lineRule="exact"/>
        <w:ind w:left="420" w:hanging="420"/>
      </w:pPr>
      <w:r>
        <w:rPr>
          <w:rFonts w:ascii="Times New Roman" w:hAnsi="Times New Roman" w:eastAsia="宋体"/>
          <w:b w:val="0"/>
          <w:sz w:val="21"/>
        </w:rPr>
        <w:t>[19] FAN L, et al. The application of large language models in medicine: A scoping review[J]. iScience, 2024, 27(5): 109713.</w:t>
      </w:r>
    </w:p>
    <w:p w14:paraId="2331610F">
      <w:pPr>
        <w:spacing w:after="60" w:line="300" w:lineRule="exact"/>
        <w:ind w:left="420" w:hanging="420"/>
      </w:pPr>
      <w:r>
        <w:rPr>
          <w:rFonts w:ascii="Times New Roman" w:hAnsi="Times New Roman" w:eastAsia="宋体"/>
          <w:b w:val="0"/>
          <w:sz w:val="21"/>
        </w:rPr>
        <w:t>[20] LI H, et al. A survey of large language models in medicine: progress, application, and challenge[J]. [需核对期刊/年份].</w:t>
      </w:r>
    </w:p>
    <w:p w14:paraId="2F57ACD6">
      <w:pPr>
        <w:spacing w:after="60" w:line="300" w:lineRule="exact"/>
        <w:ind w:left="420" w:hanging="420"/>
      </w:pPr>
      <w:r>
        <w:rPr>
          <w:rFonts w:ascii="Times New Roman" w:hAnsi="Times New Roman" w:eastAsia="宋体"/>
          <w:b w:val="0"/>
          <w:sz w:val="21"/>
        </w:rPr>
        <w:t>[21] LEWIS P, PEREZ E, PIKTUS A, et al. Retrieval-augmented generation for knowledge-intensive NLP tasks[C]//Advances in Neural Information Processing Systems. 2020.</w:t>
      </w:r>
    </w:p>
    <w:p w14:paraId="42573099">
      <w:pPr>
        <w:spacing w:after="60" w:line="300" w:lineRule="exact"/>
        <w:ind w:left="420" w:hanging="420"/>
      </w:pPr>
      <w:r>
        <w:rPr>
          <w:rFonts w:ascii="Times New Roman" w:hAnsi="Times New Roman" w:eastAsia="宋体"/>
          <w:b w:val="0"/>
          <w:sz w:val="21"/>
        </w:rPr>
        <w:t>[22] YAO S, ZHAO J, YU D, et al. ReAct: Synergizing reasoning and acting in language models[C]//International Conference on Learning Representations. 2023.</w:t>
      </w:r>
    </w:p>
    <w:p w14:paraId="2D63FC54">
      <w:pPr>
        <w:spacing w:after="60" w:line="300" w:lineRule="exact"/>
        <w:ind w:left="420" w:hanging="420"/>
      </w:pPr>
      <w:r>
        <w:rPr>
          <w:rFonts w:ascii="Times New Roman" w:hAnsi="Times New Roman" w:eastAsia="宋体"/>
          <w:b w:val="0"/>
          <w:sz w:val="21"/>
        </w:rPr>
        <w:t>[23] MUKHTAR S, et al. Collaborative multi-agent conversational artificial intelligence for clinical support in Parkinson disease[J]. Parkinsonism &amp; Related Disorders, 2026.</w:t>
      </w:r>
    </w:p>
    <w:p w14:paraId="2E3C4B3F">
      <w:pPr>
        <w:spacing w:after="60" w:line="300" w:lineRule="exact"/>
        <w:ind w:left="420" w:hanging="420"/>
      </w:pPr>
      <w:r>
        <w:rPr>
          <w:rFonts w:ascii="Times New Roman" w:hAnsi="Times New Roman" w:eastAsia="宋体"/>
          <w:b w:val="0"/>
          <w:sz w:val="21"/>
        </w:rPr>
        <w:t>[24] GALLINGANI S, et al. Agentic Generative Artificial Intelligence System for Classification of Pathology-Confirmed Primary Progressive Aphasia Variants[DB/OL]. medRxiv, 2025.</w:t>
      </w:r>
    </w:p>
    <w:p w14:paraId="563701EF">
      <w:pPr>
        <w:spacing w:after="60" w:line="300" w:lineRule="exact"/>
        <w:ind w:left="420" w:hanging="420"/>
      </w:pPr>
      <w:r>
        <w:rPr>
          <w:rFonts w:ascii="Times New Roman" w:hAnsi="Times New Roman" w:eastAsia="宋体"/>
          <w:b w:val="0"/>
          <w:sz w:val="21"/>
        </w:rPr>
        <w:t>[25] HONG S, ZHUANG X, ZHENG J, et al. MetaGPT: Meta Programming for A Multi-Agent Collaborative Framework[C]//International Conference on Learning Representations. 2024.</w:t>
      </w:r>
    </w:p>
    <w:p w14:paraId="39D14E86">
      <w:pPr>
        <w:spacing w:after="60" w:line="300" w:lineRule="exact"/>
        <w:ind w:left="420" w:hanging="420"/>
      </w:pPr>
      <w:r>
        <w:rPr>
          <w:rFonts w:ascii="Times New Roman" w:hAnsi="Times New Roman" w:eastAsia="宋体"/>
          <w:b w:val="0"/>
          <w:sz w:val="21"/>
        </w:rPr>
        <w:t>[26] CHEN J, et al. ReConcile: Round-Table Conference Improves Reasoning via Consensus among Diverse LLMs[C/OL]. 2024.</w:t>
      </w:r>
    </w:p>
    <w:p w14:paraId="73386F03">
      <w:pPr>
        <w:spacing w:after="60" w:line="300" w:lineRule="exact"/>
        <w:ind w:left="420" w:hanging="420"/>
      </w:pPr>
      <w:r>
        <w:rPr>
          <w:rFonts w:ascii="Times New Roman" w:hAnsi="Times New Roman" w:eastAsia="宋体"/>
          <w:b w:val="0"/>
          <w:sz w:val="21"/>
        </w:rPr>
        <w:t>[27] WU Q, BANSAL G, ZHANG J, et al. AutoGen: Enabling next-gen LLM applications via multi-agent conversation framework[DB/OL]. arXiv, 2023.</w:t>
      </w:r>
    </w:p>
    <w:p w14:paraId="2FF5537D">
      <w:pPr>
        <w:spacing w:after="60" w:line="300" w:lineRule="exact"/>
        <w:ind w:left="420" w:hanging="420"/>
      </w:pPr>
      <w:r>
        <w:rPr>
          <w:rFonts w:ascii="Times New Roman" w:hAnsi="Times New Roman" w:eastAsia="宋体"/>
          <w:b w:val="0"/>
          <w:sz w:val="21"/>
        </w:rPr>
        <w:t>[28] ZHU X, et al. GPTSwarm: Language Agents as Optimizable Graphs[C/OL]. 2024.</w:t>
      </w:r>
    </w:p>
    <w:p w14:paraId="6831A91B">
      <w:pPr>
        <w:spacing w:after="60" w:line="300" w:lineRule="exact"/>
        <w:ind w:left="420" w:hanging="420"/>
      </w:pPr>
      <w:r>
        <w:rPr>
          <w:rFonts w:ascii="Times New Roman" w:hAnsi="Times New Roman" w:eastAsia="宋体"/>
          <w:b w:val="0"/>
          <w:sz w:val="21"/>
        </w:rPr>
        <w:t>[29] ZHANG Y, et al. G-Designer: Architecting Multi-agent Communication Topologies via Graph Neural Networks[C/OL]. 2025.</w:t>
      </w:r>
    </w:p>
    <w:p w14:paraId="5037796C">
      <w:pPr>
        <w:spacing w:after="60" w:line="300" w:lineRule="exact"/>
        <w:ind w:left="420" w:hanging="420"/>
      </w:pPr>
      <w:r>
        <w:rPr>
          <w:rFonts w:ascii="Times New Roman" w:hAnsi="Times New Roman" w:eastAsia="宋体"/>
          <w:b w:val="0"/>
          <w:sz w:val="21"/>
        </w:rPr>
        <w:t>[30] WANG X, et al. AgentDropout: Dynamic Agent Elimination for Token-Efficient and High-Performance LLM-Based Multi-Agent Collaboration[C/OL]. 2024.</w:t>
      </w:r>
    </w:p>
    <w:p w14:paraId="1EED1188">
      <w:pPr>
        <w:spacing w:after="60" w:line="300" w:lineRule="exact"/>
        <w:ind w:left="420" w:hanging="420"/>
      </w:pPr>
      <w:r>
        <w:rPr>
          <w:rFonts w:ascii="Times New Roman" w:hAnsi="Times New Roman" w:eastAsia="宋体"/>
          <w:b w:val="0"/>
          <w:sz w:val="21"/>
        </w:rPr>
        <w:t>[31] WANG Z, et al. MedAgent-Pro: Towards Evidence-based Multi-modal Medical Diagnosis via Reasoning Agentic Workflow[DB/OL]. arXiv, 2025.</w:t>
      </w:r>
    </w:p>
    <w:p w14:paraId="25FC7558">
      <w:pPr>
        <w:spacing w:after="60" w:line="300" w:lineRule="exact"/>
        <w:ind w:left="420" w:hanging="420"/>
      </w:pPr>
      <w:r>
        <w:rPr>
          <w:rFonts w:ascii="Times New Roman" w:hAnsi="Times New Roman" w:eastAsia="宋体"/>
          <w:b w:val="0"/>
          <w:sz w:val="21"/>
        </w:rPr>
        <w:t>[32] WANG H, et al. ColaCare: Enhancing Electronic Health Record Modeling through Large Language Model-Driven Multi-Agent Collaboration[C]//Proceedings of the ACM Web Conference. 2025.</w:t>
      </w:r>
    </w:p>
    <w:p w14:paraId="110AD802">
      <w:pPr>
        <w:spacing w:after="60" w:line="300" w:lineRule="exact"/>
        <w:ind w:left="420" w:hanging="420"/>
      </w:pPr>
      <w:r>
        <w:rPr>
          <w:rFonts w:ascii="Times New Roman" w:hAnsi="Times New Roman" w:eastAsia="宋体"/>
          <w:b w:val="0"/>
          <w:sz w:val="21"/>
        </w:rPr>
        <w:t>[33] HONG Z, et al. ArgMed-Agents: Explainable Clinical Decision Reasoning with LLM Discussion via Argumentation Schemes[DB/OL]. 2025.</w:t>
      </w:r>
    </w:p>
    <w:p w14:paraId="45247582">
      <w:pPr>
        <w:spacing w:after="60" w:line="300" w:lineRule="exact"/>
        <w:ind w:left="420" w:hanging="420"/>
      </w:pPr>
      <w:r>
        <w:rPr>
          <w:rFonts w:ascii="Times New Roman" w:hAnsi="Times New Roman" w:eastAsia="宋体"/>
          <w:b w:val="0"/>
          <w:sz w:val="21"/>
        </w:rPr>
        <w:t>[34] ZHAN Y, et al. MedCollab: Causal-Driven Multi-Agent Collaboration for Full-Cycle Clinical Diagnosis via IBIS-Structured Argumentation[DB/OL]. arXiv, 2026.</w:t>
      </w:r>
    </w:p>
    <w:p w14:paraId="14F008E9">
      <w:pPr>
        <w:spacing w:after="60" w:line="300" w:lineRule="exact"/>
        <w:ind w:left="420" w:hanging="420"/>
      </w:pPr>
      <w:r>
        <w:rPr>
          <w:rFonts w:ascii="Times New Roman" w:hAnsi="Times New Roman" w:eastAsia="宋体"/>
          <w:b w:val="0"/>
          <w:sz w:val="21"/>
        </w:rPr>
        <w:t>[35] HOU X, et al. ADAgent: LLM Agent for Alzheimer's Disease Analysis with Collaborative Coordinator[DB/OL]. arXiv, 2025.</w:t>
      </w:r>
    </w:p>
    <w:p w14:paraId="4A89EF65">
      <w:pPr>
        <w:spacing w:after="60" w:line="300" w:lineRule="exact"/>
        <w:ind w:left="420" w:hanging="420"/>
      </w:pPr>
      <w:r>
        <w:rPr>
          <w:rFonts w:ascii="Times New Roman" w:hAnsi="Times New Roman" w:eastAsia="宋体"/>
          <w:b w:val="0"/>
          <w:sz w:val="21"/>
        </w:rPr>
        <w:t>[36] BAZGIR O, et al. AgenticAD: A Specialized Multi-Agent System Framework for Holistic Alzheimer's Disease Management[DB/OL]. arXiv, 2025.</w:t>
      </w:r>
    </w:p>
    <w:p w14:paraId="69A146F1">
      <w:pPr>
        <w:spacing w:after="60" w:line="300" w:lineRule="exact"/>
        <w:ind w:left="420" w:hanging="420"/>
      </w:pPr>
      <w:r>
        <w:rPr>
          <w:rFonts w:ascii="Times New Roman" w:hAnsi="Times New Roman" w:eastAsia="宋体"/>
          <w:b w:val="0"/>
          <w:sz w:val="21"/>
        </w:rPr>
        <w:t>[37] POSTUMA R B, BERG D, STERN M, et al. MDS clinical diagnostic criteria for Parkinson's disease[J]. Movement Disorders, 2015, 30(12): 1591-1601.</w:t>
      </w:r>
    </w:p>
    <w:p w14:paraId="76620F65">
      <w:pPr>
        <w:spacing w:after="60" w:line="300" w:lineRule="exact"/>
        <w:ind w:left="420" w:hanging="420"/>
      </w:pPr>
      <w:r>
        <w:rPr>
          <w:rFonts w:ascii="Times New Roman" w:hAnsi="Times New Roman" w:eastAsia="宋体"/>
          <w:b w:val="0"/>
          <w:sz w:val="21"/>
        </w:rPr>
        <w:t>[38] SIDEROWF A, CONCHA-MARONDONO J, LAFONTAINE A L, et al. Assessment of heterogeneity among participants in the Parkinson's Progression Markers Initiative cohort using alpha-synuclein seed amplification: a cross-sectional study[J]. The Lancet Neurology, 2023, 22(5): 407-417.</w:t>
      </w:r>
    </w:p>
    <w:p w14:paraId="4C0F5E02">
      <w:pPr>
        <w:spacing w:after="60" w:line="300" w:lineRule="exact"/>
        <w:ind w:left="420" w:hanging="420"/>
      </w:pPr>
      <w:r>
        <w:rPr>
          <w:rFonts w:ascii="Times New Roman" w:hAnsi="Times New Roman" w:eastAsia="宋体"/>
          <w:b w:val="0"/>
          <w:sz w:val="21"/>
        </w:rPr>
        <w:t>[39] GORNO-TEMPINI M L, HILLIS A E, WEINTRAUB S, et al. Classification of primary progressive aphasia and its variants[J]. Neurology, 2011, 76(11): 1006-1014.</w:t>
      </w:r>
    </w:p>
    <w:p w14:paraId="02285B00">
      <w:pPr>
        <w:spacing w:after="60" w:line="300" w:lineRule="exact"/>
        <w:ind w:left="420" w:hanging="420"/>
      </w:pPr>
      <w:r>
        <w:rPr>
          <w:rFonts w:ascii="Times New Roman" w:hAnsi="Times New Roman" w:eastAsia="宋体"/>
          <w:b w:val="0"/>
          <w:sz w:val="21"/>
        </w:rPr>
        <w:t>[40] COLLINS G S, MOONS K G M, DHIMAN P, et al. TRIPOD+AI statement: updated guidance for reporting clinical prediction models that use regression or machine learning methods[J]. BMJ, 2024, 385: q902.</w:t>
      </w:r>
    </w:p>
    <w:p w14:paraId="181F9FF6">
      <w:pPr>
        <w:spacing w:after="60" w:line="300" w:lineRule="exact"/>
        <w:ind w:left="420" w:hanging="420"/>
      </w:pPr>
      <w:r>
        <w:rPr>
          <w:rFonts w:ascii="Times New Roman" w:hAnsi="Times New Roman" w:eastAsia="宋体"/>
          <w:b w:val="0"/>
          <w:sz w:val="21"/>
        </w:rPr>
        <w:t>[41] LIU X, CRUZ RIVERA S, MOHER D, et al. Reporting guidelines for clinical trial reports for interventions involving artificial intelligence: the CONSORT-AI extension[J]. Nature Medicine, 2020, 26: 1364-1374.</w:t>
      </w:r>
    </w:p>
    <w:p w14:paraId="02333F80">
      <w:pPr>
        <w:spacing w:after="60" w:line="300" w:lineRule="exact"/>
        <w:ind w:left="420" w:hanging="420"/>
      </w:pPr>
      <w:r>
        <w:rPr>
          <w:rFonts w:ascii="Times New Roman" w:hAnsi="Times New Roman" w:eastAsia="宋体"/>
          <w:b w:val="0"/>
          <w:sz w:val="21"/>
        </w:rPr>
        <w:t>[42] RIVERA S C, LIU X, CHAN A W, et al. Guidelines for clinical trial protocols for interventions involving artificial intelligence: the SPIRIT-AI extension[J]. Nature Medicine, 2020, 26: 1351-1363.</w:t>
      </w:r>
    </w:p>
    <w:p w14:paraId="5BC9E578">
      <w:pPr>
        <w:spacing w:after="60" w:line="300" w:lineRule="exact"/>
        <w:ind w:left="420" w:hanging="420"/>
      </w:pPr>
      <w:r>
        <w:rPr>
          <w:rFonts w:ascii="Times New Roman" w:hAnsi="Times New Roman" w:eastAsia="宋体"/>
          <w:b w:val="0"/>
          <w:sz w:val="21"/>
        </w:rPr>
        <w:t>[43] MUELLER S G, WEINER M W, THAL L J, et al. Ways toward an early diagnosis in Alzheimer's disease: The Alzheimer's Disease Neuroimaging Initiative (ADNI)[J]. Alzheimer's &amp; Dementia, 2005, 1(1): 55-66.</w:t>
      </w:r>
    </w:p>
    <w:p w14:paraId="2AD26149">
      <w:pPr>
        <w:spacing w:after="60" w:line="300" w:lineRule="exact"/>
        <w:ind w:left="420" w:hanging="420"/>
      </w:pPr>
      <w:r>
        <w:rPr>
          <w:rFonts w:ascii="Times New Roman" w:hAnsi="Times New Roman" w:eastAsia="宋体"/>
          <w:sz w:val="21"/>
        </w:rPr>
        <w:t>[44] BEEKLY D L, RAMOS E M, LEE W W, et al. The National Alzheimer's Coordinating Center (NACC) database: the Uniform Data Set[J]. Alzheimer Disease and Associated Disorders, 2007, 21(3): 249-258.</w:t>
      </w:r>
    </w:p>
    <w:p w14:paraId="2081EA17">
      <w:pPr>
        <w:spacing w:after="60" w:line="300" w:lineRule="exact"/>
        <w:ind w:left="420" w:hanging="420"/>
      </w:pPr>
      <w:r>
        <w:rPr>
          <w:rFonts w:ascii="Times New Roman" w:hAnsi="Times New Roman" w:eastAsia="宋体"/>
          <w:b w:val="0"/>
          <w:sz w:val="21"/>
        </w:rPr>
        <w:t>[45] MARCUS D S, FOTI D, COURSOLLES M, et al. Open Access Series of Imaging Studies: Longitudinal MRI Data in Nondemented and Demented Older Adults[J]. Journal of Cognitive Neuroscience, 2010, 22(12): 2677-2684.</w:t>
      </w:r>
    </w:p>
    <w:p w14:paraId="481DE640">
      <w:pPr>
        <w:spacing w:after="60" w:line="300" w:lineRule="exact"/>
        <w:ind w:left="420" w:hanging="420"/>
      </w:pPr>
      <w:r>
        <w:rPr>
          <w:rFonts w:ascii="Times New Roman" w:hAnsi="Times New Roman" w:eastAsia="宋体"/>
          <w:sz w:val="21"/>
        </w:rPr>
        <w:t>[46] ELLIS K A, BUSH A I, DARBY D, et al. The Australian Imaging, Biomarkers and Lifestyle (AIBL) study of aging: methodology and baseline characteristics of 1112 individuals recruited for a longitudinal study of Alzheimer's disease[J]. International Psychogeriatrics, 2009, 21(4): 672-687.</w:t>
      </w:r>
    </w:p>
    <w:p w14:paraId="5ECC1CA7">
      <w:pPr>
        <w:spacing w:after="60" w:line="300" w:lineRule="exact"/>
        <w:ind w:left="420" w:hanging="420"/>
      </w:pPr>
      <w:r>
        <w:rPr>
          <w:rFonts w:ascii="Times New Roman" w:hAnsi="Times New Roman" w:eastAsia="宋体"/>
          <w:b w:val="0"/>
          <w:sz w:val="21"/>
        </w:rPr>
        <w:t>[47] MAREK K, JENNINGS D, LASCH S, et al. The Parkinson Progression Marker Initiative (PPMI)[J]. Progress in Neurobiology, 2011, 95(4): 629-635.</w:t>
      </w:r>
    </w:p>
    <w:p w14:paraId="761B39D0">
      <w:pPr>
        <w:spacing w:after="60" w:line="300" w:lineRule="exact"/>
        <w:ind w:left="420" w:hanging="420"/>
      </w:pPr>
      <w:r>
        <w:rPr>
          <w:rFonts w:ascii="Times New Roman" w:hAnsi="Times New Roman" w:eastAsia="宋体"/>
          <w:b w:val="0"/>
          <w:sz w:val="21"/>
        </w:rPr>
        <w:t>[48] BECKER J T, BOILER F, LOPEZ O L, et al. The natural history of Alzheimer's disease: description of study cohort and accuracy of diagnosis[J]. Archives of Neurology, 1994, 51(6): 585-594.</w:t>
      </w:r>
    </w:p>
    <w:p w14:paraId="52D3F34E">
      <w:pPr>
        <w:spacing w:after="60" w:line="300" w:lineRule="exact"/>
        <w:ind w:left="420" w:hanging="420"/>
      </w:pPr>
      <w:r>
        <w:rPr>
          <w:rFonts w:ascii="Times New Roman" w:hAnsi="Times New Roman" w:eastAsia="宋体"/>
          <w:b w:val="0"/>
          <w:sz w:val="21"/>
        </w:rPr>
        <w:t>[49] MILLER K L, ALFARO-ALMAGRO F, BABUYSKIN K, et al. Multimodal population brain imaging in the UK Biobank prospective epidemiological study[J]. Nature Neuroscience, 2016, 19(11): 1523-1536.</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4AC78">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PAGE</w:instrText>
    </w:r>
    <w:r>
      <w:rPr>
        <w:rFonts w:ascii="Times New Roman" w:hAnsi="Times New Roman" w:eastAsia="宋体"/>
        <w:b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161AD9"/>
    <w:multiLevelType w:val="singleLevel"/>
    <w:tmpl w:val="C3161AD9"/>
    <w:lvl w:ilvl="0" w:tentative="0">
      <w:start w:val="1"/>
      <w:numFmt w:val="chineseCounting"/>
      <w:suff w:val="nothing"/>
      <w:lvlText w:val="第%1，"/>
      <w:lvlJc w:val="left"/>
      <w:rPr>
        <w:rFonts w:hint="eastAsia"/>
      </w:rPr>
    </w:lvl>
  </w:abstractNum>
  <w:abstractNum w:abstractNumId="1">
    <w:nsid w:val="DD426428"/>
    <w:multiLevelType w:val="singleLevel"/>
    <w:tmpl w:val="DD426428"/>
    <w:lvl w:ilvl="0" w:tentative="0">
      <w:start w:val="6"/>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A957F2"/>
    <w:rsid w:val="3FE30BE5"/>
    <w:rsid w:val="549F1CA5"/>
    <w:rsid w:val="61365B9E"/>
    <w:rsid w:val="6D0C49F6"/>
    <w:rsid w:val="6E200FA4"/>
    <w:rsid w:val="6F287EC1"/>
    <w:rsid w:val="780B56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7425</Words>
  <Characters>14523</Characters>
  <Lines>0</Lines>
  <Paragraphs>0</Paragraphs>
  <TotalTime>14</TotalTime>
  <ScaleCrop>false</ScaleCrop>
  <LinksUpToDate>false</LinksUpToDate>
  <CharactersWithSpaces>15932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2026-09-14T11:02:14Z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eyJoZGlkIjoiYTMxZTZkZTU5ZDQzZjJmZjRlMTFjM2ZhYzNkMzk5ZmUiLCJ1c2VySWQiOiI4NjY4MDQ5MjkifQ==</vt:lpwstr>
  </property>
  <property fmtid="{D5CDD505-2E9C-101B-9397-08002B2CF9AE}" pid="3" name="KSOProductBuildVer">
    <vt:lpwstr>2052-12.1.0.28505</vt:lpwstr>
  </property>
  <property fmtid="{D5CDD505-2E9C-101B-9397-08002B2CF9AE}" pid="4" name="ICV">
    <vt:lpwstr>DC6AB9E832044358A73E3F69DFD64889_12</vt:lpwstr>
  </property>
</Properties>
</file>