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ascii="华文仿宋" w:hAnsi="华文仿宋" w:eastAsia="华文中宋" w:cs="华文中宋"/>
          <w:b/>
          <w:bCs/>
          <w:color w:val="000000"/>
          <w:sz w:val="32"/>
          <w:szCs w:val="32"/>
          <w:lang w:val="en-US" w:eastAsia="zh-Hans"/>
        </w:rPr>
      </w:pPr>
      <w:r>
        <w:rPr>
          <w:rFonts w:hint="default" w:ascii="华文中宋" w:hAnsi="华文中宋" w:eastAsia="华文中宋"/>
          <w:b/>
          <w:sz w:val="32"/>
          <w:szCs w:val="32"/>
        </w:rPr>
        <w:t>《</w:t>
      </w:r>
      <w:r>
        <w:rPr>
          <w:rFonts w:hint="eastAsia" w:ascii="华文中宋" w:hAnsi="华文中宋" w:eastAsia="华文中宋"/>
          <w:b/>
          <w:sz w:val="32"/>
          <w:szCs w:val="32"/>
        </w:rPr>
        <w:t>从机器学习到大模型实战</w:t>
      </w:r>
      <w:r>
        <w:rPr>
          <w:rFonts w:hint="default" w:ascii="华文中宋" w:hAnsi="华文中宋" w:eastAsia="华文中宋"/>
          <w:b/>
          <w:sz w:val="32"/>
          <w:szCs w:val="32"/>
        </w:rPr>
        <w:t>》</w:t>
      </w:r>
      <w:r>
        <w:rPr>
          <w:rFonts w:hint="eastAsia" w:ascii="华文中宋" w:hAnsi="华文中宋" w:eastAsia="华文中宋"/>
          <w:b/>
          <w:sz w:val="32"/>
          <w:szCs w:val="32"/>
          <w:lang w:val="en-US" w:eastAsia="zh-Hans"/>
        </w:rPr>
        <w:t>培训</w:t>
      </w:r>
    </w:p>
    <w:p>
      <w:pPr>
        <w:numPr>
          <w:ilvl w:val="0"/>
          <w:numId w:val="1"/>
        </w:numPr>
        <w:spacing w:line="320" w:lineRule="exact"/>
        <w:jc w:val="both"/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讲师介绍</w:t>
      </w:r>
    </w:p>
    <w:p>
      <w:pPr>
        <w:snapToGrid w:val="0"/>
        <w:spacing w:line="440" w:lineRule="exact"/>
        <w:ind w:firstLine="560" w:firstLineChars="200"/>
        <w:rPr>
          <w:rFonts w:ascii="华文仿宋" w:hAnsi="华文仿宋" w:eastAsia="华文仿宋" w:cs="华文中宋"/>
          <w:color w:val="000000"/>
          <w:sz w:val="28"/>
          <w:szCs w:val="28"/>
        </w:rPr>
      </w:pPr>
      <w:r>
        <w:rPr>
          <w:rFonts w:ascii="华文仿宋" w:hAnsi="华文仿宋" w:eastAsia="华文仿宋" w:cs="华文中宋"/>
          <w:color w:val="000000"/>
          <w:sz w:val="28"/>
          <w:szCs w:val="28"/>
        </w:rPr>
        <w:t>邹伟</w:t>
      </w:r>
      <w:r>
        <w:rPr>
          <w:rFonts w:hint="default" w:ascii="华文仿宋" w:hAnsi="华文仿宋" w:eastAsia="华文仿宋" w:cs="华文中宋"/>
          <w:color w:val="000000"/>
          <w:sz w:val="28"/>
          <w:szCs w:val="28"/>
        </w:rPr>
        <w:t xml:space="preserve"> </w:t>
      </w:r>
      <w:r>
        <w:rPr>
          <w:rFonts w:hint="eastAsia" w:ascii="华文仿宋" w:hAnsi="华文仿宋" w:eastAsia="华文仿宋" w:cs="华文中宋"/>
          <w:color w:val="000000"/>
          <w:sz w:val="28"/>
          <w:szCs w:val="28"/>
          <w:lang w:val="en-US" w:eastAsia="zh-Hans"/>
        </w:rPr>
        <w:t>博士</w:t>
      </w:r>
      <w:r>
        <w:rPr>
          <w:rFonts w:ascii="华文仿宋" w:hAnsi="华文仿宋" w:eastAsia="华文仿宋" w:cs="华文中宋"/>
          <w:color w:val="000000"/>
          <w:sz w:val="28"/>
          <w:szCs w:val="28"/>
        </w:rPr>
        <w:t>，睿客邦创始人，华东建筑设计研究院研究员、山东交通学院客座教授、硕士生导师，南昌航空大学双师型教师、中国软件行业协会专家委员、上海市计划生育科学研究所特聘专家、天津大学创业导师、中国医药教育协会老年运动与健康分会学术委员、《聊城大学学报》编委；睿客邦当前进入发展第4年，已经与全国十多所高校建立了AI联合实验室，完成和在研50多个AI工业项目，广泛应用于医疗、交通、农业、气象、银行、电信等多个领域。</w:t>
      </w:r>
      <w:bookmarkStart w:id="0" w:name="OLE_LINK2"/>
      <w:bookmarkStart w:id="1" w:name="OLE_LINK1"/>
      <w:r>
        <w:rPr>
          <w:rFonts w:ascii="华文仿宋" w:hAnsi="华文仿宋" w:eastAsia="华文仿宋" w:cs="华文中宋"/>
          <w:color w:val="000000"/>
          <w:sz w:val="28"/>
          <w:szCs w:val="28"/>
        </w:rPr>
        <w:t>合作企业有：中国电信、中国移动、CSDN，中国建设银行等。在国内外期刊会议发表论文10 余篇，获得国家发明专利1 项，著书1本，译书6本。</w:t>
      </w:r>
      <w:bookmarkEnd w:id="0"/>
      <w:bookmarkEnd w:id="1"/>
    </w:p>
    <w:p>
      <w:pPr>
        <w:numPr>
          <w:ilvl w:val="0"/>
          <w:numId w:val="0"/>
        </w:numPr>
        <w:spacing w:line="320" w:lineRule="exact"/>
        <w:jc w:val="both"/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20" w:lineRule="exact"/>
        <w:jc w:val="both"/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培训时间</w:t>
      </w:r>
    </w:p>
    <w:p>
      <w:pPr>
        <w:numPr>
          <w:ilvl w:val="0"/>
          <w:numId w:val="0"/>
        </w:numPr>
        <w:spacing w:line="320" w:lineRule="exact"/>
        <w:ind w:firstLine="420" w:firstLineChars="0"/>
        <w:jc w:val="both"/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初定</w:t>
      </w:r>
      <w:r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eastAsia="zh-Hans"/>
        </w:rPr>
        <w:t xml:space="preserve"> 6</w:t>
      </w: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月</w:t>
      </w:r>
      <w:r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eastAsia="zh-Hans"/>
        </w:rPr>
        <w:t>2</w:t>
      </w: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日</w:t>
      </w:r>
      <w:r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eastAsia="zh-Hans"/>
        </w:rPr>
        <w:t>、3</w:t>
      </w: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日</w:t>
      </w:r>
    </w:p>
    <w:p>
      <w:pPr>
        <w:numPr>
          <w:ilvl w:val="0"/>
          <w:numId w:val="0"/>
        </w:numPr>
        <w:spacing w:line="320" w:lineRule="exact"/>
        <w:jc w:val="both"/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20" w:lineRule="exact"/>
        <w:jc w:val="both"/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学员要求</w:t>
      </w:r>
    </w:p>
    <w:p>
      <w:pPr>
        <w:numPr>
          <w:ilvl w:val="0"/>
          <w:numId w:val="0"/>
        </w:numPr>
        <w:spacing w:line="320" w:lineRule="exact"/>
        <w:ind w:firstLine="420" w:firstLineChars="0"/>
        <w:jc w:val="both"/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有</w:t>
      </w:r>
      <w:r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eastAsia="zh-Hans"/>
        </w:rPr>
        <w:t>Python</w:t>
      </w: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基础</w:t>
      </w:r>
      <w:r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eastAsia="zh-Hans"/>
        </w:rPr>
        <w:t>，</w:t>
      </w: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对AI技术感兴趣</w:t>
      </w:r>
      <w:r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eastAsia="zh-Hans"/>
        </w:rPr>
        <w:t>，</w:t>
      </w: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自带笔记本电脑</w:t>
      </w:r>
    </w:p>
    <w:p>
      <w:pPr>
        <w:numPr>
          <w:ilvl w:val="0"/>
          <w:numId w:val="0"/>
        </w:numPr>
        <w:spacing w:line="320" w:lineRule="exact"/>
        <w:jc w:val="both"/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</w:p>
    <w:p>
      <w:pPr>
        <w:numPr>
          <w:ilvl w:val="0"/>
          <w:numId w:val="1"/>
        </w:numPr>
        <w:spacing w:line="320" w:lineRule="exact"/>
        <w:jc w:val="both"/>
        <w:rPr>
          <w:rFonts w:hint="default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</w:pPr>
      <w:r>
        <w:rPr>
          <w:rFonts w:hint="eastAsia" w:ascii="华文仿宋" w:hAnsi="华文仿宋" w:eastAsia="华文仿宋" w:cs="华文中宋"/>
          <w:b/>
          <w:bCs/>
          <w:color w:val="000000"/>
          <w:sz w:val="32"/>
          <w:szCs w:val="32"/>
          <w:lang w:val="en-US" w:eastAsia="zh-Hans"/>
        </w:rPr>
        <w:t>培训内容</w:t>
      </w:r>
    </w:p>
    <w:tbl>
      <w:tblPr>
        <w:tblStyle w:val="2"/>
        <w:tblpPr w:leftFromText="180" w:rightFromText="180" w:vertAnchor="text" w:horzAnchor="page" w:tblpX="1322" w:tblpY="6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677"/>
        <w:gridCol w:w="3686"/>
      </w:tblGrid>
      <w:tr>
        <w:trPr>
          <w:trHeight w:val="411" w:hRule="atLeast"/>
        </w:trPr>
        <w:tc>
          <w:tcPr>
            <w:tcW w:w="1101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9" w:name="_GoBack"/>
            <w:r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主要内容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代码和案例实践</w:t>
            </w:r>
          </w:p>
        </w:tc>
      </w:tr>
      <w:tr>
        <w:trPr>
          <w:trHeight w:val="411" w:hRule="atLeast"/>
        </w:trPr>
        <w:tc>
          <w:tcPr>
            <w:tcW w:w="1101" w:type="dxa"/>
            <w:vMerge w:val="restart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line="240" w:lineRule="exact"/>
              <w:jc w:val="left"/>
              <w:rPr>
                <w:rFonts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line="240" w:lineRule="exact"/>
              <w:jc w:val="left"/>
              <w:rPr>
                <w:rFonts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第一</w:t>
            </w:r>
            <w:r>
              <w:rPr>
                <w:rFonts w:hint="eastAsia" w:ascii="宋体" w:hAnsi="宋体" w:cs="宋体"/>
                <w:b/>
                <w:color w:val="000000" w:themeColor="text1"/>
                <w:sz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天</w:t>
            </w:r>
            <w:r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napToGrid w:val="0"/>
              <w:spacing w:line="240" w:lineRule="exact"/>
              <w:jc w:val="left"/>
              <w:rPr>
                <w:rFonts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Python与机器学习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Python基础学习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解释器Python2.7/3.x、IDE：Anaconda/Pycharm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Python常用库介绍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spacing w:val="0"/>
                <w:w w:val="100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常用的模型和应用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spacing w:val="0"/>
                <w:w w:val="100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AI项目的实战架构流程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公路堵车概率模型Nagel-Schreckenberg实现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负二项分布与比赛胜率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本福特定律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蝴蝶效应：Lorenz系统的三维绘制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11" w:hRule="atLeast"/>
        </w:trPr>
        <w:tc>
          <w:tcPr>
            <w:tcW w:w="1101" w:type="dxa"/>
            <w:vMerge w:val="continue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回归分析</w:t>
            </w:r>
          </w:p>
          <w:p>
            <w:pPr>
              <w:numPr>
                <w:ilvl w:val="0"/>
                <w:numId w:val="3"/>
              </w:numPr>
              <w:snapToGrid w:val="0"/>
              <w:spacing w:line="240" w:lineRule="exact"/>
              <w:jc w:val="left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线性回归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Logistic/Softmax回归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广义线性回归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L1/L2正则化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梯度下降算法：BGD与SGD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特征选择与过拟合</w:t>
            </w:r>
          </w:p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数据预处理与特征工程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回归算法儿童身高预测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股票数据的特征提取和应用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泰坦尼克号乘客缺失数据处理和存活率预测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广告投入与销售额回归分析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鸢尾花数据集的分类</w:t>
            </w:r>
          </w:p>
        </w:tc>
      </w:tr>
      <w:tr>
        <w:trPr>
          <w:trHeight w:val="411" w:hRule="atLeast"/>
        </w:trPr>
        <w:tc>
          <w:tcPr>
            <w:tcW w:w="1101" w:type="dxa"/>
            <w:vMerge w:val="continue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决策树和随机森林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熵、联合熵、条件熵、KL散度、互信息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最大似然估计与最大熵模型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ID3、C4.5、CART详解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决策树的正则化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预剪枝和后剪枝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Bagging  Boosting AdaBoost  GBDT XGBoost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随机森林</w:t>
            </w:r>
          </w:p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10"/>
            <w:bookmarkStart w:id="3" w:name="OLE_LINK12"/>
            <w:bookmarkStart w:id="4" w:name="OLE_LINK11"/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用户行为分析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根据三围信息判断性别</w:t>
            </w:r>
          </w:p>
          <w:bookmarkEnd w:id="2"/>
          <w:bookmarkEnd w:id="3"/>
          <w:bookmarkEnd w:id="4"/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5" w:name="OLE_LINK6"/>
            <w:bookmarkStart w:id="6" w:name="OLE_LINK5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葡萄酒数据集</w:t>
            </w:r>
            <w:bookmarkEnd w:id="5"/>
            <w:bookmarkEnd w:id="6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的决策树/随机森林分类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7" w:name="OLE_LINK4"/>
            <w:bookmarkStart w:id="8" w:name="OLE_LINK3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泰坦尼克乘客存活率</w:t>
            </w:r>
            <w:bookmarkEnd w:id="7"/>
            <w:bookmarkEnd w:id="8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估计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spacing w:val="0"/>
                <w:w w:val="100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信用卡用户欺诈检测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spacing w:val="0"/>
                <w:w w:val="100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用户离网分析预测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网络运维中吞吐量估计与误差分析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11" w:hRule="atLeast"/>
        </w:trPr>
        <w:tc>
          <w:tcPr>
            <w:tcW w:w="1101" w:type="dxa"/>
            <w:vMerge w:val="continue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线性可分支持向量机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软间隔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损失函数的理解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核函数的原理和选择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SMO算法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支持向量回归SVR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多分类SVM</w:t>
            </w:r>
          </w:p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用户分类和聚类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支持向量机手写数字图像识别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原始数据和特征提取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调用开源库函数完成SVM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数字图像的手写体识别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MNIST手写体识别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SVR用于时间序列曲线预测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SVM、Logistic回归、随机森林三者的横向比较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垃圾邮件分类</w:t>
            </w:r>
          </w:p>
        </w:tc>
      </w:tr>
      <w:tr>
        <w:trPr>
          <w:trHeight w:val="411" w:hRule="atLeast"/>
        </w:trPr>
        <w:tc>
          <w:tcPr>
            <w:tcW w:w="110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集成学习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个体与集成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Boosting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随机森林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Bagging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GBDT和XGBoost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 w:ascii="宋体" w:hAnsi="宋体" w:cs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Stacking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用户画像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使用集成学习构建初级学习器和次级学习器。</w:t>
            </w:r>
          </w:p>
          <w:p>
            <w:pPr>
              <w:pStyle w:val="4"/>
              <w:numPr>
                <w:ilvl w:val="0"/>
                <w:numId w:val="2"/>
              </w:numPr>
              <w:pBdr>
                <w:bottom w:val="none" w:color="auto" w:sz="0" w:space="0"/>
              </w:pBd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RF和GBDT实现乳腺癌和鸢尾花的分类</w:t>
            </w:r>
          </w:p>
          <w:p>
            <w:pPr>
              <w:numPr>
                <w:ilvl w:val="0"/>
                <w:numId w:val="2"/>
              </w:numPr>
              <w:snapToGrid/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内容画像构建（搭建基础、关键词提取、注意力机制）</w:t>
            </w:r>
          </w:p>
          <w:p>
            <w:pPr>
              <w:numPr>
                <w:ilvl w:val="0"/>
                <w:numId w:val="2"/>
              </w:numPr>
              <w:pBdr>
                <w:bottom w:val="none" w:color="auto" w:sz="0" w:space="0"/>
              </w:pBdr>
              <w:snapToGrid/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用户画像（用户画像的架构、扩展、排序召回）</w:t>
            </w:r>
          </w:p>
        </w:tc>
      </w:tr>
      <w:tr>
        <w:trPr>
          <w:trHeight w:val="411" w:hRule="atLeast"/>
        </w:trPr>
        <w:tc>
          <w:tcPr>
            <w:tcW w:w="1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 w:eastAsiaTheme="minorEastAsia"/>
                <w:b/>
                <w:color w:val="000000" w:themeColor="text1"/>
                <w:sz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b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不同模型的使用场景总结</w:t>
            </w:r>
          </w:p>
          <w:p>
            <w:pPr>
              <w:pStyle w:val="4"/>
              <w:numPr>
                <w:ilvl w:val="0"/>
                <w:numId w:val="0"/>
              </w:numPr>
              <w:ind w:left="0" w:lef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各种机器学习模型的调参经验分享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1415" w:hRule="atLeast"/>
        </w:trPr>
        <w:tc>
          <w:tcPr>
            <w:tcW w:w="1101" w:type="dxa"/>
            <w:vMerge w:val="restart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ascii="宋体" w:hAnsi="宋体" w:cs="华文中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华文中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第二</w:t>
            </w:r>
            <w:r>
              <w:rPr>
                <w:rFonts w:hint="eastAsia" w:ascii="宋体" w:hAnsi="宋体" w:cs="华文中宋"/>
                <w:b/>
                <w:bCs/>
                <w:color w:val="000000" w:themeColor="text1"/>
                <w:sz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天</w:t>
            </w:r>
            <w:r>
              <w:rPr>
                <w:rFonts w:hint="eastAsia" w:ascii="宋体" w:hAnsi="宋体" w:cs="华文中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napToGrid w:val="0"/>
              <w:spacing w:line="240" w:lineRule="exact"/>
              <w:jc w:val="left"/>
              <w:rPr>
                <w:rFonts w:ascii="宋体" w:hAnsi="宋体" w:cs="华文中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 w:eastAsiaTheme="minorEastAsia"/>
                <w:b/>
                <w:bCs/>
                <w:color w:val="000000" w:themeColor="text1"/>
                <w:sz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华文中宋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推荐系统</w:t>
            </w:r>
            <w:r>
              <w:rPr>
                <w:rFonts w:hint="eastAsia" w:ascii="宋体" w:hAnsi="宋体" w:cs="华文中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及</w:t>
            </w:r>
            <w:r>
              <w:rPr>
                <w:rFonts w:hint="eastAsia" w:ascii="宋体" w:hAnsi="宋体" w:cs="华文中宋"/>
                <w:b/>
                <w:bCs/>
                <w:color w:val="000000" w:themeColor="text1"/>
                <w:sz w:val="24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大模型</w:t>
            </w:r>
          </w:p>
        </w:tc>
        <w:tc>
          <w:tcPr>
            <w:tcW w:w="4677" w:type="dxa"/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神经网络结构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滤波器，卷积池化，激活函数，反向传播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目标分类与识别、目标检测与追踪AlexNet、VGGNet、GoogleLeNet Inception-V3/V4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 w:ascii="Helvetica Neue" w:hAnsi="Helvetica Neue"/>
                <w:color w:val="000000" w:themeColor="text1"/>
                <w:shd w:val="clear" w:color="auto" w:fill="FCFCFC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ResNet、DenseNet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 w:ascii="Helvetica Neue" w:hAnsi="Helvetica Neue"/>
                <w:color w:val="000000" w:themeColor="text1"/>
                <w:shd w:val="clear" w:color="auto" w:fill="FCFCFC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其他视频处理算法简要介绍</w:t>
            </w:r>
          </w:p>
        </w:tc>
        <w:tc>
          <w:tcPr>
            <w:tcW w:w="3686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视频图片分析案例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数字图片分类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卷积核与特征提取以图搜图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人证合一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卷积神经网络调参经验分享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睿客狗脸识别案例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气象设备海量雨量筒图片识别 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睿客识云</w:t>
            </w:r>
            <w:r>
              <w:rPr>
                <w:i w:val="0"/>
                <w:strike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4"/>
              <w:ind w:left="0"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1125" w:hRule="atLeast"/>
        </w:trPr>
        <w:tc>
          <w:tcPr>
            <w:tcW w:w="1101" w:type="dxa"/>
            <w:vMerge w:val="continue"/>
            <w:vAlign w:val="center"/>
          </w:tcPr>
          <w:p>
            <w:pPr>
              <w:snapToGrid w:val="0"/>
              <w:spacing w:line="240" w:lineRule="exact"/>
              <w:jc w:val="left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经典推荐算法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隐特征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LFM、SVD、FunkSVD</w:t>
            </w:r>
          </w:p>
          <w:p>
            <w:pPr>
              <w:pStyle w:val="5"/>
              <w:numPr>
                <w:ilvl w:val="0"/>
                <w:numId w:val="0"/>
              </w:numPr>
              <w:pBdr>
                <w:bottom w:val="none" w:color="auto" w:sz="0" w:space="0"/>
              </w:pBd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协同过滤:user-CF/Item-CF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86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推荐案例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基于LR的线上推荐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基于用户协的文本推荐</w:t>
            </w:r>
          </w:p>
        </w:tc>
      </w:tr>
      <w:tr>
        <w:trPr>
          <w:trHeight w:val="357" w:hRule="atLeast"/>
        </w:trPr>
        <w:tc>
          <w:tcPr>
            <w:tcW w:w="1101" w:type="dxa"/>
            <w:vMerge w:val="continue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深度学习推荐算法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b w:val="0"/>
                <w:i w:val="0"/>
                <w:strike w:val="0"/>
                <w:color w:val="000000" w:themeColor="text1"/>
                <w:spacing w:val="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深度 Matching 方法、（MF 召回法、Embedding 与稀疏 ID 类特征、 Item-CF 召回与 Item2Vec、Airbnb 序列召回，LSH，Simhas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 w:themeColor="text1"/>
                <w:spacing w:val="0"/>
                <w:u w:val="none"/>
                <w14:textFill>
                  <w14:solidFill>
                    <w14:schemeClr w14:val="tx1"/>
                  </w14:solidFill>
                </w14:textFill>
              </w:rPr>
              <w:t>h）</w:t>
            </w:r>
          </w:p>
          <w:p>
            <w:pPr>
              <w:pStyle w:val="4"/>
              <w:numPr>
                <w:ilvl w:val="0"/>
                <w:numId w:val="2"/>
              </w:numPr>
              <w:pBdr>
                <w:bottom w:val="none" w:color="auto" w:sz="0" w:space="0"/>
              </w:pBdr>
              <w:ind w:firstLineChars="0"/>
              <w:rPr>
                <w:rFonts w:ascii="宋体" w:hAnsi="宋体" w:eastAsia="宋体" w:cs="宋体"/>
                <w:b w:val="0"/>
                <w:i w:val="0"/>
                <w:strike w:val="0"/>
                <w:color w:val="000000" w:themeColor="text1"/>
                <w:spacing w:val="0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 w:themeColor="text1"/>
                <w:spacing w:val="0"/>
                <w:u w:val="none"/>
                <w14:textFill>
                  <w14:solidFill>
                    <w14:schemeClr w14:val="tx1"/>
                  </w14:solidFill>
                </w14:textFill>
              </w:rPr>
              <w:t>Graph Embedding 与用户行为构建图（（Deepwalk、Node2Vec、LINE、Alias 采样、Graph Embeddi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86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推荐案例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Item2Vec 实战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基于图深度网络的新闻推荐项</w:t>
            </w:r>
            <w:r>
              <w:rPr>
                <w:rFonts w:ascii="宋体" w:hAnsi="宋体" w:eastAsia="宋体" w:cs="宋体"/>
                <w:b w:val="0"/>
                <w:i w:val="0"/>
                <w:strike w:val="0"/>
                <w:color w:val="000000" w:themeColor="text1"/>
                <w:spacing w:val="0"/>
                <w:u w:val="none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57" w:hRule="atLeast"/>
        </w:trPr>
        <w:tc>
          <w:tcPr>
            <w:tcW w:w="1101" w:type="dxa"/>
            <w:vMerge w:val="continue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hint="eastAsia"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ARIMA、时间序列分析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一维卷积、指数平均和滑动平均、Prophet 模型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MaxPooling 做光滑Attention CNN+LSTM 模型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Bi-LSTM 双向循环网络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Keras 函数式 API 与回调函数</w:t>
            </w:r>
          </w:p>
        </w:tc>
        <w:tc>
          <w:tcPr>
            <w:tcW w:w="3686" w:type="dxa"/>
            <w:vAlign w:val="center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</w:t>
            </w:r>
            <w:r>
              <w:rPr>
                <w:rFonts w:hint="defaul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时间序列预测模型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时间序列算法：自回归、移动平均和整合模型股票走势可视化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突变点分析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股票预测模型建立模型训练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预测与评估</w:t>
            </w:r>
          </w:p>
          <w:p>
            <w:pPr>
              <w:numPr>
                <w:ilvl w:val="0"/>
                <w:numId w:val="2"/>
              </w:numPr>
              <w:pBdr>
                <w:bottom w:val="none" w:color="auto" w:sz="0" w:space="0"/>
              </w:pBdr>
              <w:snapToGrid/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 w:val="0"/>
                <w:strike w:val="0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生猪价格预测  </w:t>
            </w:r>
          </w:p>
        </w:tc>
      </w:tr>
      <w:tr>
        <w:trPr>
          <w:trHeight w:val="416" w:hRule="atLeast"/>
        </w:trPr>
        <w:tc>
          <w:tcPr>
            <w:tcW w:w="1101" w:type="dxa"/>
            <w:vMerge w:val="continue"/>
            <w:vAlign w:val="center"/>
          </w:tcPr>
          <w:p>
            <w:pPr>
              <w:snapToGrid w:val="0"/>
              <w:spacing w:line="240" w:lineRule="exact"/>
              <w:jc w:val="left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77" w:type="dxa"/>
            <w:vAlign w:val="center"/>
          </w:tcPr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hatGPT</w:t>
            </w:r>
          </w:p>
          <w:p>
            <w:pPr>
              <w:tabs>
                <w:tab w:val="left" w:pos="420"/>
              </w:tabs>
              <w:snapToGrid w:val="0"/>
              <w:spacing w:line="24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监督微调（SFT）模型、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指示学习和提示学习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简单提示、小样本提示、基于用户的提示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指令微调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RLLHF技术详解（从人类的反馈中学习）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聚合问答数据训练奖励模型（RM）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强化学习微调、PPO、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InstructGPT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遵循用户意图使用强化学习方案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Instruct Learning vs. Prompt Learning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ChatGPT增加增加了Chat属性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系统的新范式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GPT1-GPT2-GPT3-InstructGPT的-chatGPT的技术关</w:t>
            </w:r>
          </w:p>
        </w:tc>
        <w:tc>
          <w:tcPr>
            <w:tcW w:w="3686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pBdr>
                <w:bottom w:val="none" w:color="auto" w:sz="0" w:space="0"/>
              </w:pBdr>
              <w:ind w:leftChars="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案例：我们如何基于开源大模型完成我们的项目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实战：使用chatGPT打造你的私人聊天助理（revchatGPT）</w:t>
            </w:r>
          </w:p>
          <w:p>
            <w:pPr>
              <w:pStyle w:val="4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实战：演示提示词技巧，翻译器润色器、JavaScript 控制台 、Excel Sheet</w:t>
            </w:r>
          </w:p>
          <w:p>
            <w:pPr>
              <w:pStyle w:val="4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实战：网站定制chatgpt-web</w:t>
            </w:r>
          </w:p>
          <w:p>
            <w:pPr>
              <w:snapToGrid w:val="0"/>
              <w:spacing w:line="240" w:lineRule="exact"/>
              <w:jc w:val="left"/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9"/>
    </w:tbl>
    <w:p>
      <w:pPr>
        <w:spacing w:line="400" w:lineRule="exact"/>
        <w:jc w:val="center"/>
        <w:rPr>
          <w:rFonts w:hint="eastAsia" w:ascii="华文仿宋" w:hAnsi="华文仿宋" w:eastAsia="华文仿宋" w:cs="华文中宋"/>
          <w:color w:val="000000"/>
          <w:sz w:val="28"/>
          <w:szCs w:val="28"/>
        </w:rPr>
      </w:pPr>
    </w:p>
    <w:p>
      <w:pPr>
        <w:spacing w:line="400" w:lineRule="exact"/>
        <w:rPr>
          <w:rFonts w:ascii="华文仿宋" w:hAnsi="华文仿宋" w:eastAsia="华文仿宋" w:cs="华文中宋"/>
          <w:color w:val="000000"/>
          <w:sz w:val="24"/>
        </w:rPr>
      </w:pPr>
      <w:r>
        <w:rPr>
          <w:rFonts w:hint="eastAsia" w:ascii="华文仿宋" w:hAnsi="华文仿宋" w:eastAsia="华文仿宋" w:cs="华文中宋"/>
          <w:color w:val="000000"/>
          <w:sz w:val="24"/>
        </w:rPr>
        <w:t>注</w:t>
      </w:r>
      <w:r>
        <w:rPr>
          <w:rFonts w:ascii="华文仿宋" w:hAnsi="华文仿宋" w:eastAsia="华文仿宋" w:cs="华文中宋"/>
          <w:color w:val="000000"/>
          <w:sz w:val="24"/>
        </w:rPr>
        <w:t>：</w:t>
      </w:r>
    </w:p>
    <w:p>
      <w:pPr>
        <w:numPr>
          <w:ilvl w:val="0"/>
          <w:numId w:val="5"/>
        </w:numPr>
        <w:spacing w:line="400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sz w:val="24"/>
        </w:rPr>
        <w:t>内容可根据学员需求微调，以现场通知为准。</w:t>
      </w:r>
    </w:p>
    <w:p>
      <w:pPr>
        <w:numPr>
          <w:ilvl w:val="0"/>
          <w:numId w:val="5"/>
        </w:numPr>
        <w:spacing w:line="400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报名赠送全部PPT和案例源代码、实验录播课及实验手册等资源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0000000000000000000"/>
    <w:charset w:val="00"/>
    <w:family w:val="auto"/>
    <w:pitch w:val="default"/>
    <w:sig w:usb0="00000000" w:usb1="00000000" w:usb2="00000010" w:usb3="00000000" w:csb0="0004009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F00DB"/>
    <w:multiLevelType w:val="singleLevel"/>
    <w:tmpl w:val="9EBF00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F8750C"/>
    <w:multiLevelType w:val="singleLevel"/>
    <w:tmpl w:val="FBF875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1E40AB"/>
    <w:multiLevelType w:val="multilevel"/>
    <w:tmpl w:val="1D1E40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C26361B"/>
    <w:multiLevelType w:val="multilevel"/>
    <w:tmpl w:val="3C2636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6DA5D18"/>
    <w:multiLevelType w:val="multilevel"/>
    <w:tmpl w:val="76DA5D18"/>
    <w:lvl w:ilvl="0" w:tentative="0">
      <w:start w:val="0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BA2A3"/>
    <w:rsid w:val="5DDBEFB5"/>
    <w:rsid w:val="9FFBA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qFormat/>
    <w:uiPriority w:val="0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eastAsia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2023-05-24T00:14:00Z</dcterms:created>
  <dc:creator>WPS作者</dc:creator>
  <cp:lastModifiedBy>WPS作者</cp:lastModifiedBy>
  <dcterms:modified xsi:type="dcterms:W3CDTF">2023-05-23T16:24:13Z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3576BB862CE68299FE756C641452D27F</vt:lpwstr>
  </property>
</Properties>
</file>