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b/>
          <w:sz w:val="40"/>
        </w:rPr>
        <w:t>End-to-End E-Commerce Predictive Analytics: Delivery Lead Time Regression and Review Detractor Classification at Checkout</w:t>
      </w:r>
    </w:p>
    <w:p>
      <w:pPr>
        <w:pStyle w:val="Subtitle"/>
      </w:pPr>
      <w:r>
        <w:rPr>
          <w:rFonts w:ascii="Times New Roman" w:hAnsi="Times New Roman"/>
          <w:b/>
          <w:i/>
          <w:sz w:val="25"/>
        </w:rPr>
        <w:t>Course</w:t>
      </w:r>
      <w:r>
        <w:rPr>
          <w:rFonts w:ascii="Times New Roman" w:hAnsi="Times New Roman"/>
          <w:i/>
          <w:sz w:val="25"/>
        </w:rPr>
        <w:t>: IT5006 — Fundamentals of Data Analytics (AY 2026/2027 Semester 1)</w:t>
      </w:r>
    </w:p>
    <w:p>
      <w:pPr>
        <w:spacing w:before="0" w:after="240"/>
      </w:pPr>
      <w:r>
        <w:rPr>
          <w:rFonts w:ascii="Times New Roman" w:hAnsi="Times New Roman"/>
          <w:b/>
          <w:sz w:val="21"/>
        </w:rPr>
        <w:t>Team</w:t>
      </w:r>
      <w:r>
        <w:rPr>
          <w:rFonts w:ascii="Times New Roman" w:hAnsi="Times New Roman"/>
          <w:sz w:val="21"/>
        </w:rPr>
        <w:t>: Team 11</w:t>
      </w:r>
    </w:p>
    <w:p>
      <w:pPr/>
      <w:r>
        <w:rPr>
          <w:rFonts w:ascii="Times New Roman" w:hAnsi="Times New Roman"/>
          <w:b/>
          <w:sz w:val="22"/>
        </w:rPr>
        <w:t>Project Phase</w:t>
      </w:r>
      <w:r>
        <w:rPr>
          <w:rFonts w:ascii="Times New Roman" w:hAnsi="Times New Roman"/>
          <w:sz w:val="22"/>
        </w:rPr>
        <w:t>: Phase / Milestone 2: Analytics Implementation — Problem Definition, Model Building &amp; Evaluation</w:t>
      </w:r>
    </w:p>
    <w:p>
      <w:pPr/>
      <w:r>
        <w:rPr>
          <w:rFonts w:ascii="Times New Roman" w:hAnsi="Times New Roman"/>
          <w:b/>
          <w:sz w:val="22"/>
        </w:rPr>
        <w:t>Target Audience</w:t>
      </w:r>
      <w:r>
        <w:rPr>
          <w:rFonts w:ascii="Times New Roman" w:hAnsi="Times New Roman"/>
          <w:sz w:val="22"/>
        </w:rPr>
        <w:t>: Academic Reviewers, Course Instructors, and Enterprise Analytics Leadership</w:t>
      </w:r>
    </w:p>
    <w:p>
      <w:pPr/>
      <w:r>
        <w:rPr>
          <w:rFonts w:ascii="Times New Roman" w:hAnsi="Times New Roman"/>
          <w:b/>
          <w:sz w:val="22"/>
        </w:rPr>
        <w:t>Deliverable Document</w:t>
      </w:r>
      <w:r>
        <w:rPr>
          <w:rFonts w:ascii="Times New Roman" w:hAnsi="Times New Roman"/>
          <w:sz w:val="22"/>
        </w:rPr>
        <w:t>: Technical Report (6–8 Page Core Narrative Body with Self-Contained Verification Appendices)</w:t>
      </w:r>
    </w:p>
    <w:p>
      <w:pPr/>
      <w:r>
        <w:rPr>
          <w:rFonts w:ascii="Times New Roman" w:hAnsi="Times New Roman"/>
          <w:b/>
          <w:sz w:val="22"/>
        </w:rPr>
        <w:t>Canonical Repository</w:t>
      </w:r>
      <w:r>
        <w:rPr>
          <w:rFonts w:ascii="Times New Roman" w:hAnsi="Times New Roman"/>
          <w:sz w:val="22"/>
        </w:rPr>
        <w:t xml:space="preserve">: </w:t>
      </w:r>
      <w:hyperlink r:id="rId12">
        <w:r>
          <w:rPr>
            <w:color w:val="0563C1"/>
            <w:u w:val="single"/>
            <w:rFonts w:ascii="Times New Roman" w:hAnsi="Times New Roman"/>
            <w:sz w:val="22"/>
          </w:rPr>
          <w:t>https://github.com/wuqianzong/Team11_IT5006_Ecommerce_Analytics_AY2627Sem1</w:t>
        </w:r>
      </w:hyperlink>
      <w:r>
        <w:rPr>
          <w:rFonts w:ascii="Times New Roman" w:hAnsi="Times New Roman"/>
          <w:sz w:val="22"/>
        </w:rPr>
        <w:t xml:space="preserve"> (Branch: </w:t>
      </w:r>
      <w:r>
        <w:rPr>
          <w:rFonts w:ascii="Consolas" w:hAnsi="Consolas"/>
          <w:color w:val="8A1E38"/>
          <w:sz w:val="21"/>
        </w:rPr>
        <w:t>milestone-2</w:t>
      </w:r>
      <w:r>
        <w:rPr>
          <w:rFonts w:ascii="Times New Roman" w:hAnsi="Times New Roman"/>
          <w:sz w:val="22"/>
        </w:rPr>
        <w:t>)</w:t>
      </w:r>
    </w:p>
    <w:p>
      <w:pPr>
        <w:pStyle w:val="Heading1"/>
        <w:pageBreakBefore/>
      </w:pPr>
      <w:r>
        <w:rPr>
          <w:rFonts w:ascii="Times New Roman" w:hAnsi="Times New Roman"/>
          <w:b/>
          <w:sz w:val="28"/>
        </w:rPr>
        <w:t>1. Executive Summary &amp; Problem Formulation</w:t>
      </w:r>
    </w:p>
    <w:p>
      <w:pPr/>
      <w:r>
        <w:rPr>
          <w:rFonts w:ascii="Times New Roman" w:hAnsi="Times New Roman"/>
          <w:sz w:val="22"/>
        </w:rPr>
        <w:t>In competitive e-commerce marketplaces, post-checkout friction severely impairs repeat patronage, customer lifetime value (LTV), and operational efficiency. Utilizing the Brazilian Olist marketplace dataset (100,000+ orders across 2016–2018), this project scopes and operationalizes two complementary predictive tasks triggered simultaneously at the instant of cart checkout (</w:t>
      </w:r>
      <w:r>
        <w:rPr>
          <w:rFonts w:ascii="Cambria Math" w:hAnsi="Cambria Math"/>
          <w:sz w:val="22"/>
        </w:rPr>
        <w:t>τ_checkout = order_purchase_timestamp</w:t>
      </w:r>
      <w:r>
        <w:rPr>
          <w:rFonts w:ascii="Times New Roman" w:hAnsi="Times New Roman"/>
          <w:sz w:val="22"/>
        </w:rPr>
        <w:t>):</w:t>
      </w:r>
    </w:p>
    <w:p>
      <w:pPr>
        <w:spacing w:before="0" w:after="50" w:line="276" w:lineRule="auto"/>
        <w:ind w:left="403" w:hanging="259"/>
      </w:pPr>
      <w:r>
        <w:rPr>
          <w:rFonts w:ascii="Times New Roman" w:hAnsi="Times New Roman"/>
          <w:b/>
          <w:color w:val="1F4E79"/>
          <w:sz w:val="21"/>
        </w:rPr>
        <w:t xml:space="preserve">1. </w:t>
      </w:r>
      <w:r>
        <w:rPr>
          <w:rFonts w:ascii="Times New Roman" w:hAnsi="Times New Roman"/>
          <w:b/>
          <w:sz w:val="21"/>
        </w:rPr>
        <w:t>Task 1: Fulfilment Lead Time Regression (Logistics &amp; Supply Chain Operations Stakeholder)</w:t>
      </w:r>
      <w:r>
        <w:rPr>
          <w:rFonts w:ascii="Times New Roman" w:hAnsi="Times New Roman"/>
          <w:sz w:val="21"/>
        </w:rPr>
        <w:t>:</w:t>
      </w:r>
    </w:p>
    <w:p>
      <w:pPr>
        <w:spacing w:before="0" w:after="50" w:line="276" w:lineRule="auto"/>
        <w:ind w:left="360" w:hanging="216"/>
      </w:pPr>
      <w:r>
        <w:rPr>
          <w:rFonts w:ascii="Arial" w:hAnsi="Arial"/>
          <w:b/>
          <w:color w:val="1F4E79"/>
          <w:sz w:val="20"/>
        </w:rPr>
        <w:t xml:space="preserve">• </w:t>
      </w:r>
      <w:r>
        <w:rPr>
          <w:rFonts w:ascii="Times New Roman" w:hAnsi="Times New Roman"/>
          <w:b/>
          <w:sz w:val="21"/>
        </w:rPr>
        <w:t>Target Formulation</w:t>
      </w:r>
      <w:r>
        <w:rPr>
          <w:rFonts w:ascii="Times New Roman" w:hAnsi="Times New Roman"/>
          <w:sz w:val="21"/>
        </w:rPr>
        <w:t xml:space="preserve">: Continuous delivery lead duration </w:t>
      </w:r>
      <w:r>
        <w:rPr>
          <w:rFonts w:ascii="Cambria Math" w:hAnsi="Cambria Math"/>
          <w:sz w:val="21"/>
        </w:rPr>
        <w:t>lead_days = (order_delivered_customer_date - order_purchase_timestamp)</w:t>
      </w:r>
      <w:r>
        <w:rPr>
          <w:rFonts w:ascii="Times New Roman" w:hAnsi="Times New Roman"/>
          <w:sz w:val="21"/>
        </w:rPr>
        <w:t xml:space="preserve"> in elapsed fractional calendar days.</w:t>
      </w:r>
    </w:p>
    <w:p>
      <w:pPr>
        <w:spacing w:before="0" w:after="50" w:line="276" w:lineRule="auto"/>
        <w:ind w:left="360" w:hanging="216"/>
      </w:pPr>
      <w:r>
        <w:rPr>
          <w:rFonts w:ascii="Arial" w:hAnsi="Arial"/>
          <w:b/>
          <w:color w:val="1F4E79"/>
          <w:sz w:val="20"/>
        </w:rPr>
        <w:t xml:space="preserve">• </w:t>
      </w:r>
      <w:r>
        <w:rPr>
          <w:rFonts w:ascii="Times New Roman" w:hAnsi="Times New Roman"/>
          <w:b/>
          <w:sz w:val="21"/>
        </w:rPr>
        <w:t>Operational Objective</w:t>
      </w:r>
      <w:r>
        <w:rPr>
          <w:rFonts w:ascii="Times New Roman" w:hAnsi="Times New Roman"/>
          <w:sz w:val="21"/>
        </w:rPr>
        <w:t>: Enable the logistics dispatch desk to provide accurate delivery commitments, dynamically calibrate estimated delivery dates (EDD), and proactively identify long-haul logistics bottlenecks.</w:t>
      </w:r>
    </w:p>
    <w:p>
      <w:pPr>
        <w:spacing w:before="0" w:after="50" w:line="276" w:lineRule="auto"/>
        <w:ind w:left="360" w:hanging="216"/>
      </w:pPr>
      <w:r>
        <w:rPr>
          <w:rFonts w:ascii="Arial" w:hAnsi="Arial"/>
          <w:b/>
          <w:color w:val="1F4E79"/>
          <w:sz w:val="20"/>
        </w:rPr>
        <w:t xml:space="preserve">• </w:t>
      </w:r>
      <w:r>
        <w:rPr>
          <w:rFonts w:ascii="Times New Roman" w:hAnsi="Times New Roman"/>
          <w:b/>
          <w:sz w:val="21"/>
        </w:rPr>
        <w:t>Evaluation Metrics</w:t>
      </w:r>
      <w:r>
        <w:rPr>
          <w:rFonts w:ascii="Times New Roman" w:hAnsi="Times New Roman"/>
          <w:sz w:val="21"/>
        </w:rPr>
        <w:t xml:space="preserve">: Primary: </w:t>
      </w:r>
      <w:r>
        <w:rPr>
          <w:rFonts w:ascii="Times New Roman" w:hAnsi="Times New Roman"/>
          <w:b/>
          <w:sz w:val="21"/>
        </w:rPr>
        <w:t>Mean Absolute Error (MAE in days)</w:t>
      </w:r>
      <w:r>
        <w:rPr>
          <w:rFonts w:ascii="Times New Roman" w:hAnsi="Times New Roman"/>
          <w:sz w:val="21"/>
        </w:rPr>
        <w:t xml:space="preserve">, penalizing linear delivery drift; Secondary: </w:t>
      </w:r>
      <w:r>
        <w:rPr>
          <w:rFonts w:ascii="Times New Roman" w:hAnsi="Times New Roman"/>
          <w:b/>
          <w:sz w:val="21"/>
        </w:rPr>
        <w:t>Root Mean Squared Error (RMSE)</w:t>
      </w:r>
      <w:r>
        <w:rPr>
          <w:rFonts w:ascii="Times New Roman" w:hAnsi="Times New Roman"/>
          <w:sz w:val="21"/>
        </w:rPr>
        <w:t xml:space="preserve"> and coefficient of determination (</w:t>
      </w:r>
      <w:r>
        <w:rPr>
          <w:rFonts w:ascii="Times New Roman" w:hAnsi="Times New Roman"/>
          <w:b/>
          <w:sz w:val="21"/>
        </w:rPr>
        <w:t>R²</w:t>
      </w:r>
      <w:r>
        <w:rPr>
          <w:rFonts w:ascii="Times New Roman" w:hAnsi="Times New Roman"/>
          <w:sz w:val="21"/>
        </w:rPr>
        <w:t>).</w:t>
      </w:r>
    </w:p>
    <w:p>
      <w:pPr>
        <w:spacing w:before="0" w:after="50" w:line="276" w:lineRule="auto"/>
        <w:ind w:left="403" w:hanging="259"/>
      </w:pPr>
      <w:r>
        <w:rPr>
          <w:rFonts w:ascii="Times New Roman" w:hAnsi="Times New Roman"/>
          <w:b/>
          <w:color w:val="1F4E79"/>
          <w:sz w:val="21"/>
        </w:rPr>
        <w:t xml:space="preserve">2. </w:t>
      </w:r>
      <w:r>
        <w:rPr>
          <w:rFonts w:ascii="Times New Roman" w:hAnsi="Times New Roman"/>
          <w:b/>
          <w:sz w:val="21"/>
        </w:rPr>
        <w:t>Task 2: Review Detractor Classification (Customer Experience &amp; Retention Stakeholder)</w:t>
      </w:r>
      <w:r>
        <w:rPr>
          <w:rFonts w:ascii="Times New Roman" w:hAnsi="Times New Roman"/>
          <w:sz w:val="21"/>
        </w:rPr>
        <w:t>:</w:t>
      </w:r>
    </w:p>
    <w:p>
      <w:pPr>
        <w:spacing w:before="0" w:after="50" w:line="276" w:lineRule="auto"/>
        <w:ind w:left="360" w:hanging="216"/>
      </w:pPr>
      <w:r>
        <w:rPr>
          <w:rFonts w:ascii="Arial" w:hAnsi="Arial"/>
          <w:b/>
          <w:color w:val="1F4E79"/>
          <w:sz w:val="20"/>
        </w:rPr>
        <w:t xml:space="preserve">• </w:t>
      </w:r>
      <w:r>
        <w:rPr>
          <w:rFonts w:ascii="Times New Roman" w:hAnsi="Times New Roman"/>
          <w:b/>
          <w:sz w:val="21"/>
        </w:rPr>
        <w:t>Target Formulation</w:t>
      </w:r>
      <w:r>
        <w:rPr>
          <w:rFonts w:ascii="Times New Roman" w:hAnsi="Times New Roman"/>
          <w:sz w:val="21"/>
        </w:rPr>
        <w:t xml:space="preserve">: Binary severe dissatisfaction risk </w:t>
      </w:r>
      <w:r>
        <w:rPr>
          <w:rFonts w:ascii="Cambria Math" w:hAnsi="Cambria Math"/>
          <w:sz w:val="21"/>
        </w:rPr>
        <w:t>is_detractor = I(review_score ≤ 2)</w:t>
      </w:r>
      <w:r>
        <w:rPr>
          <w:rFonts w:ascii="Times New Roman" w:hAnsi="Times New Roman"/>
          <w:sz w:val="21"/>
        </w:rPr>
        <w:t>, identifying 1-star and 2-star detractor reviews.</w:t>
      </w:r>
    </w:p>
    <w:p>
      <w:pPr>
        <w:spacing w:before="0" w:after="50" w:line="276" w:lineRule="auto"/>
        <w:ind w:left="360" w:hanging="216"/>
      </w:pPr>
      <w:r>
        <w:rPr>
          <w:rFonts w:ascii="Arial" w:hAnsi="Arial"/>
          <w:b/>
          <w:color w:val="1F4E79"/>
          <w:sz w:val="20"/>
        </w:rPr>
        <w:t xml:space="preserve">• </w:t>
      </w:r>
      <w:r>
        <w:rPr>
          <w:rFonts w:ascii="Times New Roman" w:hAnsi="Times New Roman"/>
          <w:b/>
          <w:sz w:val="21"/>
        </w:rPr>
        <w:t>Operational Objective</w:t>
      </w:r>
      <w:r>
        <w:rPr>
          <w:rFonts w:ascii="Times New Roman" w:hAnsi="Times New Roman"/>
          <w:sz w:val="21"/>
        </w:rPr>
        <w:t>: Flag high-risk shipments at the instant of checkout to trigger proactive customer care workflows (e.g., automated tracking notifications, priority packing, or customer service outreach) prior to fulfilment failure.</w:t>
      </w:r>
    </w:p>
    <w:p>
      <w:pPr>
        <w:spacing w:before="0" w:after="50" w:line="276" w:lineRule="auto"/>
        <w:ind w:left="360" w:hanging="216"/>
      </w:pPr>
      <w:r>
        <w:rPr>
          <w:rFonts w:ascii="Arial" w:hAnsi="Arial"/>
          <w:b/>
          <w:color w:val="1F4E79"/>
          <w:sz w:val="20"/>
        </w:rPr>
        <w:t xml:space="preserve">• </w:t>
      </w:r>
      <w:r>
        <w:rPr>
          <w:rFonts w:ascii="Times New Roman" w:hAnsi="Times New Roman"/>
          <w:b/>
          <w:sz w:val="21"/>
        </w:rPr>
        <w:t>Evaluation Metrics</w:t>
      </w:r>
      <w:r>
        <w:rPr>
          <w:rFonts w:ascii="Times New Roman" w:hAnsi="Times New Roman"/>
          <w:sz w:val="21"/>
        </w:rPr>
        <w:t xml:space="preserve">: Primary: </w:t>
      </w:r>
      <w:r>
        <w:rPr>
          <w:rFonts w:ascii="Times New Roman" w:hAnsi="Times New Roman"/>
          <w:b/>
          <w:sz w:val="21"/>
        </w:rPr>
        <w:t>Average Precision (PR-AUC / AP)</w:t>
      </w:r>
      <w:r>
        <w:rPr>
          <w:rFonts w:ascii="Times New Roman" w:hAnsi="Times New Roman"/>
          <w:sz w:val="21"/>
        </w:rPr>
        <w:t>, evaluating ranking quality under severe class imbalance (</w:t>
      </w:r>
      <w:r>
        <w:rPr>
          <w:rFonts w:ascii="Cambria Math" w:hAnsi="Cambria Math"/>
          <w:sz w:val="21"/>
        </w:rPr>
        <w:t>10.83\%</w:t>
      </w:r>
      <w:r>
        <w:rPr>
          <w:rFonts w:ascii="Times New Roman" w:hAnsi="Times New Roman"/>
          <w:sz w:val="21"/>
        </w:rPr>
        <w:t xml:space="preserve"> holdout base rate; </w:t>
      </w:r>
      <w:r>
        <w:rPr>
          <w:rFonts w:ascii="Cambria Math" w:hAnsi="Cambria Math"/>
          <w:sz w:val="21"/>
        </w:rPr>
        <w:t>1,707 / 15,769</w:t>
      </w:r>
      <w:r>
        <w:rPr>
          <w:rFonts w:ascii="Times New Roman" w:hAnsi="Times New Roman"/>
          <w:sz w:val="21"/>
        </w:rPr>
        <w:t xml:space="preserve">); Secondary: </w:t>
      </w:r>
      <w:r>
        <w:rPr>
          <w:rFonts w:ascii="Times New Roman" w:hAnsi="Times New Roman"/>
          <w:b/>
          <w:sz w:val="21"/>
        </w:rPr>
        <w:t>ROC-AUC</w:t>
      </w:r>
      <w:r>
        <w:rPr>
          <w:rFonts w:ascii="Times New Roman" w:hAnsi="Times New Roman"/>
          <w:sz w:val="21"/>
        </w:rPr>
        <w:t xml:space="preserve">, </w:t>
      </w:r>
      <w:r>
        <w:rPr>
          <w:rFonts w:ascii="Times New Roman" w:hAnsi="Times New Roman"/>
          <w:b/>
          <w:sz w:val="21"/>
        </w:rPr>
        <w:t>Brier Score</w:t>
      </w:r>
      <w:r>
        <w:rPr>
          <w:rFonts w:ascii="Times New Roman" w:hAnsi="Times New Roman"/>
          <w:sz w:val="21"/>
        </w:rPr>
        <w:t xml:space="preserve">, </w:t>
      </w:r>
      <w:r>
        <w:rPr>
          <w:rFonts w:ascii="Times New Roman" w:hAnsi="Times New Roman"/>
          <w:b/>
          <w:sz w:val="21"/>
        </w:rPr>
        <w:t>Precision</w:t>
      </w:r>
      <w:r>
        <w:rPr>
          <w:rFonts w:ascii="Times New Roman" w:hAnsi="Times New Roman"/>
          <w:sz w:val="21"/>
        </w:rPr>
        <w:t xml:space="preserve">, </w:t>
      </w:r>
      <w:r>
        <w:rPr>
          <w:rFonts w:ascii="Times New Roman" w:hAnsi="Times New Roman"/>
          <w:b/>
          <w:sz w:val="21"/>
        </w:rPr>
        <w:t>Recall</w:t>
      </w:r>
      <w:r>
        <w:rPr>
          <w:rFonts w:ascii="Times New Roman" w:hAnsi="Times New Roman"/>
          <w:sz w:val="21"/>
        </w:rPr>
        <w:t xml:space="preserve">, </w:t>
      </w:r>
      <w:r>
        <w:rPr>
          <w:rFonts w:ascii="Times New Roman" w:hAnsi="Times New Roman"/>
          <w:b/>
          <w:sz w:val="21"/>
        </w:rPr>
        <w:t>F1-Score</w:t>
      </w:r>
      <w:r>
        <w:rPr>
          <w:rFonts w:ascii="Times New Roman" w:hAnsi="Times New Roman"/>
          <w:sz w:val="21"/>
        </w:rPr>
        <w:t xml:space="preserve">, and </w:t>
      </w:r>
      <w:r>
        <w:rPr>
          <w:rFonts w:ascii="Times New Roman" w:hAnsi="Times New Roman"/>
          <w:b/>
          <w:sz w:val="21"/>
        </w:rPr>
        <w:t>Total Business Loss</w:t>
      </w:r>
      <w:r>
        <w:rPr>
          <w:rFonts w:ascii="Times New Roman" w:hAnsi="Times New Roman"/>
          <w:sz w:val="21"/>
        </w:rPr>
        <w:t xml:space="preserve"> under an asymmetric </w:t>
      </w:r>
      <w:r>
        <w:rPr>
          <w:rFonts w:ascii="Cambria Math" w:hAnsi="Cambria Math"/>
          <w:sz w:val="21"/>
        </w:rPr>
        <w:t>1:5</w:t>
      </w:r>
      <w:r>
        <w:rPr>
          <w:rFonts w:ascii="Times New Roman" w:hAnsi="Times New Roman"/>
          <w:sz w:val="21"/>
        </w:rPr>
        <w:t xml:space="preserve"> false-negative penalty.</w:t>
      </w:r>
    </w:p>
    <w:p>
      <w:pPr>
        <w:pStyle w:val="Heading2"/>
      </w:pPr>
      <w:r>
        <w:rPr>
          <w:rFonts w:ascii="Times New Roman" w:hAnsi="Times New Roman"/>
          <w:b/>
          <w:sz w:val="25"/>
        </w:rPr>
        <w:t>Problem Scoping Checklist Verification (Project Brief Compliance)</w:t>
      </w:r>
    </w:p>
    <w:p>
      <w:pPr/>
      <w:r>
        <w:rPr>
          <w:rFonts w:ascii="Times New Roman" w:hAnsi="Times New Roman"/>
          <w:sz w:val="22"/>
        </w:rPr>
        <w:t>In strict accordance with the Phase 2 Problem Scoping Checklist, both problem formulations confirm:</w:t>
      </w:r>
    </w:p>
    <w:p>
      <w:pPr>
        <w:spacing w:before="0" w:after="50" w:line="276" w:lineRule="auto"/>
        <w:ind w:left="403" w:hanging="259"/>
      </w:pPr>
      <w:r>
        <w:rPr>
          <w:rFonts w:ascii="Times New Roman" w:hAnsi="Times New Roman"/>
          <w:b/>
          <w:color w:val="1F4E79"/>
          <w:sz w:val="21"/>
        </w:rPr>
        <w:t xml:space="preserve">1. </w:t>
      </w:r>
      <w:r>
        <w:rPr>
          <w:rFonts w:ascii="Times New Roman" w:hAnsi="Times New Roman"/>
          <w:i/>
          <w:sz w:val="21"/>
        </w:rPr>
        <w:t>Derivable Target</w:t>
      </w:r>
      <w:r>
        <w:rPr>
          <w:rFonts w:ascii="Times New Roman" w:hAnsi="Times New Roman"/>
          <w:sz w:val="21"/>
        </w:rPr>
        <w:t>: Both targets are derived directly from Olist transactional timestamps and review records without external data dependencies.</w:t>
      </w:r>
    </w:p>
    <w:p>
      <w:pPr>
        <w:spacing w:before="0" w:after="50" w:line="276" w:lineRule="auto"/>
        <w:ind w:left="403" w:hanging="259"/>
      </w:pPr>
      <w:r>
        <w:rPr>
          <w:rFonts w:ascii="Times New Roman" w:hAnsi="Times New Roman"/>
          <w:b/>
          <w:color w:val="1F4E79"/>
          <w:sz w:val="21"/>
        </w:rPr>
        <w:t xml:space="preserve">2. </w:t>
      </w:r>
      <w:r>
        <w:rPr>
          <w:rFonts w:ascii="Times New Roman" w:hAnsi="Times New Roman"/>
          <w:i/>
          <w:sz w:val="21"/>
        </w:rPr>
        <w:t>Realistic Features</w:t>
      </w:r>
      <w:r>
        <w:rPr>
          <w:rFonts w:ascii="Times New Roman" w:hAnsi="Times New Roman"/>
          <w:sz w:val="21"/>
        </w:rPr>
        <w:t>: All predictors are restricted strictly to information available at the instant of order purchase (</w:t>
      </w:r>
      <w:r>
        <w:rPr>
          <w:rFonts w:ascii="Cambria Math" w:hAnsi="Cambria Math"/>
          <w:sz w:val="21"/>
        </w:rPr>
        <w:t>τ_checkout</w:t>
      </w:r>
      <w:r>
        <w:rPr>
          <w:rFonts w:ascii="Times New Roman" w:hAnsi="Times New Roman"/>
          <w:sz w:val="21"/>
        </w:rPr>
        <w:t>).</w:t>
      </w:r>
    </w:p>
    <w:p>
      <w:pPr>
        <w:spacing w:before="0" w:after="50" w:line="276" w:lineRule="auto"/>
        <w:ind w:left="403" w:hanging="259"/>
      </w:pPr>
      <w:r>
        <w:rPr>
          <w:rFonts w:ascii="Times New Roman" w:hAnsi="Times New Roman"/>
          <w:b/>
          <w:color w:val="1F4E79"/>
          <w:sz w:val="21"/>
        </w:rPr>
        <w:t xml:space="preserve">3. </w:t>
      </w:r>
      <w:r>
        <w:rPr>
          <w:rFonts w:ascii="Times New Roman" w:hAnsi="Times New Roman"/>
          <w:i/>
          <w:sz w:val="21"/>
        </w:rPr>
        <w:t>Sufficient Signal</w:t>
      </w:r>
      <w:r>
        <w:rPr>
          <w:rFonts w:ascii="Times New Roman" w:hAnsi="Times New Roman"/>
          <w:sz w:val="21"/>
        </w:rPr>
        <w:t>: EDA establishes strong spatial, economic, and logistical correlations with both targets.</w:t>
      </w:r>
    </w:p>
    <w:p>
      <w:pPr>
        <w:spacing w:before="0" w:after="50" w:line="276" w:lineRule="auto"/>
        <w:ind w:left="403" w:hanging="259"/>
      </w:pPr>
      <w:r>
        <w:rPr>
          <w:rFonts w:ascii="Times New Roman" w:hAnsi="Times New Roman"/>
          <w:b/>
          <w:color w:val="1F4E79"/>
          <w:sz w:val="21"/>
        </w:rPr>
        <w:t xml:space="preserve">4. </w:t>
      </w:r>
      <w:r>
        <w:rPr>
          <w:rFonts w:ascii="Times New Roman" w:hAnsi="Times New Roman"/>
          <w:i/>
          <w:sz w:val="21"/>
        </w:rPr>
        <w:t>Manageable Imbalance</w:t>
      </w:r>
      <w:r>
        <w:rPr>
          <w:rFonts w:ascii="Times New Roman" w:hAnsi="Times New Roman"/>
          <w:sz w:val="21"/>
        </w:rPr>
        <w:t>: Handled via precision-recall optimization, probability calibration, and asymmetric cost matrices rather than uncalibrated accuracy.</w:t>
      </w:r>
    </w:p>
    <w:p>
      <w:pPr>
        <w:spacing w:before="0" w:after="50" w:line="276" w:lineRule="auto"/>
        <w:ind w:left="403" w:hanging="259"/>
      </w:pPr>
      <w:r>
        <w:rPr>
          <w:rFonts w:ascii="Times New Roman" w:hAnsi="Times New Roman"/>
          <w:b/>
          <w:color w:val="1F4E79"/>
          <w:sz w:val="21"/>
        </w:rPr>
        <w:t xml:space="preserve">5. </w:t>
      </w:r>
      <w:r>
        <w:rPr>
          <w:rFonts w:ascii="Times New Roman" w:hAnsi="Times New Roman"/>
          <w:i/>
          <w:sz w:val="21"/>
        </w:rPr>
        <w:t>Clear Stakeholders</w:t>
      </w:r>
      <w:r>
        <w:rPr>
          <w:rFonts w:ascii="Times New Roman" w:hAnsi="Times New Roman"/>
          <w:sz w:val="21"/>
        </w:rPr>
        <w:t>: Directly mapped to Logistics Operations (dispatch buffering) and Customer Experience (detractor intervention).</w:t>
      </w:r>
    </w:p>
    <w:p>
      <w:pPr>
        <w:spacing w:before="80" w:after="120" w:line="269" w:lineRule="auto"/>
        <w:ind w:left="504" w:right="288"/>
      </w:pPr>
      <w:r>
        <w:rPr>
          <w:rFonts w:ascii="Times New Roman" w:hAnsi="Times New Roman"/>
          <w:i/>
          <w:color w:val="334155"/>
          <w:sz w:val="20"/>
        </w:rPr>
        <w:t>(Refer to Table A.1 in Appendix A for the complete End-to-End Problem Formulation &amp; Milestone 2 Performance Summary Matrix, detailing business stakeholders, targets, class distributions, baseline floors, and verified champion improvements).</w:t>
      </w:r>
    </w:p>
    <w:p>
      <w:pPr>
        <w:pStyle w:val="Heading1"/>
        <w:pageBreakBefore/>
      </w:pPr>
      <w:r>
        <w:rPr>
          <w:rFonts w:ascii="Times New Roman" w:hAnsi="Times New Roman"/>
          <w:b/>
          <w:sz w:val="28"/>
        </w:rPr>
        <w:t>2. Data Governance, Relational Architecture &amp; Leakage Elimination</w:t>
      </w:r>
    </w:p>
    <w:p>
      <w:pPr>
        <w:pStyle w:val="Heading2"/>
      </w:pPr>
      <w:r>
        <w:rPr>
          <w:rFonts w:ascii="Times New Roman" w:hAnsi="Times New Roman"/>
          <w:b/>
          <w:sz w:val="25"/>
        </w:rPr>
        <w:t>2.1 Relational Data Model &amp; Pre-Checkout Integration</w:t>
      </w:r>
    </w:p>
    <w:p>
      <w:pPr/>
      <w:r>
        <w:rPr>
          <w:rFonts w:ascii="Times New Roman" w:hAnsi="Times New Roman"/>
          <w:sz w:val="22"/>
        </w:rPr>
        <w:t>In accordance with dataset guidelines, seven primary relational tables were joined to construct our modeling dataset:</w:t>
      </w:r>
    </w:p>
    <w:p>
      <w:pPr>
        <w:spacing w:before="0" w:after="50" w:line="276" w:lineRule="auto"/>
        <w:ind w:left="403" w:hanging="259"/>
      </w:pPr>
      <w:r>
        <w:rPr>
          <w:rFonts w:ascii="Times New Roman" w:hAnsi="Times New Roman"/>
          <w:b/>
          <w:color w:val="1F4E79"/>
          <w:sz w:val="21"/>
        </w:rPr>
        <w:t xml:space="preserve">1. </w:t>
      </w:r>
      <w:r>
        <w:rPr>
          <w:rFonts w:ascii="Consolas" w:hAnsi="Consolas"/>
          <w:color w:val="8A1E38"/>
          <w:sz w:val="20"/>
        </w:rPr>
        <w:t>olist_orders_dataset.csv</w:t>
      </w:r>
      <w:r>
        <w:rPr>
          <w:rFonts w:ascii="Times New Roman" w:hAnsi="Times New Roman"/>
          <w:sz w:val="21"/>
        </w:rPr>
        <w:t xml:space="preserve">: Central transaction backbone providing </w:t>
      </w:r>
      <w:r>
        <w:rPr>
          <w:rFonts w:ascii="Consolas" w:hAnsi="Consolas"/>
          <w:color w:val="8A1E38"/>
          <w:sz w:val="20"/>
        </w:rPr>
        <w:t>order_id</w:t>
      </w:r>
      <w:r>
        <w:rPr>
          <w:rFonts w:ascii="Times New Roman" w:hAnsi="Times New Roman"/>
          <w:sz w:val="21"/>
        </w:rPr>
        <w:t xml:space="preserve">, </w:t>
      </w:r>
      <w:r>
        <w:rPr>
          <w:rFonts w:ascii="Consolas" w:hAnsi="Consolas"/>
          <w:color w:val="8A1E38"/>
          <w:sz w:val="20"/>
        </w:rPr>
        <w:t>customer_id</w:t>
      </w:r>
      <w:r>
        <w:rPr>
          <w:rFonts w:ascii="Times New Roman" w:hAnsi="Times New Roman"/>
          <w:sz w:val="21"/>
        </w:rPr>
        <w:t xml:space="preserve">, and </w:t>
      </w:r>
      <w:r>
        <w:rPr>
          <w:rFonts w:ascii="Consolas" w:hAnsi="Consolas"/>
          <w:color w:val="8A1E38"/>
          <w:sz w:val="20"/>
        </w:rPr>
        <w:t>order_purchase_timestamp</w:t>
      </w:r>
      <w:r>
        <w:rPr>
          <w:rFonts w:ascii="Times New Roman" w:hAnsi="Times New Roman"/>
          <w:sz w:val="21"/>
        </w:rPr>
        <w:t>.</w:t>
      </w:r>
    </w:p>
    <w:p>
      <w:pPr>
        <w:spacing w:before="0" w:after="50" w:line="276" w:lineRule="auto"/>
        <w:ind w:left="403" w:hanging="259"/>
      </w:pPr>
      <w:r>
        <w:rPr>
          <w:rFonts w:ascii="Times New Roman" w:hAnsi="Times New Roman"/>
          <w:b/>
          <w:color w:val="1F4E79"/>
          <w:sz w:val="21"/>
        </w:rPr>
        <w:t xml:space="preserve">2. </w:t>
      </w:r>
      <w:r>
        <w:rPr>
          <w:rFonts w:ascii="Consolas" w:hAnsi="Consolas"/>
          <w:color w:val="8A1E38"/>
          <w:sz w:val="20"/>
        </w:rPr>
        <w:t>olist_order_items_dataset.csv</w:t>
      </w:r>
      <w:r>
        <w:rPr>
          <w:rFonts w:ascii="Times New Roman" w:hAnsi="Times New Roman"/>
          <w:sz w:val="21"/>
        </w:rPr>
        <w:t xml:space="preserve">: Merged on </w:t>
      </w:r>
      <w:r>
        <w:rPr>
          <w:rFonts w:ascii="Consolas" w:hAnsi="Consolas"/>
          <w:color w:val="8A1E38"/>
          <w:sz w:val="20"/>
        </w:rPr>
        <w:t>order_id</w:t>
      </w:r>
      <w:r>
        <w:rPr>
          <w:rFonts w:ascii="Times New Roman" w:hAnsi="Times New Roman"/>
          <w:sz w:val="21"/>
        </w:rPr>
        <w:t xml:space="preserve"> to aggregate item counts, item prices, freight sums, and assigned seller keys.</w:t>
      </w:r>
    </w:p>
    <w:p>
      <w:pPr>
        <w:spacing w:before="0" w:after="50" w:line="276" w:lineRule="auto"/>
        <w:ind w:left="403" w:hanging="259"/>
      </w:pPr>
      <w:r>
        <w:rPr>
          <w:rFonts w:ascii="Times New Roman" w:hAnsi="Times New Roman"/>
          <w:b/>
          <w:color w:val="1F4E79"/>
          <w:sz w:val="21"/>
        </w:rPr>
        <w:t xml:space="preserve">3. </w:t>
      </w:r>
      <w:r>
        <w:rPr>
          <w:rFonts w:ascii="Consolas" w:hAnsi="Consolas"/>
          <w:color w:val="8A1E38"/>
          <w:sz w:val="20"/>
        </w:rPr>
        <w:t>olist_order_payments_dataset.csv</w:t>
      </w:r>
      <w:r>
        <w:rPr>
          <w:rFonts w:ascii="Times New Roman" w:hAnsi="Times New Roman"/>
          <w:sz w:val="21"/>
        </w:rPr>
        <w:t xml:space="preserve">: Merged on </w:t>
      </w:r>
      <w:r>
        <w:rPr>
          <w:rFonts w:ascii="Consolas" w:hAnsi="Consolas"/>
          <w:color w:val="8A1E38"/>
          <w:sz w:val="20"/>
        </w:rPr>
        <w:t>order_id</w:t>
      </w:r>
      <w:r>
        <w:rPr>
          <w:rFonts w:ascii="Times New Roman" w:hAnsi="Times New Roman"/>
          <w:sz w:val="21"/>
        </w:rPr>
        <w:t xml:space="preserve"> to verify total transaction value and installment structures.</w:t>
      </w:r>
    </w:p>
    <w:p>
      <w:pPr>
        <w:spacing w:before="0" w:after="50" w:line="276" w:lineRule="auto"/>
        <w:ind w:left="403" w:hanging="259"/>
      </w:pPr>
      <w:r>
        <w:rPr>
          <w:rFonts w:ascii="Times New Roman" w:hAnsi="Times New Roman"/>
          <w:b/>
          <w:color w:val="1F4E79"/>
          <w:sz w:val="21"/>
        </w:rPr>
        <w:t xml:space="preserve">4. </w:t>
      </w:r>
      <w:r>
        <w:rPr>
          <w:rFonts w:ascii="Consolas" w:hAnsi="Consolas"/>
          <w:color w:val="8A1E38"/>
          <w:sz w:val="20"/>
        </w:rPr>
        <w:t>olist_order_reviews_dataset.csv</w:t>
      </w:r>
      <w:r>
        <w:rPr>
          <w:rFonts w:ascii="Times New Roman" w:hAnsi="Times New Roman"/>
          <w:sz w:val="21"/>
        </w:rPr>
        <w:t xml:space="preserve">: Merged on </w:t>
      </w:r>
      <w:r>
        <w:rPr>
          <w:rFonts w:ascii="Consolas" w:hAnsi="Consolas"/>
          <w:color w:val="8A1E38"/>
          <w:sz w:val="20"/>
        </w:rPr>
        <w:t>order_id</w:t>
      </w:r>
      <w:r>
        <w:rPr>
          <w:rFonts w:ascii="Times New Roman" w:hAnsi="Times New Roman"/>
          <w:sz w:val="21"/>
        </w:rPr>
        <w:t xml:space="preserve"> to extract </w:t>
      </w:r>
      <w:r>
        <w:rPr>
          <w:rFonts w:ascii="Consolas" w:hAnsi="Consolas"/>
          <w:color w:val="8A1E38"/>
          <w:sz w:val="20"/>
        </w:rPr>
        <w:t>review_score</w:t>
      </w:r>
      <w:r>
        <w:rPr>
          <w:rFonts w:ascii="Times New Roman" w:hAnsi="Times New Roman"/>
          <w:sz w:val="21"/>
        </w:rPr>
        <w:t xml:space="preserve"> strictly for target label creation.</w:t>
      </w:r>
    </w:p>
    <w:p>
      <w:pPr>
        <w:spacing w:before="0" w:after="50" w:line="276" w:lineRule="auto"/>
        <w:ind w:left="403" w:hanging="259"/>
      </w:pPr>
      <w:r>
        <w:rPr>
          <w:rFonts w:ascii="Times New Roman" w:hAnsi="Times New Roman"/>
          <w:b/>
          <w:color w:val="1F4E79"/>
          <w:sz w:val="21"/>
        </w:rPr>
        <w:t xml:space="preserve">5. </w:t>
      </w:r>
      <w:r>
        <w:rPr>
          <w:rFonts w:ascii="Consolas" w:hAnsi="Consolas"/>
          <w:color w:val="8A1E38"/>
          <w:sz w:val="20"/>
        </w:rPr>
        <w:t>olist_customers_dataset.csv</w:t>
      </w:r>
      <w:r>
        <w:rPr>
          <w:rFonts w:ascii="Times New Roman" w:hAnsi="Times New Roman"/>
          <w:sz w:val="21"/>
        </w:rPr>
        <w:t xml:space="preserve">: Merged on </w:t>
      </w:r>
      <w:r>
        <w:rPr>
          <w:rFonts w:ascii="Consolas" w:hAnsi="Consolas"/>
          <w:color w:val="8A1E38"/>
          <w:sz w:val="20"/>
        </w:rPr>
        <w:t>customer_id</w:t>
      </w:r>
      <w:r>
        <w:rPr>
          <w:rFonts w:ascii="Times New Roman" w:hAnsi="Times New Roman"/>
          <w:sz w:val="21"/>
        </w:rPr>
        <w:t xml:space="preserve"> to resolve </w:t>
      </w:r>
      <w:r>
        <w:rPr>
          <w:rFonts w:ascii="Consolas" w:hAnsi="Consolas"/>
          <w:color w:val="8A1E38"/>
          <w:sz w:val="20"/>
        </w:rPr>
        <w:t>customer_unique_id</w:t>
      </w:r>
      <w:r>
        <w:rPr>
          <w:rFonts w:ascii="Times New Roman" w:hAnsi="Times New Roman"/>
          <w:sz w:val="21"/>
        </w:rPr>
        <w:t xml:space="preserve">, </w:t>
      </w:r>
      <w:r>
        <w:rPr>
          <w:rFonts w:ascii="Consolas" w:hAnsi="Consolas"/>
          <w:color w:val="8A1E38"/>
          <w:sz w:val="20"/>
        </w:rPr>
        <w:t>customer_state</w:t>
      </w:r>
      <w:r>
        <w:rPr>
          <w:rFonts w:ascii="Times New Roman" w:hAnsi="Times New Roman"/>
          <w:sz w:val="21"/>
        </w:rPr>
        <w:t>, and delivery zip-code prefixes.</w:t>
      </w:r>
    </w:p>
    <w:p>
      <w:pPr>
        <w:spacing w:before="0" w:after="50" w:line="276" w:lineRule="auto"/>
        <w:ind w:left="403" w:hanging="259"/>
      </w:pPr>
      <w:r>
        <w:rPr>
          <w:rFonts w:ascii="Times New Roman" w:hAnsi="Times New Roman"/>
          <w:b/>
          <w:color w:val="1F4E79"/>
          <w:sz w:val="21"/>
        </w:rPr>
        <w:t xml:space="preserve">6. </w:t>
      </w:r>
      <w:r>
        <w:rPr>
          <w:rFonts w:ascii="Consolas" w:hAnsi="Consolas"/>
          <w:color w:val="8A1E38"/>
          <w:sz w:val="20"/>
        </w:rPr>
        <w:t>olist_sellers_dataset.csv</w:t>
      </w:r>
      <w:r>
        <w:rPr>
          <w:rFonts w:ascii="Times New Roman" w:hAnsi="Times New Roman"/>
          <w:sz w:val="21"/>
        </w:rPr>
        <w:t xml:space="preserve">: Merged on </w:t>
      </w:r>
      <w:r>
        <w:rPr>
          <w:rFonts w:ascii="Consolas" w:hAnsi="Consolas"/>
          <w:color w:val="8A1E38"/>
          <w:sz w:val="20"/>
        </w:rPr>
        <w:t>seller_id</w:t>
      </w:r>
      <w:r>
        <w:rPr>
          <w:rFonts w:ascii="Times New Roman" w:hAnsi="Times New Roman"/>
          <w:sz w:val="21"/>
        </w:rPr>
        <w:t xml:space="preserve"> to capture seller warehouse states and origin zip codes.</w:t>
      </w:r>
    </w:p>
    <w:p>
      <w:pPr>
        <w:spacing w:before="0" w:after="50" w:line="276" w:lineRule="auto"/>
        <w:ind w:left="403" w:hanging="259"/>
      </w:pPr>
      <w:r>
        <w:rPr>
          <w:rFonts w:ascii="Times New Roman" w:hAnsi="Times New Roman"/>
          <w:b/>
          <w:color w:val="1F4E79"/>
          <w:sz w:val="21"/>
        </w:rPr>
        <w:t xml:space="preserve">7. </w:t>
      </w:r>
      <w:r>
        <w:rPr>
          <w:rFonts w:ascii="Consolas" w:hAnsi="Consolas"/>
          <w:color w:val="8A1E38"/>
          <w:sz w:val="20"/>
        </w:rPr>
        <w:t>olist_geolocation_dataset.csv</w:t>
      </w:r>
      <w:r>
        <w:rPr>
          <w:rFonts w:ascii="Times New Roman" w:hAnsi="Times New Roman"/>
          <w:sz w:val="21"/>
        </w:rPr>
        <w:t>: Merged on zip-code prefixes to calculate spatial centroids for distance calculations.</w:t>
      </w:r>
    </w:p>
    <w:p>
      <w:pPr>
        <w:pStyle w:val="Heading2"/>
      </w:pPr>
      <w:r>
        <w:rPr>
          <w:rFonts w:ascii="Times New Roman" w:hAnsi="Times New Roman"/>
          <w:b/>
          <w:sz w:val="25"/>
        </w:rPr>
        <w:t>2.2 The Point-of-Checkout Contract &amp; Quarantined Attributes</w:t>
      </w:r>
    </w:p>
    <w:p>
      <w:pPr/>
      <w:r>
        <w:rPr>
          <w:rFonts w:ascii="Times New Roman" w:hAnsi="Times New Roman"/>
          <w:sz w:val="22"/>
        </w:rPr>
        <w:t xml:space="preserve">A fatal failure mode in transactional analytics is target leakage—training models on variables generated downstream of the prediction point (Project Brief Warning &amp; Teacher Pitfall 2). We establish a strict </w:t>
      </w:r>
      <w:r>
        <w:rPr>
          <w:rFonts w:ascii="Times New Roman" w:hAnsi="Times New Roman"/>
          <w:b/>
          <w:sz w:val="22"/>
        </w:rPr>
        <w:t>Point-of-Checkout Contract</w:t>
      </w:r>
      <w:r>
        <w:rPr>
          <w:rFonts w:ascii="Times New Roman" w:hAnsi="Times New Roman"/>
          <w:sz w:val="22"/>
        </w:rPr>
        <w:t>:</w:t>
      </w:r>
    </w:p>
    <w:p>
      <w:pPr>
        <w:keepNext/>
        <w:spacing w:before="120" w:after="120"/>
        <w:jc w:val="center"/>
      </w:pPr>
      <w:r>
        <w:rPr>
          <w:rFonts w:ascii="Cambria Math" w:hAnsi="Cambria Math"/>
          <w:b/>
          <w:sz w:val="22"/>
        </w:rPr>
        <w:t>I_known(τ_checkout) = {x ∈ D | t_event(x) ≤ τ_checkout}</w:t>
      </w:r>
    </w:p>
    <w:p>
      <w:pPr/>
      <w:r>
        <w:rPr>
          <w:rFonts w:ascii="Times New Roman" w:hAnsi="Times New Roman"/>
          <w:sz w:val="22"/>
        </w:rPr>
        <w:t xml:space="preserve">Downstream fields are strictly quarantined and barred from the feature design matrix </w:t>
      </w:r>
      <w:r>
        <w:rPr>
          <w:rFonts w:ascii="Cambria Math" w:hAnsi="Cambria Math"/>
          <w:sz w:val="22"/>
        </w:rPr>
        <w:t>X</w:t>
      </w:r>
      <w:r>
        <w:rPr>
          <w:rFonts w:ascii="Times New Roman" w:hAnsi="Times New Roman"/>
          <w:sz w:val="22"/>
        </w:rPr>
        <w:t>:</w:t>
      </w:r>
    </w:p>
    <w:p>
      <w:pPr>
        <w:spacing w:before="0" w:after="50" w:line="276" w:lineRule="auto"/>
        <w:ind w:left="360" w:hanging="216"/>
      </w:pPr>
      <w:r>
        <w:rPr>
          <w:rFonts w:ascii="Arial" w:hAnsi="Arial"/>
          <w:b/>
          <w:color w:val="1F4E79"/>
          <w:sz w:val="20"/>
        </w:rPr>
        <w:t xml:space="preserve">• </w:t>
      </w:r>
      <w:r>
        <w:rPr>
          <w:rFonts w:ascii="Times New Roman" w:hAnsi="Times New Roman"/>
          <w:b/>
          <w:sz w:val="21"/>
        </w:rPr>
        <w:t>Quarantined Carrier Milestones</w:t>
      </w:r>
      <w:r>
        <w:rPr>
          <w:rFonts w:ascii="Times New Roman" w:hAnsi="Times New Roman"/>
          <w:sz w:val="21"/>
        </w:rPr>
        <w:t xml:space="preserve">: </w:t>
      </w:r>
      <w:r>
        <w:rPr>
          <w:rFonts w:ascii="Consolas" w:hAnsi="Consolas"/>
          <w:color w:val="8A1E38"/>
          <w:sz w:val="20"/>
        </w:rPr>
        <w:t>order_delivered_carrier_date</w:t>
      </w:r>
      <w:r>
        <w:rPr>
          <w:rFonts w:ascii="Times New Roman" w:hAnsi="Times New Roman"/>
          <w:sz w:val="21"/>
        </w:rPr>
        <w:t xml:space="preserve">, </w:t>
      </w:r>
      <w:r>
        <w:rPr>
          <w:rFonts w:ascii="Consolas" w:hAnsi="Consolas"/>
          <w:color w:val="8A1E38"/>
          <w:sz w:val="20"/>
        </w:rPr>
        <w:t>order_estimated_delivery_date</w:t>
      </w:r>
      <w:r>
        <w:rPr>
          <w:rFonts w:ascii="Times New Roman" w:hAnsi="Times New Roman"/>
          <w:sz w:val="21"/>
        </w:rPr>
        <w:t xml:space="preserve">, </w:t>
      </w:r>
      <w:r>
        <w:rPr>
          <w:rFonts w:ascii="Consolas" w:hAnsi="Consolas"/>
          <w:color w:val="8A1E38"/>
          <w:sz w:val="20"/>
        </w:rPr>
        <w:t>order_delivered_customer_date</w:t>
      </w:r>
      <w:r>
        <w:rPr>
          <w:rFonts w:ascii="Times New Roman" w:hAnsi="Times New Roman"/>
          <w:sz w:val="21"/>
        </w:rPr>
        <w:t>.</w:t>
      </w:r>
    </w:p>
    <w:p>
      <w:pPr>
        <w:spacing w:before="0" w:after="50" w:line="276" w:lineRule="auto"/>
        <w:ind w:left="360" w:hanging="216"/>
      </w:pPr>
      <w:r>
        <w:rPr>
          <w:rFonts w:ascii="Arial" w:hAnsi="Arial"/>
          <w:b/>
          <w:color w:val="1F4E79"/>
          <w:sz w:val="20"/>
        </w:rPr>
        <w:t xml:space="preserve">• </w:t>
      </w:r>
      <w:r>
        <w:rPr>
          <w:rFonts w:ascii="Times New Roman" w:hAnsi="Times New Roman"/>
          <w:b/>
          <w:sz w:val="21"/>
        </w:rPr>
        <w:t>Quarantined Outcome Variables</w:t>
      </w:r>
      <w:r>
        <w:rPr>
          <w:rFonts w:ascii="Times New Roman" w:hAnsi="Times New Roman"/>
          <w:sz w:val="21"/>
        </w:rPr>
        <w:t xml:space="preserve">: </w:t>
      </w:r>
      <w:r>
        <w:rPr>
          <w:rFonts w:ascii="Consolas" w:hAnsi="Consolas"/>
          <w:color w:val="8A1E38"/>
          <w:sz w:val="20"/>
        </w:rPr>
        <w:t>order_status</w:t>
      </w:r>
      <w:r>
        <w:rPr>
          <w:rFonts w:ascii="Times New Roman" w:hAnsi="Times New Roman"/>
          <w:sz w:val="21"/>
        </w:rPr>
        <w:t xml:space="preserve"> (contains </w:t>
      </w:r>
      <w:r>
        <w:rPr>
          <w:rFonts w:ascii="Consolas" w:hAnsi="Consolas"/>
          <w:color w:val="8A1E38"/>
          <w:sz w:val="20"/>
        </w:rPr>
        <w:t>delivered</w:t>
      </w:r>
      <w:r>
        <w:rPr>
          <w:rFonts w:ascii="Times New Roman" w:hAnsi="Times New Roman"/>
          <w:sz w:val="21"/>
        </w:rPr>
        <w:t xml:space="preserve">, </w:t>
      </w:r>
      <w:r>
        <w:rPr>
          <w:rFonts w:ascii="Consolas" w:hAnsi="Consolas"/>
          <w:color w:val="8A1E38"/>
          <w:sz w:val="20"/>
        </w:rPr>
        <w:t>canceled</w:t>
      </w:r>
      <w:r>
        <w:rPr>
          <w:rFonts w:ascii="Times New Roman" w:hAnsi="Times New Roman"/>
          <w:sz w:val="21"/>
        </w:rPr>
        <w:t xml:space="preserve">), </w:t>
      </w:r>
      <w:r>
        <w:rPr>
          <w:rFonts w:ascii="Consolas" w:hAnsi="Consolas"/>
          <w:color w:val="8A1E38"/>
          <w:sz w:val="20"/>
        </w:rPr>
        <w:t>review_score</w:t>
      </w:r>
      <w:r>
        <w:rPr>
          <w:rFonts w:ascii="Times New Roman" w:hAnsi="Times New Roman"/>
          <w:sz w:val="21"/>
        </w:rPr>
        <w:t xml:space="preserve">, </w:t>
      </w:r>
      <w:r>
        <w:rPr>
          <w:rFonts w:ascii="Consolas" w:hAnsi="Consolas"/>
          <w:color w:val="8A1E38"/>
          <w:sz w:val="20"/>
        </w:rPr>
        <w:t>review_comment_message</w:t>
      </w:r>
      <w:r>
        <w:rPr>
          <w:rFonts w:ascii="Times New Roman" w:hAnsi="Times New Roman"/>
          <w:sz w:val="21"/>
        </w:rPr>
        <w:t>.</w:t>
      </w:r>
    </w:p>
    <w:p>
      <w:pPr>
        <w:spacing w:before="0" w:after="50" w:line="276" w:lineRule="auto"/>
        <w:ind w:left="360" w:hanging="216"/>
      </w:pPr>
      <w:r>
        <w:rPr>
          <w:rFonts w:ascii="Arial" w:hAnsi="Arial"/>
          <w:b/>
          <w:color w:val="1F4E79"/>
          <w:sz w:val="20"/>
        </w:rPr>
        <w:t xml:space="preserve">• </w:t>
      </w:r>
      <w:r>
        <w:rPr>
          <w:rFonts w:ascii="Times New Roman" w:hAnsi="Times New Roman"/>
          <w:b/>
          <w:sz w:val="21"/>
        </w:rPr>
        <w:t>Quarantined Post-Purchase Approvals</w:t>
      </w:r>
      <w:r>
        <w:rPr>
          <w:rFonts w:ascii="Times New Roman" w:hAnsi="Times New Roman"/>
          <w:sz w:val="21"/>
        </w:rPr>
        <w:t xml:space="preserve">: </w:t>
      </w:r>
      <w:r>
        <w:rPr>
          <w:rFonts w:ascii="Consolas" w:hAnsi="Consolas"/>
          <w:color w:val="8A1E38"/>
          <w:sz w:val="20"/>
        </w:rPr>
        <w:t>payment_sequential</w:t>
      </w:r>
      <w:r>
        <w:rPr>
          <w:rFonts w:ascii="Times New Roman" w:hAnsi="Times New Roman"/>
          <w:sz w:val="21"/>
        </w:rPr>
        <w:t xml:space="preserve"> updates, post-order payment retry flags.</w:t>
      </w:r>
    </w:p>
    <w:p>
      <w:pPr>
        <w:pStyle w:val="Heading2"/>
      </w:pPr>
      <w:r>
        <w:rPr>
          <w:rFonts w:ascii="Times New Roman" w:hAnsi="Times New Roman"/>
          <w:b/>
          <w:sz w:val="25"/>
        </w:rPr>
        <w:t>2.3 Cart Checkout Scoping &amp; Zero-Item Ex-Post Cancellation Leakage Remediation</w:t>
      </w:r>
    </w:p>
    <w:p>
      <w:pPr/>
      <w:r>
        <w:rPr>
          <w:rFonts w:ascii="Times New Roman" w:hAnsi="Times New Roman"/>
          <w:sz w:val="22"/>
        </w:rPr>
        <w:t>A subtle but critical target leakage vulnerability was identified and eliminated through deep transactional auditing:</w:t>
      </w:r>
    </w:p>
    <w:p>
      <w:pPr>
        <w:spacing w:before="0" w:after="50" w:line="276" w:lineRule="auto"/>
        <w:ind w:left="360" w:hanging="216"/>
      </w:pPr>
      <w:r>
        <w:rPr>
          <w:rFonts w:ascii="Arial" w:hAnsi="Arial"/>
          <w:b/>
          <w:color w:val="1F4E79"/>
          <w:sz w:val="20"/>
        </w:rPr>
        <w:t xml:space="preserve">• </w:t>
      </w:r>
      <w:r>
        <w:rPr>
          <w:rFonts w:ascii="Times New Roman" w:hAnsi="Times New Roman"/>
          <w:i/>
          <w:sz w:val="21"/>
        </w:rPr>
        <w:t>The Conceptual Flaw</w:t>
      </w:r>
      <w:r>
        <w:rPr>
          <w:rFonts w:ascii="Times New Roman" w:hAnsi="Times New Roman"/>
          <w:sz w:val="21"/>
        </w:rPr>
        <w:t>: In an e-commerce checkout interface, an order cannot be placed with an empty shopping cart; by definition, every legitimate checkout contains at least one line item (</w:t>
      </w:r>
      <w:r>
        <w:rPr>
          <w:rFonts w:ascii="Consolas" w:hAnsi="Consolas"/>
          <w:color w:val="8A1E38"/>
          <w:sz w:val="20"/>
        </w:rPr>
        <w:t>n_items &gt;= 1</w:t>
      </w:r>
      <w:r>
        <w:rPr>
          <w:rFonts w:ascii="Times New Roman" w:hAnsi="Times New Roman"/>
          <w:sz w:val="21"/>
        </w:rPr>
        <w:t xml:space="preserve">). However, in the raw historical Olist dataset, </w:t>
      </w:r>
      <w:r>
        <w:rPr>
          <w:rFonts w:ascii="Cambria Math" w:hAnsi="Cambria Math"/>
          <w:sz w:val="21"/>
        </w:rPr>
        <w:t>775</w:t>
      </w:r>
      <w:r>
        <w:rPr>
          <w:rFonts w:ascii="Times New Roman" w:hAnsi="Times New Roman"/>
          <w:sz w:val="21"/>
        </w:rPr>
        <w:t xml:space="preserve"> orders (</w:t>
      </w:r>
      <w:r>
        <w:rPr>
          <w:rFonts w:ascii="Cambria Math" w:hAnsi="Cambria Math"/>
          <w:sz w:val="21"/>
        </w:rPr>
        <w:t>604</w:t>
      </w:r>
      <w:r>
        <w:rPr>
          <w:rFonts w:ascii="Times New Roman" w:hAnsi="Times New Roman"/>
          <w:sz w:val="21"/>
        </w:rPr>
        <w:t xml:space="preserve"> in development, </w:t>
      </w:r>
      <w:r>
        <w:rPr>
          <w:rFonts w:ascii="Cambria Math" w:hAnsi="Cambria Math"/>
          <w:sz w:val="21"/>
        </w:rPr>
        <w:t>38</w:t>
      </w:r>
      <w:r>
        <w:rPr>
          <w:rFonts w:ascii="Times New Roman" w:hAnsi="Times New Roman"/>
          <w:sz w:val="21"/>
        </w:rPr>
        <w:t xml:space="preserve"> in terminal holdout) appeared with payment records but </w:t>
      </w:r>
      <w:r>
        <w:rPr>
          <w:rFonts w:ascii="Cambria Math" w:hAnsi="Cambria Math"/>
          <w:sz w:val="21"/>
        </w:rPr>
        <w:t>0</w:t>
      </w:r>
      <w:r>
        <w:rPr>
          <w:rFonts w:ascii="Times New Roman" w:hAnsi="Times New Roman"/>
          <w:sz w:val="21"/>
        </w:rPr>
        <w:t xml:space="preserve"> rows in </w:t>
      </w:r>
      <w:r>
        <w:rPr>
          <w:rFonts w:ascii="Consolas" w:hAnsi="Consolas"/>
          <w:color w:val="8A1E38"/>
          <w:sz w:val="20"/>
        </w:rPr>
        <w:t>olist_order_items_dataset.csv</w:t>
      </w:r>
      <w:r>
        <w:rPr>
          <w:rFonts w:ascii="Times New Roman" w:hAnsi="Times New Roman"/>
          <w:sz w:val="21"/>
        </w:rPr>
        <w:t>.</w:t>
      </w:r>
    </w:p>
    <w:p>
      <w:pPr>
        <w:spacing w:before="0" w:after="50" w:line="276" w:lineRule="auto"/>
        <w:ind w:left="360" w:hanging="216"/>
      </w:pPr>
      <w:r>
        <w:rPr>
          <w:rFonts w:ascii="Arial" w:hAnsi="Arial"/>
          <w:b/>
          <w:color w:val="1F4E79"/>
          <w:sz w:val="20"/>
        </w:rPr>
        <w:t xml:space="preserve">• </w:t>
      </w:r>
      <w:r>
        <w:rPr>
          <w:rFonts w:ascii="Times New Roman" w:hAnsi="Times New Roman"/>
          <w:i/>
          <w:sz w:val="21"/>
        </w:rPr>
        <w:t>Diagnostic Root Cause</w:t>
      </w:r>
      <w:r>
        <w:rPr>
          <w:rFonts w:ascii="Times New Roman" w:hAnsi="Times New Roman"/>
          <w:sz w:val="21"/>
        </w:rPr>
        <w:t xml:space="preserve">: Transaction status decomposition revealed that these zero-item records were </w:t>
      </w:r>
      <w:r>
        <w:rPr>
          <w:rFonts w:ascii="Times New Roman" w:hAnsi="Times New Roman"/>
          <w:b/>
          <w:sz w:val="21"/>
        </w:rPr>
        <w:t>ex-post fulfillment anomalies</w:t>
      </w:r>
      <w:r>
        <w:rPr>
          <w:rFonts w:ascii="Times New Roman" w:hAnsi="Times New Roman"/>
          <w:sz w:val="21"/>
        </w:rPr>
        <w:t xml:space="preserve">—orders immediately canceled, abandoned, or rejected due to merchant out-of-stock events where items were never packed or invoiced. Crucially, </w:t>
      </w:r>
      <w:r>
        <w:rPr>
          <w:rFonts w:ascii="Times New Roman" w:hAnsi="Times New Roman"/>
          <w:b/>
          <w:sz w:val="21"/>
        </w:rPr>
        <w:t>79.3\% of these zero-item orders received 1-star or 2-star detractor reviews</w:t>
      </w:r>
      <w:r>
        <w:rPr>
          <w:rFonts w:ascii="Times New Roman" w:hAnsi="Times New Roman"/>
          <w:sz w:val="21"/>
        </w:rPr>
        <w:t>, reflecting severe consumer dissatisfaction over canceled orders.</w:t>
      </w:r>
    </w:p>
    <w:p>
      <w:pPr>
        <w:spacing w:before="0" w:after="50" w:line="276" w:lineRule="auto"/>
        <w:ind w:left="360" w:hanging="216"/>
      </w:pPr>
      <w:r>
        <w:rPr>
          <w:rFonts w:ascii="Arial" w:hAnsi="Arial"/>
          <w:b/>
          <w:color w:val="1F4E79"/>
          <w:sz w:val="20"/>
        </w:rPr>
        <w:t xml:space="preserve">• </w:t>
      </w:r>
      <w:r>
        <w:rPr>
          <w:rFonts w:ascii="Times New Roman" w:hAnsi="Times New Roman"/>
          <w:i/>
          <w:sz w:val="21"/>
        </w:rPr>
        <w:t>Remediation Protocol (Option 1: Strict Checkout Scoping)</w:t>
      </w:r>
      <w:r>
        <w:rPr>
          <w:rFonts w:ascii="Times New Roman" w:hAnsi="Times New Roman"/>
          <w:sz w:val="21"/>
        </w:rPr>
        <w:t xml:space="preserve">: Retaining zero-item rows and training models with flags such as </w:t>
      </w:r>
      <w:r>
        <w:rPr>
          <w:rFonts w:ascii="Consolas" w:hAnsi="Consolas"/>
          <w:color w:val="8A1E38"/>
          <w:sz w:val="20"/>
        </w:rPr>
        <w:t>has_items</w:t>
      </w:r>
      <w:r>
        <w:rPr>
          <w:rFonts w:ascii="Times New Roman" w:hAnsi="Times New Roman"/>
          <w:sz w:val="21"/>
        </w:rPr>
        <w:t xml:space="preserve"> or </w:t>
      </w:r>
      <w:r>
        <w:rPr>
          <w:rFonts w:ascii="Consolas" w:hAnsi="Consolas"/>
          <w:color w:val="8A1E38"/>
          <w:sz w:val="20"/>
        </w:rPr>
        <w:t>freight_ratio_missing</w:t>
      </w:r>
      <w:r>
        <w:rPr>
          <w:rFonts w:ascii="Times New Roman" w:hAnsi="Times New Roman"/>
          <w:sz w:val="21"/>
        </w:rPr>
        <w:t xml:space="preserve"> constitutes severe retrospective target leakage, providing models with an artificial shortcut that cannot exist at legitimate checkout. We enforced strict pre-checkout eligibility gating: </w:t>
      </w:r>
      <w:r>
        <w:rPr>
          <w:rFonts w:ascii="Cambria Math" w:hAnsi="Cambria Math"/>
          <w:sz w:val="21"/>
        </w:rPr>
        <w:t>eligible_classification ∧ (has_items == 1)</w:t>
      </w:r>
      <w:r>
        <w:rPr>
          <w:rFonts w:ascii="Times New Roman" w:hAnsi="Times New Roman"/>
          <w:sz w:val="21"/>
        </w:rPr>
        <w:t xml:space="preserve">. Filtering out the </w:t>
      </w:r>
      <w:r>
        <w:rPr>
          <w:rFonts w:ascii="Cambria Math" w:hAnsi="Cambria Math"/>
          <w:sz w:val="21"/>
        </w:rPr>
        <w:t>604</w:t>
      </w:r>
      <w:r>
        <w:rPr>
          <w:rFonts w:ascii="Times New Roman" w:hAnsi="Times New Roman"/>
          <w:sz w:val="21"/>
        </w:rPr>
        <w:t xml:space="preserve"> retrospective cancellations refined development classification support to </w:t>
      </w:r>
      <w:r>
        <w:rPr>
          <w:rFonts w:ascii="Cambria Math" w:hAnsi="Cambria Math"/>
          <w:sz w:val="21"/>
        </w:rPr>
        <w:t>N = 78,334</w:t>
      </w:r>
      <w:r>
        <w:rPr>
          <w:rFonts w:ascii="Times New Roman" w:hAnsi="Times New Roman"/>
          <w:sz w:val="21"/>
        </w:rPr>
        <w:t xml:space="preserve"> orders (and terminal holdout to </w:t>
      </w:r>
      <w:r>
        <w:rPr>
          <w:rFonts w:ascii="Cambria Math" w:hAnsi="Cambria Math"/>
          <w:sz w:val="21"/>
        </w:rPr>
        <w:t>N = 15,769</w:t>
      </w:r>
      <w:r>
        <w:rPr>
          <w:rFonts w:ascii="Times New Roman" w:hAnsi="Times New Roman"/>
          <w:sz w:val="21"/>
        </w:rPr>
        <w:t xml:space="preserve"> orders), while completely pruning </w:t>
      </w:r>
      <w:r>
        <w:rPr>
          <w:rFonts w:ascii="Consolas" w:hAnsi="Consolas"/>
          <w:color w:val="8A1E38"/>
          <w:sz w:val="20"/>
        </w:rPr>
        <w:t>has_items</w:t>
      </w:r>
      <w:r>
        <w:rPr>
          <w:rFonts w:ascii="Times New Roman" w:hAnsi="Times New Roman"/>
          <w:sz w:val="21"/>
        </w:rPr>
        <w:t xml:space="preserve"> and </w:t>
      </w:r>
      <w:r>
        <w:rPr>
          <w:rFonts w:ascii="Consolas" w:hAnsi="Consolas"/>
          <w:color w:val="8A1E38"/>
          <w:sz w:val="20"/>
        </w:rPr>
        <w:t>freight_ratio_missing</w:t>
      </w:r>
      <w:r>
        <w:rPr>
          <w:rFonts w:ascii="Times New Roman" w:hAnsi="Times New Roman"/>
          <w:sz w:val="21"/>
        </w:rPr>
        <w:t xml:space="preserve"> from all feature spaces.</w:t>
      </w:r>
    </w:p>
    <w:p>
      <w:pPr>
        <w:pStyle w:val="Heading2"/>
      </w:pPr>
      <w:r>
        <w:rPr>
          <w:rFonts w:ascii="Times New Roman" w:hAnsi="Times New Roman"/>
          <w:b/>
          <w:sz w:val="25"/>
        </w:rPr>
        <w:t xml:space="preserve">2.4 Entity Resolution: </w:t>
      </w:r>
      <w:r>
        <w:rPr>
          <w:rFonts w:ascii="Consolas" w:hAnsi="Consolas"/>
          <w:b/>
          <w:color w:val="8A1E38"/>
          <w:sz w:val="24"/>
        </w:rPr>
        <w:t>customer_id</w:t>
      </w:r>
      <w:r>
        <w:rPr>
          <w:rFonts w:ascii="Times New Roman" w:hAnsi="Times New Roman"/>
          <w:b/>
          <w:sz w:val="25"/>
        </w:rPr>
        <w:t xml:space="preserve"> vs. </w:t>
      </w:r>
      <w:r>
        <w:rPr>
          <w:rFonts w:ascii="Consolas" w:hAnsi="Consolas"/>
          <w:b/>
          <w:color w:val="8A1E38"/>
          <w:sz w:val="24"/>
        </w:rPr>
        <w:t>customer_unique_id</w:t>
      </w:r>
    </w:p>
    <w:p>
      <w:pPr/>
      <w:r>
        <w:rPr>
          <w:rFonts w:ascii="Times New Roman" w:hAnsi="Times New Roman"/>
          <w:sz w:val="22"/>
        </w:rPr>
        <w:t xml:space="preserve">The Olist schema creates an ephemeral </w:t>
      </w:r>
      <w:r>
        <w:rPr>
          <w:rFonts w:ascii="Consolas" w:hAnsi="Consolas"/>
          <w:color w:val="8A1E38"/>
          <w:sz w:val="21"/>
        </w:rPr>
        <w:t>customer_id</w:t>
      </w:r>
      <w:r>
        <w:rPr>
          <w:rFonts w:ascii="Times New Roman" w:hAnsi="Times New Roman"/>
          <w:sz w:val="22"/>
        </w:rPr>
        <w:t xml:space="preserve"> per transaction, whereas </w:t>
      </w:r>
      <w:r>
        <w:rPr>
          <w:rFonts w:ascii="Consolas" w:hAnsi="Consolas"/>
          <w:color w:val="8A1E38"/>
          <w:sz w:val="21"/>
        </w:rPr>
        <w:t>customer_unique_id</w:t>
      </w:r>
      <w:r>
        <w:rPr>
          <w:rFonts w:ascii="Times New Roman" w:hAnsi="Times New Roman"/>
          <w:sz w:val="22"/>
        </w:rPr>
        <w:t xml:space="preserve"> identifies the actual individual across repeat purchases over time. Splitting or grouping on </w:t>
      </w:r>
      <w:r>
        <w:rPr>
          <w:rFonts w:ascii="Consolas" w:hAnsi="Consolas"/>
          <w:color w:val="8A1E38"/>
          <w:sz w:val="21"/>
        </w:rPr>
        <w:t>customer_id</w:t>
      </w:r>
      <w:r>
        <w:rPr>
          <w:rFonts w:ascii="Times New Roman" w:hAnsi="Times New Roman"/>
          <w:sz w:val="22"/>
        </w:rPr>
        <w:t xml:space="preserve"> creates entity leakage (Project Brief Warning). All customer identity groupings and repeat-transaction logic are resolved strictly through </w:t>
      </w:r>
      <w:r>
        <w:rPr>
          <w:rFonts w:ascii="Consolas" w:hAnsi="Consolas"/>
          <w:color w:val="8A1E38"/>
          <w:sz w:val="21"/>
        </w:rPr>
        <w:t>customer_unique_id</w:t>
      </w:r>
      <w:r>
        <w:rPr>
          <w:rFonts w:ascii="Times New Roman" w:hAnsi="Times New Roman"/>
          <w:sz w:val="22"/>
        </w:rPr>
        <w:t>.</w:t>
      </w:r>
    </w:p>
    <w:p>
      <w:pPr>
        <w:pStyle w:val="Heading2"/>
      </w:pPr>
      <w:r>
        <w:rPr>
          <w:rFonts w:ascii="Times New Roman" w:hAnsi="Times New Roman"/>
          <w:b/>
          <w:sz w:val="25"/>
        </w:rPr>
        <w:t>2.5 The Temporal-Customer Leakage Trap &amp; Chronological Expanding Windows</w:t>
      </w:r>
    </w:p>
    <w:p>
      <w:pPr/>
      <w:r>
        <w:rPr>
          <w:rFonts w:ascii="Times New Roman" w:hAnsi="Times New Roman"/>
          <w:sz w:val="22"/>
        </w:rPr>
        <w:t xml:space="preserve">Standard grouped K-Fold cross-validation grouped by </w:t>
      </w:r>
      <w:r>
        <w:rPr>
          <w:rFonts w:ascii="Consolas" w:hAnsi="Consolas"/>
          <w:color w:val="8A1E38"/>
          <w:sz w:val="21"/>
        </w:rPr>
        <w:t>customer_unique_id</w:t>
      </w:r>
      <w:r>
        <w:rPr>
          <w:rFonts w:ascii="Times New Roman" w:hAnsi="Times New Roman"/>
          <w:sz w:val="22"/>
        </w:rPr>
        <w:t xml:space="preserve"> introduces a subtle </w:t>
      </w:r>
      <w:r>
        <w:rPr>
          <w:rFonts w:ascii="Times New Roman" w:hAnsi="Times New Roman"/>
          <w:b/>
          <w:sz w:val="22"/>
        </w:rPr>
        <w:t>temporal leakage trap</w:t>
      </w:r>
      <w:r>
        <w:rPr>
          <w:rFonts w:ascii="Times New Roman" w:hAnsi="Times New Roman"/>
          <w:sz w:val="22"/>
        </w:rPr>
        <w:t>:</w:t>
      </w:r>
    </w:p>
    <w:p>
      <w:pPr>
        <w:spacing w:before="0" w:after="50" w:line="276" w:lineRule="auto"/>
        <w:ind w:left="360" w:hanging="216"/>
      </w:pPr>
      <w:r>
        <w:rPr>
          <w:rFonts w:ascii="Arial" w:hAnsi="Arial"/>
          <w:b/>
          <w:color w:val="1F4E79"/>
          <w:sz w:val="20"/>
        </w:rPr>
        <w:t xml:space="preserve">• </w:t>
      </w:r>
      <w:r>
        <w:rPr>
          <w:rFonts w:ascii="Times New Roman" w:hAnsi="Times New Roman"/>
          <w:i/>
          <w:sz w:val="21"/>
        </w:rPr>
        <w:t>The Failure Mechanism</w:t>
      </w:r>
      <w:r>
        <w:rPr>
          <w:rFonts w:ascii="Times New Roman" w:hAnsi="Times New Roman"/>
          <w:sz w:val="21"/>
        </w:rPr>
        <w:t>: When grouping transactions by customer without chronological constraints, a customer who placed Order A in January 2017 and Order B in July 2018 would have Order B placed into the historical training fold to predict Order A. This allows future macroeconomic conditions, postal rates, and carrier network states to leak backward into past predictions.</w:t>
      </w:r>
    </w:p>
    <w:p>
      <w:pPr>
        <w:spacing w:before="0" w:after="50" w:line="276" w:lineRule="auto"/>
        <w:ind w:left="360" w:hanging="216"/>
      </w:pPr>
      <w:r>
        <w:rPr>
          <w:rFonts w:ascii="Arial" w:hAnsi="Arial"/>
          <w:b/>
          <w:color w:val="1F4E79"/>
          <w:sz w:val="20"/>
        </w:rPr>
        <w:t xml:space="preserve">• </w:t>
      </w:r>
      <w:r>
        <w:rPr>
          <w:rFonts w:ascii="Times New Roman" w:hAnsi="Times New Roman"/>
          <w:i/>
          <w:sz w:val="21"/>
        </w:rPr>
        <w:t>The Architectural Resolution</w:t>
      </w:r>
      <w:r>
        <w:rPr>
          <w:rFonts w:ascii="Times New Roman" w:hAnsi="Times New Roman"/>
          <w:sz w:val="21"/>
        </w:rPr>
        <w:t xml:space="preserve">: We implemented a </w:t>
      </w:r>
      <w:r>
        <w:rPr>
          <w:rFonts w:ascii="Times New Roman" w:hAnsi="Times New Roman"/>
          <w:b/>
          <w:sz w:val="21"/>
        </w:rPr>
        <w:t>Chronological Expanding Window Architecture with Strict Customer Purging</w:t>
      </w:r>
      <w:r>
        <w:rPr>
          <w:rFonts w:ascii="Times New Roman" w:hAnsi="Times New Roman"/>
          <w:sz w:val="21"/>
        </w:rPr>
        <w:t>:</w:t>
      </w:r>
    </w:p>
    <w:p>
      <w:pPr>
        <w:spacing w:before="0" w:after="50" w:line="276" w:lineRule="auto"/>
        <w:ind w:left="403" w:hanging="259"/>
      </w:pPr>
      <w:r>
        <w:rPr>
          <w:rFonts w:ascii="Times New Roman" w:hAnsi="Times New Roman"/>
          <w:b/>
          <w:color w:val="1F4E79"/>
          <w:sz w:val="21"/>
        </w:rPr>
        <w:t xml:space="preserve">1. </w:t>
      </w:r>
      <w:r>
        <w:rPr>
          <w:rFonts w:ascii="Times New Roman" w:hAnsi="Times New Roman"/>
          <w:sz w:val="21"/>
        </w:rPr>
        <w:t xml:space="preserve">All orders are ordered chronologically by </w:t>
      </w:r>
      <w:r>
        <w:rPr>
          <w:rFonts w:ascii="Cambria Math" w:hAnsi="Cambria Math"/>
          <w:sz w:val="21"/>
        </w:rPr>
        <w:t>τ_checkout</w:t>
      </w:r>
      <w:r>
        <w:rPr>
          <w:rFonts w:ascii="Times New Roman" w:hAnsi="Times New Roman"/>
          <w:sz w:val="21"/>
        </w:rPr>
        <w:t>.</w:t>
      </w:r>
    </w:p>
    <w:p>
      <w:pPr>
        <w:spacing w:before="0" w:after="50" w:line="276" w:lineRule="auto"/>
        <w:ind w:left="403" w:hanging="259"/>
      </w:pPr>
      <w:r>
        <w:rPr>
          <w:rFonts w:ascii="Times New Roman" w:hAnsi="Times New Roman"/>
          <w:b/>
          <w:color w:val="1F4E79"/>
          <w:sz w:val="21"/>
        </w:rPr>
        <w:t xml:space="preserve">2. </w:t>
      </w:r>
      <w:r>
        <w:rPr>
          <w:rFonts w:ascii="Times New Roman" w:hAnsi="Times New Roman"/>
          <w:sz w:val="21"/>
        </w:rPr>
        <w:t xml:space="preserve">The historical development timeline (October 2016 through May 24, 2018; </w:t>
      </w:r>
      <w:r>
        <w:rPr>
          <w:rFonts w:ascii="Cambria Math" w:hAnsi="Cambria Math"/>
          <w:sz w:val="21"/>
        </w:rPr>
        <w:t>N = 77,139</w:t>
      </w:r>
      <w:r>
        <w:rPr>
          <w:rFonts w:ascii="Times New Roman" w:hAnsi="Times New Roman"/>
          <w:sz w:val="21"/>
        </w:rPr>
        <w:t xml:space="preserve"> regression orders, </w:t>
      </w:r>
      <w:r>
        <w:rPr>
          <w:rFonts w:ascii="Cambria Math" w:hAnsi="Cambria Math"/>
          <w:sz w:val="21"/>
        </w:rPr>
        <w:t>N = 78,334</w:t>
      </w:r>
      <w:r>
        <w:rPr>
          <w:rFonts w:ascii="Times New Roman" w:hAnsi="Times New Roman"/>
          <w:sz w:val="21"/>
        </w:rPr>
        <w:t xml:space="preserve"> classification orders) is partitioned into </w:t>
      </w:r>
      <w:r>
        <w:rPr>
          <w:rFonts w:ascii="Times New Roman" w:hAnsi="Times New Roman"/>
          <w:b/>
          <w:sz w:val="21"/>
        </w:rPr>
        <w:t>5 forward-chaining chronological folds</w:t>
      </w:r>
      <w:r>
        <w:rPr>
          <w:rFonts w:ascii="Times New Roman" w:hAnsi="Times New Roman"/>
          <w:sz w:val="21"/>
        </w:rPr>
        <w:t>, mimicking operational deployment where past data trains models to predict the immediate future.</w:t>
      </w:r>
    </w:p>
    <w:p>
      <w:pPr>
        <w:spacing w:before="0" w:after="50" w:line="276" w:lineRule="auto"/>
        <w:ind w:left="403" w:hanging="259"/>
      </w:pPr>
      <w:r>
        <w:rPr>
          <w:rFonts w:ascii="Times New Roman" w:hAnsi="Times New Roman"/>
          <w:b/>
          <w:color w:val="1F4E79"/>
          <w:sz w:val="21"/>
        </w:rPr>
        <w:t xml:space="preserve">3. </w:t>
      </w:r>
      <w:r>
        <w:rPr>
          <w:rFonts w:ascii="Times New Roman" w:hAnsi="Times New Roman"/>
          <w:b/>
          <w:sz w:val="21"/>
        </w:rPr>
        <w:t>Customer Purging</w:t>
      </w:r>
      <w:r>
        <w:rPr>
          <w:rFonts w:ascii="Times New Roman" w:hAnsi="Times New Roman"/>
          <w:sz w:val="21"/>
        </w:rPr>
        <w:t>: Any customer with historical transactions who also appears in the subsequent validation window has their prior transactions purged from that fold's training set, guaranteeing zero cross-temporal identity overlap.</w:t>
      </w:r>
    </w:p>
    <w:p>
      <w:pPr>
        <w:spacing w:before="0" w:after="50" w:line="276" w:lineRule="auto"/>
        <w:ind w:left="403" w:hanging="259"/>
      </w:pPr>
      <w:r>
        <w:rPr>
          <w:rFonts w:ascii="Times New Roman" w:hAnsi="Times New Roman"/>
          <w:b/>
          <w:color w:val="1F4E79"/>
          <w:sz w:val="21"/>
        </w:rPr>
        <w:t xml:space="preserve">4. </w:t>
      </w:r>
      <w:r>
        <w:rPr>
          <w:rFonts w:ascii="Times New Roman" w:hAnsi="Times New Roman"/>
          <w:b/>
          <w:sz w:val="21"/>
        </w:rPr>
        <w:t>Target Label Maturity Gating</w:t>
      </w:r>
      <w:r>
        <w:rPr>
          <w:rFonts w:ascii="Times New Roman" w:hAnsi="Times New Roman"/>
          <w:sz w:val="21"/>
        </w:rPr>
        <w:t>: To prevent survival bias, orders placed near fold boundaries that had not yet reached terminal delivery status at fold cutoff were gated out of evaluation.</w:t>
      </w:r>
    </w:p>
    <w:p>
      <w:pPr>
        <w:spacing w:before="0" w:after="50" w:line="276" w:lineRule="auto"/>
        <w:ind w:left="403" w:hanging="259"/>
      </w:pPr>
      <w:r>
        <w:rPr>
          <w:rFonts w:ascii="Times New Roman" w:hAnsi="Times New Roman"/>
          <w:b/>
          <w:color w:val="1F4E79"/>
          <w:sz w:val="21"/>
        </w:rPr>
        <w:t xml:space="preserve">5. </w:t>
      </w:r>
      <w:r>
        <w:rPr>
          <w:rFonts w:ascii="Times New Roman" w:hAnsi="Times New Roman"/>
          <w:b/>
          <w:sz w:val="21"/>
        </w:rPr>
        <w:t>Unseen Terminal Holdout</w:t>
      </w:r>
      <w:r>
        <w:rPr>
          <w:rFonts w:ascii="Times New Roman" w:hAnsi="Times New Roman"/>
          <w:sz w:val="21"/>
        </w:rPr>
        <w:t>: A completely quarantined test cohort (</w:t>
      </w:r>
      <w:r>
        <w:rPr>
          <w:rFonts w:ascii="Cambria Math" w:hAnsi="Cambria Math"/>
          <w:sz w:val="21"/>
        </w:rPr>
        <w:t>N=15,615</w:t>
      </w:r>
      <w:r>
        <w:rPr>
          <w:rFonts w:ascii="Times New Roman" w:hAnsi="Times New Roman"/>
          <w:sz w:val="21"/>
        </w:rPr>
        <w:t xml:space="preserve"> regression orders; </w:t>
      </w:r>
      <w:r>
        <w:rPr>
          <w:rFonts w:ascii="Cambria Math" w:hAnsi="Cambria Math"/>
          <w:sz w:val="21"/>
        </w:rPr>
        <w:t>N=15,769</w:t>
      </w:r>
      <w:r>
        <w:rPr>
          <w:rFonts w:ascii="Times New Roman" w:hAnsi="Times New Roman"/>
          <w:sz w:val="21"/>
        </w:rPr>
        <w:t xml:space="preserve"> classification orders) spanning </w:t>
      </w:r>
      <w:r>
        <w:rPr>
          <w:rFonts w:ascii="Times New Roman" w:hAnsi="Times New Roman"/>
          <w:b/>
          <w:sz w:val="21"/>
        </w:rPr>
        <w:t>May 25, 2018 to August 29, 2018</w:t>
      </w:r>
      <w:r>
        <w:rPr>
          <w:rFonts w:ascii="Times New Roman" w:hAnsi="Times New Roman"/>
          <w:sz w:val="21"/>
        </w:rPr>
        <w:t xml:space="preserve"> was locked until final model verification.</w:t>
      </w:r>
    </w:p>
    <w:p>
      <w:pPr>
        <w:spacing w:before="80" w:after="120" w:line="269" w:lineRule="auto"/>
        <w:ind w:left="504" w:right="288"/>
      </w:pPr>
      <w:r>
        <w:rPr>
          <w:rFonts w:ascii="Times New Roman" w:hAnsi="Times New Roman"/>
          <w:i/>
          <w:color w:val="334155"/>
          <w:sz w:val="20"/>
        </w:rPr>
        <w:t>(Refer to Diagram B.1 in Appendix B for the structural flowchart of the Chronological Expanding Window Cross-Validation Architecture and customer purging safeguards, and Appendix F for the comprehensive Feature Metadata, Distribution Parity &amp; Covariate Drift Audit comparing the training dataset against the unseen holdout cohort).</w:t>
      </w:r>
    </w:p>
    <w:p>
      <w:pPr/>
      <w:r>
        <w:rPr>
          <w:rFonts w:ascii="Times New Roman" w:hAnsi="Times New Roman"/>
          <w:i/>
          <w:sz w:val="22"/>
        </w:rPr>
        <w:t>Note on Leakage Controls</w:t>
      </w:r>
      <w:r>
        <w:rPr>
          <w:rFonts w:ascii="Times New Roman" w:hAnsi="Times New Roman"/>
          <w:sz w:val="22"/>
        </w:rPr>
        <w:t>: While these explicit engineering controls systematically prevent post-event leakage and historical lookahead, absolute enterprise zero-leakage certification requires continuous end-to-end data lineage monitoring across upstream production ETL pipelines.</w:t>
      </w:r>
    </w:p>
    <w:p>
      <w:pPr>
        <w:pStyle w:val="Heading1"/>
        <w:pageBreakBefore/>
      </w:pPr>
      <w:r>
        <w:rPr>
          <w:rFonts w:ascii="Times New Roman" w:hAnsi="Times New Roman"/>
          <w:b/>
          <w:sz w:val="28"/>
        </w:rPr>
        <w:t>3. Feature Engineering &amp; Multicollinearity Resolution</w:t>
      </w:r>
    </w:p>
    <w:p>
      <w:pPr>
        <w:pStyle w:val="Heading2"/>
      </w:pPr>
      <w:r>
        <w:rPr>
          <w:rFonts w:ascii="Times New Roman" w:hAnsi="Times New Roman"/>
          <w:b/>
          <w:sz w:val="25"/>
        </w:rPr>
        <w:t>3.1 Literature Grounding &amp; Domain-Driven Predictor Formulation</w:t>
      </w:r>
    </w:p>
    <w:p>
      <w:pPr/>
      <w:r>
        <w:rPr>
          <w:rFonts w:ascii="Times New Roman" w:hAnsi="Times New Roman"/>
          <w:sz w:val="22"/>
        </w:rPr>
        <w:t>Carried forward from our Phase 1 Literature Review, we ground our feature formulation in three established e-commerce supply chain theories (Teacher Expectation 3):</w:t>
      </w:r>
    </w:p>
    <w:p>
      <w:pPr>
        <w:spacing w:before="0" w:after="50" w:line="276" w:lineRule="auto"/>
        <w:ind w:left="403" w:hanging="259"/>
      </w:pPr>
      <w:r>
        <w:rPr>
          <w:rFonts w:ascii="Times New Roman" w:hAnsi="Times New Roman"/>
          <w:b/>
          <w:color w:val="1F4E79"/>
          <w:sz w:val="21"/>
        </w:rPr>
        <w:t xml:space="preserve">1. </w:t>
      </w:r>
      <w:r>
        <w:rPr>
          <w:rFonts w:ascii="Times New Roman" w:hAnsi="Times New Roman"/>
          <w:b/>
          <w:sz w:val="21"/>
        </w:rPr>
        <w:t>Spatial Gravity &amp; Transit Lead Time (Cui et al., 2020)</w:t>
      </w:r>
      <w:r>
        <w:rPr>
          <w:rFonts w:ascii="Times New Roman" w:hAnsi="Times New Roman"/>
          <w:sz w:val="21"/>
        </w:rPr>
        <w:t>: Physical transit distance is the primary structural determinant of delivery duration. We calculate geodesic Haversine distance (</w:t>
      </w:r>
      <w:r>
        <w:rPr>
          <w:rFonts w:ascii="Consolas" w:hAnsi="Consolas"/>
          <w:color w:val="8A1E38"/>
          <w:sz w:val="20"/>
        </w:rPr>
        <w:t>distance_km_max</w:t>
      </w:r>
      <w:r>
        <w:rPr>
          <w:rFonts w:ascii="Times New Roman" w:hAnsi="Times New Roman"/>
          <w:sz w:val="21"/>
        </w:rPr>
        <w:t>) between customer and seller zip-code centroids.</w:t>
      </w:r>
    </w:p>
    <w:p>
      <w:pPr>
        <w:spacing w:before="0" w:after="50" w:line="276" w:lineRule="auto"/>
        <w:ind w:left="403" w:hanging="259"/>
      </w:pPr>
      <w:r>
        <w:rPr>
          <w:rFonts w:ascii="Times New Roman" w:hAnsi="Times New Roman"/>
          <w:b/>
          <w:color w:val="1F4E79"/>
          <w:sz w:val="21"/>
        </w:rPr>
        <w:t xml:space="preserve">2. </w:t>
      </w:r>
      <w:r>
        <w:rPr>
          <w:rFonts w:ascii="Times New Roman" w:hAnsi="Times New Roman"/>
          <w:b/>
          <w:sz w:val="21"/>
        </w:rPr>
        <w:t>Economic Shipping Burden &amp; Price Sensitivity (Deshpande &amp; Pendem, 2023)</w:t>
      </w:r>
      <w:r>
        <w:rPr>
          <w:rFonts w:ascii="Times New Roman" w:hAnsi="Times New Roman"/>
          <w:sz w:val="21"/>
        </w:rPr>
        <w:t>: Consumer tolerance for delivery delay is inversely proportional to freight cost. Customers paying high shipping relative to item price (</w:t>
      </w:r>
      <w:r>
        <w:rPr>
          <w:rFonts w:ascii="Consolas" w:hAnsi="Consolas"/>
          <w:color w:val="8A1E38"/>
          <w:sz w:val="20"/>
        </w:rPr>
        <w:t>freight_ratio = total_freight / (total_price + total_freight)</w:t>
      </w:r>
      <w:r>
        <w:rPr>
          <w:rFonts w:ascii="Times New Roman" w:hAnsi="Times New Roman"/>
          <w:sz w:val="21"/>
        </w:rPr>
        <w:t>) exhibit heightened sensitivity to delay, escalating detractor review probability.</w:t>
      </w:r>
    </w:p>
    <w:p>
      <w:pPr>
        <w:spacing w:before="0" w:after="50" w:line="276" w:lineRule="auto"/>
        <w:ind w:left="403" w:hanging="259"/>
      </w:pPr>
      <w:r>
        <w:rPr>
          <w:rFonts w:ascii="Times New Roman" w:hAnsi="Times New Roman"/>
          <w:b/>
          <w:color w:val="1F4E79"/>
          <w:sz w:val="21"/>
        </w:rPr>
        <w:t xml:space="preserve">3. </w:t>
      </w:r>
      <w:r>
        <w:rPr>
          <w:rFonts w:ascii="Times New Roman" w:hAnsi="Times New Roman"/>
          <w:b/>
          <w:sz w:val="21"/>
        </w:rPr>
        <w:t>Cross-Border Interstate Friction &amp; Tax Inspections (Leite et al., 2022)</w:t>
      </w:r>
      <w:r>
        <w:rPr>
          <w:rFonts w:ascii="Times New Roman" w:hAnsi="Times New Roman"/>
          <w:sz w:val="21"/>
        </w:rPr>
        <w:t>: Multi-vendor split-shipment complexity (</w:t>
      </w:r>
      <w:r>
        <w:rPr>
          <w:rFonts w:ascii="Consolas" w:hAnsi="Consolas"/>
          <w:color w:val="8A1E38"/>
          <w:sz w:val="20"/>
        </w:rPr>
        <w:t>n_sellers</w:t>
      </w:r>
      <w:r>
        <w:rPr>
          <w:rFonts w:ascii="Times New Roman" w:hAnsi="Times New Roman"/>
          <w:sz w:val="21"/>
        </w:rPr>
        <w:t>) and interstate border crossings (</w:t>
      </w:r>
      <w:r>
        <w:rPr>
          <w:rFonts w:ascii="Consolas" w:hAnsi="Consolas"/>
          <w:color w:val="8A1E38"/>
          <w:sz w:val="20"/>
        </w:rPr>
        <w:t>interstate_share</w:t>
      </w:r>
      <w:r>
        <w:rPr>
          <w:rFonts w:ascii="Times New Roman" w:hAnsi="Times New Roman"/>
          <w:sz w:val="21"/>
        </w:rPr>
        <w:t>) trigger mandatory tax clearance checkpoints (SEFAZ ICMS inspections), inflating transit delays and consumer friction.</w:t>
      </w:r>
    </w:p>
    <w:p>
      <w:pPr>
        <w:pStyle w:val="Heading2"/>
      </w:pPr>
      <w:r>
        <w:rPr>
          <w:rFonts w:ascii="Times New Roman" w:hAnsi="Times New Roman"/>
          <w:b/>
          <w:sz w:val="25"/>
        </w:rPr>
        <w:t>3.2 Collinearity Screening &amp; Cart-Scoping Pruning: 27 Candidates Down to 9 Core Predictors</w:t>
      </w:r>
    </w:p>
    <w:p>
      <w:pPr/>
      <w:r>
        <w:rPr>
          <w:rFonts w:ascii="Times New Roman" w:hAnsi="Times New Roman"/>
          <w:sz w:val="22"/>
        </w:rPr>
        <w:t>An initial candidate pool generated 27 raw attributes (including redundant coordinates, seller freight totals, min/max item price variants, and multiple payment breakdowns). Evaluating this design matrix revealed extreme multicollinearity:</w:t>
      </w:r>
    </w:p>
    <w:p>
      <w:pPr>
        <w:spacing w:before="0" w:after="50" w:line="276" w:lineRule="auto"/>
        <w:ind w:left="360" w:hanging="216"/>
      </w:pPr>
      <w:r>
        <w:rPr>
          <w:rFonts w:ascii="Arial" w:hAnsi="Arial"/>
          <w:b/>
          <w:color w:val="1F4E79"/>
          <w:sz w:val="20"/>
        </w:rPr>
        <w:t xml:space="preserve">• </w:t>
      </w:r>
      <w:r>
        <w:rPr>
          <w:rFonts w:ascii="Times New Roman" w:hAnsi="Times New Roman"/>
          <w:sz w:val="21"/>
        </w:rPr>
        <w:t xml:space="preserve">Condition number exceeded </w:t>
      </w:r>
      <w:r>
        <w:rPr>
          <w:rFonts w:ascii="Cambria Math" w:hAnsi="Cambria Math"/>
          <w:sz w:val="21"/>
        </w:rPr>
        <w:t>κ = 4,988</w:t>
      </w:r>
      <w:r>
        <w:rPr>
          <w:rFonts w:ascii="Times New Roman" w:hAnsi="Times New Roman"/>
          <w:sz w:val="21"/>
        </w:rPr>
        <w:t>, indicating near-singular covariance matrices.</w:t>
      </w:r>
    </w:p>
    <w:p>
      <w:pPr>
        <w:spacing w:before="0" w:after="50" w:line="276" w:lineRule="auto"/>
        <w:ind w:left="360" w:hanging="216"/>
      </w:pPr>
      <w:r>
        <w:rPr>
          <w:rFonts w:ascii="Arial" w:hAnsi="Arial"/>
          <w:b/>
          <w:color w:val="1F4E79"/>
          <w:sz w:val="20"/>
        </w:rPr>
        <w:t xml:space="preserve">• </w:t>
      </w:r>
      <w:r>
        <w:rPr>
          <w:rFonts w:ascii="Times New Roman" w:hAnsi="Times New Roman"/>
          <w:sz w:val="21"/>
        </w:rPr>
        <w:t>Linear regression coefficient signs reversed erratically across folds (e.g., negative coefficients on physical distance).</w:t>
      </w:r>
    </w:p>
    <w:p>
      <w:pPr>
        <w:spacing w:before="0" w:after="50" w:line="276" w:lineRule="auto"/>
        <w:ind w:left="360" w:hanging="216"/>
      </w:pPr>
      <w:r>
        <w:rPr>
          <w:rFonts w:ascii="Arial" w:hAnsi="Arial"/>
          <w:b/>
          <w:color w:val="1F4E79"/>
          <w:sz w:val="20"/>
        </w:rPr>
        <w:t xml:space="preserve">• </w:t>
      </w:r>
      <w:r>
        <w:rPr>
          <w:rFonts w:ascii="Times New Roman" w:hAnsi="Times New Roman"/>
          <w:sz w:val="21"/>
        </w:rPr>
        <w:t>Standard errors on estimated parameters exploded.</w:t>
      </w:r>
    </w:p>
    <w:p>
      <w:pPr/>
      <w:r>
        <w:rPr>
          <w:rFonts w:ascii="Times New Roman" w:hAnsi="Times New Roman"/>
          <w:sz w:val="22"/>
        </w:rPr>
        <w:t>To establish a stable, parsimonious, and leak-free baseline, we executed rigorous collinearity screening and cart checkout scoping (Tutorial Week 5):</w:t>
      </w:r>
    </w:p>
    <w:p>
      <w:pPr>
        <w:spacing w:before="0" w:after="50" w:line="276" w:lineRule="auto"/>
        <w:ind w:left="360" w:hanging="216"/>
      </w:pPr>
      <w:r>
        <w:rPr>
          <w:rFonts w:ascii="Arial" w:hAnsi="Arial"/>
          <w:b/>
          <w:color w:val="1F4E79"/>
          <w:sz w:val="20"/>
        </w:rPr>
        <w:t xml:space="preserve">• </w:t>
      </w:r>
      <w:r>
        <w:rPr>
          <w:rFonts w:ascii="Times New Roman" w:hAnsi="Times New Roman"/>
          <w:sz w:val="21"/>
        </w:rPr>
        <w:t>Redundant coordinate features (</w:t>
      </w:r>
      <w:r>
        <w:rPr>
          <w:rFonts w:ascii="Consolas" w:hAnsi="Consolas"/>
          <w:color w:val="8A1E38"/>
          <w:sz w:val="20"/>
        </w:rPr>
        <w:t>customer_lat</w:t>
      </w:r>
      <w:r>
        <w:rPr>
          <w:rFonts w:ascii="Times New Roman" w:hAnsi="Times New Roman"/>
          <w:sz w:val="21"/>
        </w:rPr>
        <w:t xml:space="preserve">, </w:t>
      </w:r>
      <w:r>
        <w:rPr>
          <w:rFonts w:ascii="Consolas" w:hAnsi="Consolas"/>
          <w:color w:val="8A1E38"/>
          <w:sz w:val="20"/>
        </w:rPr>
        <w:t>customer_lng</w:t>
      </w:r>
      <w:r>
        <w:rPr>
          <w:rFonts w:ascii="Times New Roman" w:hAnsi="Times New Roman"/>
          <w:sz w:val="21"/>
        </w:rPr>
        <w:t xml:space="preserve">, </w:t>
      </w:r>
      <w:r>
        <w:rPr>
          <w:rFonts w:ascii="Consolas" w:hAnsi="Consolas"/>
          <w:color w:val="8A1E38"/>
          <w:sz w:val="20"/>
        </w:rPr>
        <w:t>seller_lat</w:t>
      </w:r>
      <w:r>
        <w:rPr>
          <w:rFonts w:ascii="Times New Roman" w:hAnsi="Times New Roman"/>
          <w:sz w:val="21"/>
        </w:rPr>
        <w:t xml:space="preserve">, </w:t>
      </w:r>
      <w:r>
        <w:rPr>
          <w:rFonts w:ascii="Consolas" w:hAnsi="Consolas"/>
          <w:color w:val="8A1E38"/>
          <w:sz w:val="20"/>
        </w:rPr>
        <w:t>seller_lng</w:t>
      </w:r>
      <w:r>
        <w:rPr>
          <w:rFonts w:ascii="Times New Roman" w:hAnsi="Times New Roman"/>
          <w:sz w:val="21"/>
        </w:rPr>
        <w:t>) and redundant payment method flags were removed.</w:t>
      </w:r>
    </w:p>
    <w:p>
      <w:pPr>
        <w:spacing w:before="0" w:after="50" w:line="276" w:lineRule="auto"/>
        <w:ind w:left="360" w:hanging="216"/>
      </w:pPr>
      <w:r>
        <w:rPr>
          <w:rFonts w:ascii="Arial" w:hAnsi="Arial"/>
          <w:b/>
          <w:color w:val="1F4E79"/>
          <w:sz w:val="20"/>
        </w:rPr>
        <w:t xml:space="preserve">• </w:t>
      </w:r>
      <w:r>
        <w:rPr>
          <w:rFonts w:ascii="Times New Roman" w:hAnsi="Times New Roman"/>
          <w:sz w:val="21"/>
        </w:rPr>
        <w:t>Invariant catalog flags (</w:t>
      </w:r>
      <w:r>
        <w:rPr>
          <w:rFonts w:ascii="Consolas" w:hAnsi="Consolas"/>
          <w:color w:val="8A1E38"/>
          <w:sz w:val="20"/>
        </w:rPr>
        <w:t>has_items</w:t>
      </w:r>
      <w:r>
        <w:rPr>
          <w:rFonts w:ascii="Times New Roman" w:hAnsi="Times New Roman"/>
          <w:sz w:val="21"/>
        </w:rPr>
        <w:t xml:space="preserve"> and </w:t>
      </w:r>
      <w:r>
        <w:rPr>
          <w:rFonts w:ascii="Consolas" w:hAnsi="Consolas"/>
          <w:color w:val="8A1E38"/>
          <w:sz w:val="20"/>
        </w:rPr>
        <w:t>freight_ratio_missing</w:t>
      </w:r>
      <w:r>
        <w:rPr>
          <w:rFonts w:ascii="Times New Roman" w:hAnsi="Times New Roman"/>
          <w:sz w:val="21"/>
        </w:rPr>
        <w:t>) were eliminated under Option 1 checkout scoping, as legitimate cart checkouts always contain items and defined freight values.</w:t>
      </w:r>
    </w:p>
    <w:p>
      <w:pPr>
        <w:spacing w:before="0" w:after="50" w:line="276" w:lineRule="auto"/>
        <w:ind w:left="360" w:hanging="216"/>
      </w:pPr>
      <w:r>
        <w:rPr>
          <w:rFonts w:ascii="Arial" w:hAnsi="Arial"/>
          <w:b/>
          <w:color w:val="1F4E79"/>
          <w:sz w:val="20"/>
        </w:rPr>
        <w:t xml:space="preserve">• </w:t>
      </w:r>
      <w:r>
        <w:rPr>
          <w:rFonts w:ascii="Times New Roman" w:hAnsi="Times New Roman"/>
          <w:sz w:val="21"/>
        </w:rPr>
        <w:t xml:space="preserve">The feature space was pruned to </w:t>
      </w:r>
      <w:r>
        <w:rPr>
          <w:rFonts w:ascii="Times New Roman" w:hAnsi="Times New Roman"/>
          <w:b/>
          <w:sz w:val="21"/>
        </w:rPr>
        <w:t>9 core orthogonal predictors</w:t>
      </w:r>
      <w:r>
        <w:rPr>
          <w:rFonts w:ascii="Times New Roman" w:hAnsi="Times New Roman"/>
          <w:sz w:val="21"/>
        </w:rPr>
        <w:t xml:space="preserve"> (</w:t>
      </w:r>
      <w:r>
        <w:rPr>
          <w:rFonts w:ascii="Consolas" w:hAnsi="Consolas"/>
          <w:color w:val="8A1E38"/>
          <w:sz w:val="20"/>
        </w:rPr>
        <w:t>src/models/refinement_core.py</w:t>
      </w:r>
      <w:r>
        <w:rPr>
          <w:rFonts w:ascii="Times New Roman" w:hAnsi="Times New Roman"/>
          <w:sz w:val="21"/>
        </w:rPr>
        <w:t xml:space="preserve">), reducing the condition number to </w:t>
      </w:r>
      <w:r>
        <w:rPr>
          <w:rFonts w:ascii="Cambria Math" w:hAnsi="Cambria Math"/>
          <w:sz w:val="21"/>
        </w:rPr>
        <w:t>κ = 70.77</w:t>
      </w:r>
      <w:r>
        <w:rPr>
          <w:rFonts w:ascii="Times New Roman" w:hAnsi="Times New Roman"/>
          <w:sz w:val="21"/>
        </w:rPr>
        <w:t xml:space="preserve"> and restoring full numerical rank (</w:t>
      </w:r>
      <w:r>
        <w:rPr>
          <w:rFonts w:ascii="Cambria Math" w:hAnsi="Cambria Math"/>
          <w:sz w:val="21"/>
        </w:rPr>
        <w:t>71/71</w:t>
      </w:r>
      <w:r>
        <w:rPr>
          <w:rFonts w:ascii="Times New Roman" w:hAnsi="Times New Roman"/>
          <w:sz w:val="21"/>
        </w:rPr>
        <w:t xml:space="preserve"> after one-hot encoding).</w:t>
      </w:r>
    </w:p>
    <w:p>
      <w:pPr>
        <w:spacing w:before="80" w:after="120" w:line="269" w:lineRule="auto"/>
        <w:ind w:left="504" w:right="288"/>
      </w:pPr>
      <w:r>
        <w:rPr>
          <w:rFonts w:ascii="Times New Roman" w:hAnsi="Times New Roman"/>
          <w:i/>
          <w:color w:val="334155"/>
          <w:sz w:val="20"/>
        </w:rPr>
        <w:t>(Refer to Table A.2 in Appendix A for the complete dictionary, operational rationales, and preprocessing specifications of the Canonical 9 Core Checkout Predictors).</w:t>
      </w:r>
      <w:r>
        <w:rPr>
          <w:rFonts w:ascii="Times New Roman" w:hAnsi="Times New Roman"/>
          <w:i/>
          <w:color w:val="334155"/>
          <w:sz w:val="20"/>
        </w:rPr>
        <w:t xml:space="preserve"> </w:t>
      </w:r>
      <w:r>
        <w:rPr>
          <w:rFonts w:ascii="Times New Roman" w:hAnsi="Times New Roman"/>
          <w:i/>
          <w:color w:val="334155"/>
          <w:sz w:val="20"/>
        </w:rPr>
        <w:t>(Refer to Figures B.1A and B.1B in Appendix B for the correlation heatmaps comparing the uncurated 27-feature candidate pool against the pruned 9-feature core space).</w:t>
      </w:r>
    </w:p>
    <w:p>
      <w:pPr>
        <w:pStyle w:val="Heading1"/>
        <w:pageBreakBefore/>
      </w:pPr>
      <w:r>
        <w:rPr>
          <w:rFonts w:ascii="Times New Roman" w:hAnsi="Times New Roman"/>
          <w:b/>
          <w:sz w:val="28"/>
        </w:rPr>
        <w:t>4. Cycle 1: The 9-Feature Baseline Pipeline</w:t>
      </w:r>
    </w:p>
    <w:p>
      <w:pPr>
        <w:pStyle w:val="Heading2"/>
      </w:pPr>
      <w:r>
        <w:rPr>
          <w:rFonts w:ascii="Times New Roman" w:hAnsi="Times New Roman"/>
          <w:b/>
          <w:sz w:val="25"/>
        </w:rPr>
        <w:t>4.1 Demonstrating the 6-Stage Tutorial Pipeline</w:t>
      </w:r>
    </w:p>
    <w:p>
      <w:pPr/>
      <w:r>
        <w:rPr>
          <w:rFonts w:ascii="Times New Roman" w:hAnsi="Times New Roman"/>
          <w:sz w:val="22"/>
        </w:rPr>
        <w:t>Following the end-to-end machine learning methodology taught in Tutorials Week 3, 4, 7, and 8, Cycle 1 formalizes the 9-feature baseline into a self-contained, leak-free pipeline architecture:</w:t>
      </w:r>
    </w:p>
    <w:p>
      <w:pPr>
        <w:spacing w:before="80" w:after="120" w:line="269" w:lineRule="auto"/>
        <w:ind w:left="504" w:right="288"/>
      </w:pPr>
      <w:r>
        <w:rPr>
          <w:rFonts w:ascii="Times New Roman" w:hAnsi="Times New Roman"/>
          <w:i/>
          <w:color w:val="334155"/>
          <w:sz w:val="20"/>
        </w:rPr>
        <w:t>(Refer to Diagram C.1 in Appendix C for the complete 6-Stage End-to-End Machine Learning Pipeline diagram, detailing splitting, ColumnTransformer preprocessing, estimator chaining, chronological CV, multi-metric evaluation, and pipeline serialization).</w:t>
      </w:r>
    </w:p>
    <w:p>
      <w:pPr>
        <w:spacing w:before="0" w:after="50" w:line="276" w:lineRule="auto"/>
        <w:ind w:left="403" w:hanging="259"/>
      </w:pPr>
      <w:r>
        <w:rPr>
          <w:rFonts w:ascii="Times New Roman" w:hAnsi="Times New Roman"/>
          <w:b/>
          <w:color w:val="1F4E79"/>
          <w:sz w:val="21"/>
        </w:rPr>
        <w:t xml:space="preserve">1. </w:t>
      </w:r>
      <w:r>
        <w:rPr>
          <w:rFonts w:ascii="Times New Roman" w:hAnsi="Times New Roman"/>
          <w:b/>
          <w:sz w:val="21"/>
        </w:rPr>
        <w:t>Stage 1 (Splitting)</w:t>
      </w:r>
      <w:r>
        <w:rPr>
          <w:rFonts w:ascii="Times New Roman" w:hAnsi="Times New Roman"/>
          <w:sz w:val="21"/>
        </w:rPr>
        <w:t>: Preprocessors are fit strictly on training partitions within each expanding fold, guaranteeing zero future-to-past leakage.</w:t>
      </w:r>
    </w:p>
    <w:p>
      <w:pPr>
        <w:spacing w:before="0" w:after="50" w:line="276" w:lineRule="auto"/>
        <w:ind w:left="403" w:hanging="259"/>
      </w:pPr>
      <w:r>
        <w:rPr>
          <w:rFonts w:ascii="Times New Roman" w:hAnsi="Times New Roman"/>
          <w:b/>
          <w:color w:val="1F4E79"/>
          <w:sz w:val="21"/>
        </w:rPr>
        <w:t xml:space="preserve">2. </w:t>
      </w:r>
      <w:r>
        <w:rPr>
          <w:rFonts w:ascii="Times New Roman" w:hAnsi="Times New Roman"/>
          <w:b/>
          <w:sz w:val="21"/>
        </w:rPr>
        <w:t>Stage 2 (ColumnTransformer)</w:t>
      </w:r>
      <w:r>
        <w:rPr>
          <w:rFonts w:ascii="Times New Roman" w:hAnsi="Times New Roman"/>
          <w:sz w:val="21"/>
        </w:rPr>
        <w:t>: Partitions numeric columns into median imputation and z-score standardization (</w:t>
      </w:r>
      <w:r>
        <w:rPr>
          <w:rFonts w:ascii="Consolas" w:hAnsi="Consolas"/>
          <w:color w:val="8A1E38"/>
          <w:sz w:val="20"/>
        </w:rPr>
        <w:t>StandardScaler</w:t>
      </w:r>
      <w:r>
        <w:rPr>
          <w:rFonts w:ascii="Times New Roman" w:hAnsi="Times New Roman"/>
          <w:sz w:val="21"/>
        </w:rPr>
        <w:t xml:space="preserve">), while categorical state codes pass through </w:t>
      </w:r>
      <w:r>
        <w:rPr>
          <w:rFonts w:ascii="Consolas" w:hAnsi="Consolas"/>
          <w:color w:val="8A1E38"/>
          <w:sz w:val="20"/>
        </w:rPr>
        <w:t>OneHotEncoder(handle_unknown='ignore', drop='first')</w:t>
      </w:r>
      <w:r>
        <w:rPr>
          <w:rFonts w:ascii="Times New Roman" w:hAnsi="Times New Roman"/>
          <w:sz w:val="21"/>
        </w:rPr>
        <w:t xml:space="preserve"> to prevent the dummy variable trap.</w:t>
      </w:r>
    </w:p>
    <w:p>
      <w:pPr>
        <w:spacing w:before="0" w:after="50" w:line="276" w:lineRule="auto"/>
        <w:ind w:left="403" w:hanging="259"/>
      </w:pPr>
      <w:r>
        <w:rPr>
          <w:rFonts w:ascii="Times New Roman" w:hAnsi="Times New Roman"/>
          <w:b/>
          <w:color w:val="1F4E79"/>
          <w:sz w:val="21"/>
        </w:rPr>
        <w:t xml:space="preserve">3. </w:t>
      </w:r>
      <w:r>
        <w:rPr>
          <w:rFonts w:ascii="Times New Roman" w:hAnsi="Times New Roman"/>
          <w:b/>
          <w:sz w:val="21"/>
        </w:rPr>
        <w:t>Stage 3 (Chaining)</w:t>
      </w:r>
      <w:r>
        <w:rPr>
          <w:rFonts w:ascii="Times New Roman" w:hAnsi="Times New Roman"/>
          <w:sz w:val="21"/>
        </w:rPr>
        <w:t xml:space="preserve">: Preprocessors and estimators are encapsulated in unified </w:t>
      </w:r>
      <w:r>
        <w:rPr>
          <w:rFonts w:ascii="Consolas" w:hAnsi="Consolas"/>
          <w:color w:val="8A1E38"/>
          <w:sz w:val="20"/>
        </w:rPr>
        <w:t>Pipeline</w:t>
      </w:r>
      <w:r>
        <w:rPr>
          <w:rFonts w:ascii="Times New Roman" w:hAnsi="Times New Roman"/>
          <w:sz w:val="21"/>
        </w:rPr>
        <w:t xml:space="preserve"> objects.</w:t>
      </w:r>
    </w:p>
    <w:p>
      <w:pPr>
        <w:spacing w:before="0" w:after="50" w:line="276" w:lineRule="auto"/>
        <w:ind w:left="403" w:hanging="259"/>
      </w:pPr>
      <w:r>
        <w:rPr>
          <w:rFonts w:ascii="Times New Roman" w:hAnsi="Times New Roman"/>
          <w:b/>
          <w:color w:val="1F4E79"/>
          <w:sz w:val="21"/>
        </w:rPr>
        <w:t xml:space="preserve">4. </w:t>
      </w:r>
      <w:r>
        <w:rPr>
          <w:rFonts w:ascii="Times New Roman" w:hAnsi="Times New Roman"/>
          <w:b/>
          <w:sz w:val="21"/>
        </w:rPr>
        <w:t>Stage 4 (Cross-Validation)</w:t>
      </w:r>
      <w:r>
        <w:rPr>
          <w:rFonts w:ascii="Times New Roman" w:hAnsi="Times New Roman"/>
          <w:sz w:val="21"/>
        </w:rPr>
        <w:t>: Models are evaluated across the 5 chronological expanding windows.</w:t>
      </w:r>
    </w:p>
    <w:p>
      <w:pPr>
        <w:spacing w:before="0" w:after="50" w:line="276" w:lineRule="auto"/>
        <w:ind w:left="403" w:hanging="259"/>
      </w:pPr>
      <w:r>
        <w:rPr>
          <w:rFonts w:ascii="Times New Roman" w:hAnsi="Times New Roman"/>
          <w:b/>
          <w:color w:val="1F4E79"/>
          <w:sz w:val="21"/>
        </w:rPr>
        <w:t xml:space="preserve">5. </w:t>
      </w:r>
      <w:r>
        <w:rPr>
          <w:rFonts w:ascii="Times New Roman" w:hAnsi="Times New Roman"/>
          <w:b/>
          <w:sz w:val="21"/>
        </w:rPr>
        <w:t>Stage 5 (Benchmarking)</w:t>
      </w:r>
      <w:r>
        <w:rPr>
          <w:rFonts w:ascii="Times New Roman" w:hAnsi="Times New Roman"/>
          <w:sz w:val="21"/>
        </w:rPr>
        <w:t>: Multi-metric evaluation capturing regression drift and classification rank quality.</w:t>
      </w:r>
    </w:p>
    <w:p>
      <w:pPr>
        <w:spacing w:before="0" w:after="50" w:line="276" w:lineRule="auto"/>
        <w:ind w:left="403" w:hanging="259"/>
      </w:pPr>
      <w:r>
        <w:rPr>
          <w:rFonts w:ascii="Times New Roman" w:hAnsi="Times New Roman"/>
          <w:b/>
          <w:color w:val="1F4E79"/>
          <w:sz w:val="21"/>
        </w:rPr>
        <w:t xml:space="preserve">6. </w:t>
      </w:r>
      <w:r>
        <w:rPr>
          <w:rFonts w:ascii="Times New Roman" w:hAnsi="Times New Roman"/>
          <w:b/>
          <w:sz w:val="21"/>
        </w:rPr>
        <w:t>Stage 6 (Serialization)</w:t>
      </w:r>
      <w:r>
        <w:rPr>
          <w:rFonts w:ascii="Times New Roman" w:hAnsi="Times New Roman"/>
          <w:sz w:val="21"/>
        </w:rPr>
        <w:t xml:space="preserve">: Pipelines, schemas, and metadata are frozen with </w:t>
      </w:r>
      <w:r>
        <w:rPr>
          <w:rFonts w:ascii="Consolas" w:hAnsi="Consolas"/>
          <w:color w:val="8A1E38"/>
          <w:sz w:val="20"/>
        </w:rPr>
        <w:t>joblib</w:t>
      </w:r>
      <w:r>
        <w:rPr>
          <w:rFonts w:ascii="Times New Roman" w:hAnsi="Times New Roman"/>
          <w:sz w:val="21"/>
        </w:rPr>
        <w:t>.</w:t>
      </w:r>
    </w:p>
    <w:p>
      <w:pPr>
        <w:pStyle w:val="Heading2"/>
      </w:pPr>
      <w:r>
        <w:rPr>
          <w:rFonts w:ascii="Times New Roman" w:hAnsi="Times New Roman"/>
          <w:b/>
          <w:sz w:val="25"/>
        </w:rPr>
        <w:t>4.2 Incremental Model Progression on 9 Core Features (Basic to Complex)</w:t>
      </w:r>
    </w:p>
    <w:p>
      <w:pPr/>
      <w:r>
        <w:rPr>
          <w:rFonts w:ascii="Times New Roman" w:hAnsi="Times New Roman"/>
          <w:sz w:val="22"/>
        </w:rPr>
        <w:t>In strict accordance with the course expectation to demonstrate progressive model building and justify complexity through evidence, Cycle 1 evaluates models in a disciplined progression from simple, non-learning baselines to parameterized linear models, unconstrained trees, and tuned ensemble learners on the 9 core features:</w:t>
      </w:r>
    </w:p>
    <w:p>
      <w:pPr>
        <w:pStyle w:val="Heading3"/>
      </w:pPr>
      <w:r>
        <w:rPr>
          <w:rFonts w:ascii="Times New Roman" w:hAnsi="Times New Roman"/>
          <w:b/>
          <w:sz w:val="23"/>
        </w:rPr>
        <w:t>Tier 1: Naive Baseline Family (Empirical Performance Floor)</w:t>
      </w:r>
    </w:p>
    <w:p>
      <w:pPr>
        <w:spacing w:before="0" w:after="50" w:line="276" w:lineRule="auto"/>
        <w:ind w:left="360" w:hanging="216"/>
      </w:pPr>
      <w:r>
        <w:rPr>
          <w:rFonts w:ascii="Arial" w:hAnsi="Arial"/>
          <w:b/>
          <w:color w:val="1F4E79"/>
          <w:sz w:val="20"/>
        </w:rPr>
        <w:t xml:space="preserve">• </w:t>
      </w:r>
      <w:r>
        <w:rPr>
          <w:rFonts w:ascii="Times New Roman" w:hAnsi="Times New Roman"/>
          <w:b/>
          <w:sz w:val="21"/>
        </w:rPr>
        <w:t>Task 1 Regression</w:t>
      </w:r>
      <w:r>
        <w:rPr>
          <w:rFonts w:ascii="Times New Roman" w:hAnsi="Times New Roman"/>
          <w:sz w:val="21"/>
        </w:rPr>
        <w:t xml:space="preserve">: </w:t>
      </w:r>
      <w:r>
        <w:rPr>
          <w:rFonts w:ascii="Consolas" w:hAnsi="Consolas"/>
          <w:color w:val="8A1E38"/>
          <w:sz w:val="20"/>
        </w:rPr>
        <w:t>DummyRegressor(strategy='median')</w:t>
      </w:r>
      <w:r>
        <w:rPr>
          <w:rFonts w:ascii="Times New Roman" w:hAnsi="Times New Roman"/>
          <w:sz w:val="21"/>
        </w:rPr>
        <w:t xml:space="preserve"> predicts the median historical delivery duration (</w:t>
      </w:r>
      <w:r>
        <w:rPr>
          <w:rFonts w:ascii="Cambria Math" w:hAnsi="Cambria Math"/>
          <w:sz w:val="21"/>
        </w:rPr>
        <w:t>10.9</w:t>
      </w:r>
      <w:r>
        <w:rPr>
          <w:rFonts w:ascii="Times New Roman" w:hAnsi="Times New Roman"/>
          <w:sz w:val="21"/>
        </w:rPr>
        <w:t xml:space="preserve"> days), yielding Holdout </w:t>
      </w:r>
      <w:r>
        <w:rPr>
          <w:rFonts w:ascii="Times New Roman" w:hAnsi="Times New Roman"/>
          <w:b/>
          <w:sz w:val="21"/>
        </w:rPr>
        <w:t>MAE = 4.8878 days</w:t>
      </w:r>
      <w:r>
        <w:rPr>
          <w:rFonts w:ascii="Times New Roman" w:hAnsi="Times New Roman"/>
          <w:sz w:val="21"/>
        </w:rPr>
        <w:t xml:space="preserve">, </w:t>
      </w:r>
      <w:r>
        <w:rPr>
          <w:rFonts w:ascii="Times New Roman" w:hAnsi="Times New Roman"/>
          <w:b/>
          <w:sz w:val="21"/>
        </w:rPr>
        <w:t>RMSE = 6.3033 days</w:t>
      </w:r>
      <w:r>
        <w:rPr>
          <w:rFonts w:ascii="Times New Roman" w:hAnsi="Times New Roman"/>
          <w:sz w:val="21"/>
        </w:rPr>
        <w:t xml:space="preserve">, and </w:t>
      </w:r>
      <w:r>
        <w:rPr>
          <w:rFonts w:ascii="Times New Roman" w:hAnsi="Times New Roman"/>
          <w:b/>
          <w:sz w:val="21"/>
        </w:rPr>
        <w:t>R² = -0.1461</w:t>
      </w:r>
      <w:r>
        <w:rPr>
          <w:rFonts w:ascii="Times New Roman" w:hAnsi="Times New Roman"/>
          <w:sz w:val="21"/>
        </w:rPr>
        <w:t xml:space="preserve"> (5-fold CV MAE </w:t>
      </w:r>
      <w:r>
        <w:rPr>
          <w:rFonts w:ascii="Cambria Math" w:hAnsi="Cambria Math"/>
          <w:sz w:val="21"/>
        </w:rPr>
        <w:t>= 6.0897 ± 0.0725</w:t>
      </w:r>
      <w:r>
        <w:rPr>
          <w:rFonts w:ascii="Times New Roman" w:hAnsi="Times New Roman"/>
          <w:sz w:val="21"/>
        </w:rPr>
        <w:t>d).</w:t>
      </w:r>
    </w:p>
    <w:p>
      <w:pPr>
        <w:spacing w:before="0" w:after="50" w:line="276" w:lineRule="auto"/>
        <w:ind w:left="360" w:hanging="216"/>
      </w:pPr>
      <w:r>
        <w:rPr>
          <w:rFonts w:ascii="Arial" w:hAnsi="Arial"/>
          <w:b/>
          <w:color w:val="1F4E79"/>
          <w:sz w:val="20"/>
        </w:rPr>
        <w:t xml:space="preserve">• </w:t>
      </w:r>
      <w:r>
        <w:rPr>
          <w:rFonts w:ascii="Times New Roman" w:hAnsi="Times New Roman"/>
          <w:b/>
          <w:sz w:val="21"/>
        </w:rPr>
        <w:t>Task 2 Classification</w:t>
      </w:r>
      <w:r>
        <w:rPr>
          <w:rFonts w:ascii="Times New Roman" w:hAnsi="Times New Roman"/>
          <w:sz w:val="21"/>
        </w:rPr>
        <w:t xml:space="preserve">: </w:t>
      </w:r>
      <w:r>
        <w:rPr>
          <w:rFonts w:ascii="Consolas" w:hAnsi="Consolas"/>
          <w:color w:val="8A1E38"/>
          <w:sz w:val="20"/>
        </w:rPr>
        <w:t>DummyClassifier(strategy='prior')</w:t>
      </w:r>
      <w:r>
        <w:rPr>
          <w:rFonts w:ascii="Times New Roman" w:hAnsi="Times New Roman"/>
          <w:sz w:val="21"/>
        </w:rPr>
        <w:t xml:space="preserve"> reflects the class prevalence (</w:t>
      </w:r>
      <w:r>
        <w:rPr>
          <w:rFonts w:ascii="Cambria Math" w:hAnsi="Cambria Math"/>
          <w:sz w:val="21"/>
        </w:rPr>
        <w:t>10.83\%</w:t>
      </w:r>
      <w:r>
        <w:rPr>
          <w:rFonts w:ascii="Times New Roman" w:hAnsi="Times New Roman"/>
          <w:sz w:val="21"/>
        </w:rPr>
        <w:t xml:space="preserve">), achieving Holdout </w:t>
      </w:r>
      <w:r>
        <w:rPr>
          <w:rFonts w:ascii="Times New Roman" w:hAnsi="Times New Roman"/>
          <w:b/>
          <w:sz w:val="21"/>
        </w:rPr>
        <w:t>AP = 0.1083</w:t>
      </w:r>
      <w:r>
        <w:rPr>
          <w:rFonts w:ascii="Times New Roman" w:hAnsi="Times New Roman"/>
          <w:sz w:val="21"/>
        </w:rPr>
        <w:t xml:space="preserve">, </w:t>
      </w:r>
      <w:r>
        <w:rPr>
          <w:rFonts w:ascii="Times New Roman" w:hAnsi="Times New Roman"/>
          <w:b/>
          <w:sz w:val="21"/>
        </w:rPr>
        <w:t>ROC-AUC = 0.5000</w:t>
      </w:r>
      <w:r>
        <w:rPr>
          <w:rFonts w:ascii="Times New Roman" w:hAnsi="Times New Roman"/>
          <w:sz w:val="21"/>
        </w:rPr>
        <w:t xml:space="preserve">, and </w:t>
      </w:r>
      <w:r>
        <w:rPr>
          <w:rFonts w:ascii="Times New Roman" w:hAnsi="Times New Roman"/>
          <w:b/>
          <w:sz w:val="21"/>
        </w:rPr>
        <w:t>Brier Score = 0.0983</w:t>
      </w:r>
      <w:r>
        <w:rPr>
          <w:rFonts w:ascii="Times New Roman" w:hAnsi="Times New Roman"/>
          <w:sz w:val="21"/>
        </w:rPr>
        <w:t xml:space="preserve"> (5-fold CV AP </w:t>
      </w:r>
      <w:r>
        <w:rPr>
          <w:rFonts w:ascii="Cambria Math" w:hAnsi="Cambria Math"/>
          <w:sz w:val="21"/>
        </w:rPr>
        <w:t>= 0.1463 ± 0.0001</w:t>
      </w:r>
      <w:r>
        <w:rPr>
          <w:rFonts w:ascii="Times New Roman" w:hAnsi="Times New Roman"/>
          <w:sz w:val="21"/>
        </w:rPr>
        <w:t>).</w:t>
      </w:r>
    </w:p>
    <w:p>
      <w:pPr>
        <w:spacing w:before="0" w:after="50" w:line="276" w:lineRule="auto"/>
        <w:ind w:left="360" w:hanging="216"/>
      </w:pPr>
      <w:r>
        <w:rPr>
          <w:rFonts w:ascii="Arial" w:hAnsi="Arial"/>
          <w:b/>
          <w:color w:val="1F4E79"/>
          <w:sz w:val="20"/>
        </w:rPr>
        <w:t xml:space="preserve">• </w:t>
      </w:r>
      <w:r>
        <w:rPr>
          <w:rFonts w:ascii="Times New Roman" w:hAnsi="Times New Roman"/>
          <w:i/>
          <w:sz w:val="21"/>
        </w:rPr>
        <w:t>Methodological Role</w:t>
      </w:r>
      <w:r>
        <w:rPr>
          <w:rFonts w:ascii="Times New Roman" w:hAnsi="Times New Roman"/>
          <w:sz w:val="21"/>
        </w:rPr>
        <w:t>: Establishes the non-learning benchmark floor; any defensible machine learning pipeline must demonstrably outperform these metrics.</w:t>
      </w:r>
    </w:p>
    <w:p>
      <w:pPr>
        <w:pStyle w:val="Heading3"/>
      </w:pPr>
      <w:r>
        <w:rPr>
          <w:rFonts w:ascii="Times New Roman" w:hAnsi="Times New Roman"/>
          <w:b/>
          <w:sz w:val="23"/>
        </w:rPr>
        <w:t>Tier 2: Linear Model Family + Regularization Hyperparameter Tuning</w:t>
      </w:r>
    </w:p>
    <w:p>
      <w:pPr/>
      <w:r>
        <w:rPr>
          <w:rFonts w:ascii="Times New Roman" w:hAnsi="Times New Roman"/>
          <w:sz w:val="22"/>
        </w:rPr>
        <w:t>We advance to parameterized linear modeling to evaluate whether a flat hyperplane in the 9-feature space captures meaningful signal:</w:t>
      </w:r>
    </w:p>
    <w:p>
      <w:pPr>
        <w:spacing w:before="0" w:after="50" w:line="276" w:lineRule="auto"/>
        <w:ind w:left="360" w:hanging="216"/>
      </w:pPr>
      <w:r>
        <w:rPr>
          <w:rFonts w:ascii="Arial" w:hAnsi="Arial"/>
          <w:b/>
          <w:color w:val="1F4E79"/>
          <w:sz w:val="20"/>
        </w:rPr>
        <w:t xml:space="preserve">• </w:t>
      </w:r>
      <w:r>
        <w:rPr>
          <w:rFonts w:ascii="Times New Roman" w:hAnsi="Times New Roman"/>
          <w:b/>
          <w:sz w:val="21"/>
        </w:rPr>
        <w:t>Task 1 Regression (Ridge Regularization Sweep)</w:t>
      </w:r>
      <w:r>
        <w:rPr>
          <w:rFonts w:ascii="Times New Roman" w:hAnsi="Times New Roman"/>
          <w:sz w:val="21"/>
        </w:rPr>
        <w:t xml:space="preserve">: We instantiated </w:t>
      </w:r>
      <w:r>
        <w:rPr>
          <w:rFonts w:ascii="Consolas" w:hAnsi="Consolas"/>
          <w:color w:val="8A1E38"/>
          <w:sz w:val="20"/>
        </w:rPr>
        <w:t>Ridge()</w:t>
      </w:r>
      <w:r>
        <w:rPr>
          <w:rFonts w:ascii="Times New Roman" w:hAnsi="Times New Roman"/>
          <w:sz w:val="21"/>
        </w:rPr>
        <w:t xml:space="preserve"> within the pipeline and swept the L2 penalty across </w:t>
      </w:r>
      <w:r>
        <w:rPr>
          <w:rFonts w:ascii="Cambria Math" w:hAnsi="Cambria Math"/>
          <w:sz w:val="21"/>
        </w:rPr>
        <w:t>α ∈ [0.01, 0.1, 1.0, 10.0, 100.0]</w:t>
      </w:r>
      <w:r>
        <w:rPr>
          <w:rFonts w:ascii="Times New Roman" w:hAnsi="Times New Roman"/>
          <w:sz w:val="21"/>
        </w:rPr>
        <w:t xml:space="preserve">. Regularization shrinkage stabilized coefficients across collinear folds, identifying </w:t>
      </w:r>
      <w:r>
        <w:rPr>
          <w:rFonts w:ascii="Cambria Math" w:hAnsi="Cambria Math"/>
          <w:sz w:val="21"/>
        </w:rPr>
        <w:t>α = 1.0</w:t>
      </w:r>
      <w:r>
        <w:rPr>
          <w:rFonts w:ascii="Times New Roman" w:hAnsi="Times New Roman"/>
          <w:sz w:val="21"/>
        </w:rPr>
        <w:t xml:space="preserve"> as optimal. On the terminal holdout, Ridge achieved </w:t>
      </w:r>
      <w:r>
        <w:rPr>
          <w:rFonts w:ascii="Times New Roman" w:hAnsi="Times New Roman"/>
          <w:b/>
          <w:sz w:val="21"/>
        </w:rPr>
        <w:t>MAE = 4.4806 days</w:t>
      </w:r>
      <w:r>
        <w:rPr>
          <w:rFonts w:ascii="Times New Roman" w:hAnsi="Times New Roman"/>
          <w:sz w:val="21"/>
        </w:rPr>
        <w:t xml:space="preserve">, </w:t>
      </w:r>
      <w:r>
        <w:rPr>
          <w:rFonts w:ascii="Times New Roman" w:hAnsi="Times New Roman"/>
          <w:b/>
          <w:sz w:val="21"/>
        </w:rPr>
        <w:t>RMSE = 5.8696 days</w:t>
      </w:r>
      <w:r>
        <w:rPr>
          <w:rFonts w:ascii="Times New Roman" w:hAnsi="Times New Roman"/>
          <w:sz w:val="21"/>
        </w:rPr>
        <w:t xml:space="preserve">, and </w:t>
      </w:r>
      <w:r>
        <w:rPr>
          <w:rFonts w:ascii="Times New Roman" w:hAnsi="Times New Roman"/>
          <w:b/>
          <w:sz w:val="21"/>
        </w:rPr>
        <w:t>R² = +0.0062</w:t>
      </w:r>
      <w:r>
        <w:rPr>
          <w:rFonts w:ascii="Times New Roman" w:hAnsi="Times New Roman"/>
          <w:sz w:val="21"/>
        </w:rPr>
        <w:t xml:space="preserve"> (5-fold CV MAE </w:t>
      </w:r>
      <w:r>
        <w:rPr>
          <w:rFonts w:ascii="Cambria Math" w:hAnsi="Cambria Math"/>
          <w:sz w:val="21"/>
        </w:rPr>
        <w:t>= 5.2442 ± 0.0789</w:t>
      </w:r>
      <w:r>
        <w:rPr>
          <w:rFonts w:ascii="Times New Roman" w:hAnsi="Times New Roman"/>
          <w:sz w:val="21"/>
        </w:rPr>
        <w:t xml:space="preserve">d). This delivered an initial </w:t>
      </w:r>
      <w:r>
        <w:rPr>
          <w:rFonts w:ascii="Cambria Math" w:hAnsi="Cambria Math"/>
          <w:sz w:val="21"/>
        </w:rPr>
        <w:t>-8.3\%</w:t>
      </w:r>
      <w:r>
        <w:rPr>
          <w:rFonts w:ascii="Times New Roman" w:hAnsi="Times New Roman"/>
          <w:sz w:val="21"/>
        </w:rPr>
        <w:t xml:space="preserve"> MAE reduction over the Dummy baseline, but an </w:t>
      </w:r>
      <w:r>
        <w:rPr>
          <w:rFonts w:ascii="Cambria Math" w:hAnsi="Cambria Math"/>
          <w:sz w:val="21"/>
        </w:rPr>
        <w:t>R² ≈ 0</w:t>
      </w:r>
      <w:r>
        <w:rPr>
          <w:rFonts w:ascii="Times New Roman" w:hAnsi="Times New Roman"/>
          <w:sz w:val="21"/>
        </w:rPr>
        <w:t xml:space="preserve"> indicated that a linear function cannot model complex logistics transit tiers.</w:t>
      </w:r>
    </w:p>
    <w:p>
      <w:pPr>
        <w:spacing w:before="0" w:after="50" w:line="276" w:lineRule="auto"/>
        <w:ind w:left="360" w:hanging="216"/>
      </w:pPr>
      <w:r>
        <w:rPr>
          <w:rFonts w:ascii="Arial" w:hAnsi="Arial"/>
          <w:b/>
          <w:color w:val="1F4E79"/>
          <w:sz w:val="20"/>
        </w:rPr>
        <w:t xml:space="preserve">• </w:t>
      </w:r>
      <w:r>
        <w:rPr>
          <w:rFonts w:ascii="Times New Roman" w:hAnsi="Times New Roman"/>
          <w:b/>
          <w:sz w:val="21"/>
        </w:rPr>
        <w:t>Task 2 Classification (Logistic Regression Regularization Sweep)</w:t>
      </w:r>
      <w:r>
        <w:rPr>
          <w:rFonts w:ascii="Times New Roman" w:hAnsi="Times New Roman"/>
          <w:sz w:val="21"/>
        </w:rPr>
        <w:t xml:space="preserve">: We instantiated </w:t>
      </w:r>
      <w:r>
        <w:rPr>
          <w:rFonts w:ascii="Consolas" w:hAnsi="Consolas"/>
          <w:color w:val="8A1E38"/>
          <w:sz w:val="20"/>
        </w:rPr>
        <w:t>LogisticRegression(solver='lbfgs', max_iter=1000)</w:t>
      </w:r>
      <w:r>
        <w:rPr>
          <w:rFonts w:ascii="Times New Roman" w:hAnsi="Times New Roman"/>
          <w:sz w:val="21"/>
        </w:rPr>
        <w:t xml:space="preserve"> and swept inverse regularization </w:t>
      </w:r>
      <w:r>
        <w:rPr>
          <w:rFonts w:ascii="Cambria Math" w:hAnsi="Cambria Math"/>
          <w:sz w:val="21"/>
        </w:rPr>
        <w:t>C ∈ [0.001, 0.01, 0.1, 1.0, 10.0]</w:t>
      </w:r>
      <w:r>
        <w:rPr>
          <w:rFonts w:ascii="Times New Roman" w:hAnsi="Times New Roman"/>
          <w:sz w:val="21"/>
        </w:rPr>
        <w:t>. Moderate regularization (</w:t>
      </w:r>
      <w:r>
        <w:rPr>
          <w:rFonts w:ascii="Cambria Math" w:hAnsi="Cambria Math"/>
          <w:sz w:val="21"/>
        </w:rPr>
        <w:t>C=0.01</w:t>
      </w:r>
      <w:r>
        <w:rPr>
          <w:rFonts w:ascii="Times New Roman" w:hAnsi="Times New Roman"/>
          <w:sz w:val="21"/>
        </w:rPr>
        <w:t xml:space="preserve">) prevented coefficient explosion on one-hot state codes, achieving Holdout </w:t>
      </w:r>
      <w:r>
        <w:rPr>
          <w:rFonts w:ascii="Times New Roman" w:hAnsi="Times New Roman"/>
          <w:b/>
          <w:sz w:val="21"/>
        </w:rPr>
        <w:t>AP = 0.1752</w:t>
      </w:r>
      <w:r>
        <w:rPr>
          <w:rFonts w:ascii="Times New Roman" w:hAnsi="Times New Roman"/>
          <w:sz w:val="21"/>
        </w:rPr>
        <w:t xml:space="preserve">, </w:t>
      </w:r>
      <w:r>
        <w:rPr>
          <w:rFonts w:ascii="Times New Roman" w:hAnsi="Times New Roman"/>
          <w:b/>
          <w:sz w:val="21"/>
        </w:rPr>
        <w:t>ROC-AUC = 0.5724</w:t>
      </w:r>
      <w:r>
        <w:rPr>
          <w:rFonts w:ascii="Times New Roman" w:hAnsi="Times New Roman"/>
          <w:sz w:val="21"/>
        </w:rPr>
        <w:t xml:space="preserve">, and </w:t>
      </w:r>
      <w:r>
        <w:rPr>
          <w:rFonts w:ascii="Times New Roman" w:hAnsi="Times New Roman"/>
          <w:b/>
          <w:sz w:val="21"/>
        </w:rPr>
        <w:t>Brier Score = 0.0969</w:t>
      </w:r>
      <w:r>
        <w:rPr>
          <w:rFonts w:ascii="Times New Roman" w:hAnsi="Times New Roman"/>
          <w:sz w:val="21"/>
        </w:rPr>
        <w:t xml:space="preserve"> (5-fold CV AP </w:t>
      </w:r>
      <w:r>
        <w:rPr>
          <w:rFonts w:ascii="Cambria Math" w:hAnsi="Cambria Math"/>
          <w:sz w:val="21"/>
        </w:rPr>
        <w:t>= 0.2422 ± 0.0077</w:t>
      </w:r>
      <w:r>
        <w:rPr>
          <w:rFonts w:ascii="Times New Roman" w:hAnsi="Times New Roman"/>
          <w:sz w:val="21"/>
        </w:rPr>
        <w:t>).</w:t>
      </w:r>
    </w:p>
    <w:p>
      <w:pPr>
        <w:pStyle w:val="Heading3"/>
      </w:pPr>
      <w:r>
        <w:rPr>
          <w:rFonts w:ascii="Times New Roman" w:hAnsi="Times New Roman"/>
          <w:b/>
          <w:sz w:val="23"/>
        </w:rPr>
        <w:t>Tier 3: Tree-Based Family (Single Decision Tree: Untuned Overfitting vs. Pruned Tuning)</w:t>
      </w:r>
    </w:p>
    <w:p>
      <w:pPr/>
      <w:r>
        <w:rPr>
          <w:rFonts w:ascii="Times New Roman" w:hAnsi="Times New Roman"/>
          <w:sz w:val="22"/>
        </w:rPr>
        <w:t>To capture non-linear step thresholds without manual feature binning, we advanced to single decision trees (</w:t>
      </w:r>
      <w:r>
        <w:rPr>
          <w:rFonts w:ascii="Consolas" w:hAnsi="Consolas"/>
          <w:color w:val="8A1E38"/>
          <w:sz w:val="21"/>
        </w:rPr>
        <w:t>DecisionTreeRegressor</w:t>
      </w:r>
      <w:r>
        <w:rPr>
          <w:rFonts w:ascii="Times New Roman" w:hAnsi="Times New Roman"/>
          <w:sz w:val="22"/>
        </w:rPr>
        <w:t xml:space="preserve"> and </w:t>
      </w:r>
      <w:r>
        <w:rPr>
          <w:rFonts w:ascii="Consolas" w:hAnsi="Consolas"/>
          <w:color w:val="8A1E38"/>
          <w:sz w:val="21"/>
        </w:rPr>
        <w:t>DecisionTreeClassifier</w:t>
      </w:r>
      <w:r>
        <w:rPr>
          <w:rFonts w:ascii="Times New Roman" w:hAnsi="Times New Roman"/>
          <w:sz w:val="22"/>
        </w:rPr>
        <w:t>):</w:t>
      </w:r>
    </w:p>
    <w:p>
      <w:pPr>
        <w:spacing w:before="0" w:after="50" w:line="276" w:lineRule="auto"/>
        <w:ind w:left="360" w:hanging="216"/>
      </w:pPr>
      <w:r>
        <w:rPr>
          <w:rFonts w:ascii="Arial" w:hAnsi="Arial"/>
          <w:b/>
          <w:color w:val="1F4E79"/>
          <w:sz w:val="20"/>
        </w:rPr>
        <w:t xml:space="preserve">• </w:t>
      </w:r>
      <w:r>
        <w:rPr>
          <w:rFonts w:ascii="Times New Roman" w:hAnsi="Times New Roman"/>
          <w:b/>
          <w:sz w:val="21"/>
        </w:rPr>
        <w:t>Untuned Default Tree (Catastrophic Overfitting)</w:t>
      </w:r>
      <w:r>
        <w:rPr>
          <w:rFonts w:ascii="Times New Roman" w:hAnsi="Times New Roman"/>
          <w:sz w:val="21"/>
        </w:rPr>
        <w:t>: An unconstrained tree (</w:t>
      </w:r>
      <w:r>
        <w:rPr>
          <w:rFonts w:ascii="Consolas" w:hAnsi="Consolas"/>
          <w:color w:val="8A1E38"/>
          <w:sz w:val="20"/>
        </w:rPr>
        <w:t>max_depth=None, min_samples_leaf=1</w:t>
      </w:r>
      <w:r>
        <w:rPr>
          <w:rFonts w:ascii="Times New Roman" w:hAnsi="Times New Roman"/>
          <w:sz w:val="21"/>
        </w:rPr>
        <w:t xml:space="preserve">) rapidly memorized training partitions (training MAE collapsed to </w:t>
      </w:r>
      <w:r>
        <w:rPr>
          <w:rFonts w:ascii="Cambria Math" w:hAnsi="Cambria Math"/>
          <w:sz w:val="21"/>
        </w:rPr>
        <w:t>&lt; 1.5</w:t>
      </w:r>
      <w:r>
        <w:rPr>
          <w:rFonts w:ascii="Times New Roman" w:hAnsi="Times New Roman"/>
          <w:sz w:val="21"/>
        </w:rPr>
        <w:t xml:space="preserve">d), but collapsed on unseen data: Holdout MAE exploded to </w:t>
      </w:r>
      <w:r>
        <w:rPr>
          <w:rFonts w:ascii="Times New Roman" w:hAnsi="Times New Roman"/>
          <w:b/>
          <w:sz w:val="21"/>
        </w:rPr>
        <w:t>5.5401 days</w:t>
      </w:r>
      <w:r>
        <w:rPr>
          <w:rFonts w:ascii="Times New Roman" w:hAnsi="Times New Roman"/>
          <w:sz w:val="21"/>
        </w:rPr>
        <w:t xml:space="preserve">, </w:t>
      </w:r>
      <w:r>
        <w:rPr>
          <w:rFonts w:ascii="Times New Roman" w:hAnsi="Times New Roman"/>
          <w:b/>
          <w:sz w:val="21"/>
        </w:rPr>
        <w:t>RMSE = 6.8654 days</w:t>
      </w:r>
      <w:r>
        <w:rPr>
          <w:rFonts w:ascii="Times New Roman" w:hAnsi="Times New Roman"/>
          <w:sz w:val="21"/>
        </w:rPr>
        <w:t xml:space="preserve">, and </w:t>
      </w:r>
      <w:r>
        <w:rPr>
          <w:rFonts w:ascii="Times New Roman" w:hAnsi="Times New Roman"/>
          <w:b/>
          <w:sz w:val="21"/>
        </w:rPr>
        <w:t>R² = -0.3601</w:t>
      </w:r>
      <w:r>
        <w:rPr>
          <w:rFonts w:ascii="Times New Roman" w:hAnsi="Times New Roman"/>
          <w:sz w:val="21"/>
        </w:rPr>
        <w:t xml:space="preserve"> (significantly worse than the naive median!), while classification AP dropped to </w:t>
      </w:r>
      <w:r>
        <w:rPr>
          <w:rFonts w:ascii="Times New Roman" w:hAnsi="Times New Roman"/>
          <w:b/>
          <w:sz w:val="21"/>
        </w:rPr>
        <w:t>0.1630</w:t>
      </w:r>
      <w:r>
        <w:rPr>
          <w:rFonts w:ascii="Times New Roman" w:hAnsi="Times New Roman"/>
          <w:sz w:val="21"/>
        </w:rPr>
        <w:t>. This empirical failure perfectly illustrates Teacher Pitfall 1 (unchecked variance and depth memorization).</w:t>
      </w:r>
    </w:p>
    <w:p>
      <w:pPr>
        <w:spacing w:before="0" w:after="50" w:line="276" w:lineRule="auto"/>
        <w:ind w:left="360" w:hanging="216"/>
      </w:pPr>
      <w:r>
        <w:rPr>
          <w:rFonts w:ascii="Arial" w:hAnsi="Arial"/>
          <w:b/>
          <w:color w:val="1F4E79"/>
          <w:sz w:val="20"/>
        </w:rPr>
        <w:t xml:space="preserve">• </w:t>
      </w:r>
      <w:r>
        <w:rPr>
          <w:rFonts w:ascii="Times New Roman" w:hAnsi="Times New Roman"/>
          <w:b/>
          <w:sz w:val="21"/>
        </w:rPr>
        <w:t>Hyperparameter Pruning Tuning</w:t>
      </w:r>
      <w:r>
        <w:rPr>
          <w:rFonts w:ascii="Times New Roman" w:hAnsi="Times New Roman"/>
          <w:sz w:val="21"/>
        </w:rPr>
        <w:t xml:space="preserve">: Applying pre-pruning grid search over </w:t>
      </w:r>
      <w:r>
        <w:rPr>
          <w:rFonts w:ascii="Consolas" w:hAnsi="Consolas"/>
          <w:color w:val="8A1E38"/>
          <w:sz w:val="20"/>
        </w:rPr>
        <w:t>max_depth</w:t>
      </w:r>
      <w:r>
        <w:rPr>
          <w:rFonts w:ascii="Times New Roman" w:hAnsi="Times New Roman"/>
          <w:sz w:val="21"/>
        </w:rPr>
        <w:t xml:space="preserve"> </w:t>
      </w:r>
      <w:r>
        <w:rPr>
          <w:rFonts w:ascii="Cambria Math" w:hAnsi="Cambria Math"/>
          <w:sz w:val="21"/>
        </w:rPr>
        <w:t>∈ [6, 8, 10, 12]</w:t>
      </w:r>
      <w:r>
        <w:rPr>
          <w:rFonts w:ascii="Times New Roman" w:hAnsi="Times New Roman"/>
          <w:sz w:val="21"/>
        </w:rPr>
        <w:t xml:space="preserve"> and </w:t>
      </w:r>
      <w:r>
        <w:rPr>
          <w:rFonts w:ascii="Consolas" w:hAnsi="Consolas"/>
          <w:color w:val="8A1E38"/>
          <w:sz w:val="20"/>
        </w:rPr>
        <w:t>min_samples_leaf</w:t>
      </w:r>
      <w:r>
        <w:rPr>
          <w:rFonts w:ascii="Times New Roman" w:hAnsi="Times New Roman"/>
          <w:sz w:val="21"/>
        </w:rPr>
        <w:t xml:space="preserve"> </w:t>
      </w:r>
      <w:r>
        <w:rPr>
          <w:rFonts w:ascii="Cambria Math" w:hAnsi="Cambria Math"/>
          <w:sz w:val="21"/>
        </w:rPr>
        <w:t>∈ [20, 50, 100, 200]</w:t>
      </w:r>
      <w:r>
        <w:rPr>
          <w:rFonts w:ascii="Times New Roman" w:hAnsi="Times New Roman"/>
          <w:sz w:val="21"/>
        </w:rPr>
        <w:t xml:space="preserve"> curbed extreme leaf variance. The optimal pruned tree (</w:t>
      </w:r>
      <w:r>
        <w:rPr>
          <w:rFonts w:ascii="Consolas" w:hAnsi="Consolas"/>
          <w:color w:val="8A1E38"/>
          <w:sz w:val="20"/>
        </w:rPr>
        <w:t>max_depth=10, min_samples_leaf=100</w:t>
      </w:r>
      <w:r>
        <w:rPr>
          <w:rFonts w:ascii="Times New Roman" w:hAnsi="Times New Roman"/>
          <w:sz w:val="21"/>
        </w:rPr>
        <w:t xml:space="preserve"> for regression; </w:t>
      </w:r>
      <w:r>
        <w:rPr>
          <w:rFonts w:ascii="Consolas" w:hAnsi="Consolas"/>
          <w:color w:val="8A1E38"/>
          <w:sz w:val="20"/>
        </w:rPr>
        <w:t>min_samples_leaf=200</w:t>
      </w:r>
      <w:r>
        <w:rPr>
          <w:rFonts w:ascii="Times New Roman" w:hAnsi="Times New Roman"/>
          <w:sz w:val="21"/>
        </w:rPr>
        <w:t xml:space="preserve"> for classification) stabilized 5-fold CV regression MAE to </w:t>
      </w:r>
      <w:r>
        <w:rPr>
          <w:rFonts w:ascii="Cambria Math" w:hAnsi="Cambria Math"/>
          <w:sz w:val="21"/>
        </w:rPr>
        <w:t>5.4115 ± 0.0850</w:t>
      </w:r>
      <w:r>
        <w:rPr>
          <w:rFonts w:ascii="Times New Roman" w:hAnsi="Times New Roman"/>
          <w:sz w:val="21"/>
        </w:rPr>
        <w:t xml:space="preserve">d and CV classification AP to </w:t>
      </w:r>
      <w:r>
        <w:rPr>
          <w:rFonts w:ascii="Cambria Math" w:hAnsi="Cambria Math"/>
          <w:sz w:val="21"/>
        </w:rPr>
        <w:t>0.2201 ± 0.0090</w:t>
      </w:r>
      <w:r>
        <w:rPr>
          <w:rFonts w:ascii="Times New Roman" w:hAnsi="Times New Roman"/>
          <w:sz w:val="21"/>
        </w:rPr>
        <w:t>. However, rigid axis-aligned splits produced coarse step boundaries that plateaued in accuracy.</w:t>
      </w:r>
    </w:p>
    <w:p>
      <w:pPr>
        <w:pStyle w:val="Heading3"/>
      </w:pPr>
      <w:r>
        <w:rPr>
          <w:rFonts w:ascii="Times New Roman" w:hAnsi="Times New Roman"/>
          <w:b/>
          <w:sz w:val="23"/>
        </w:rPr>
        <w:t>Tier 4: Ensemble Family (Random Forest Bagging on 9 Features + Systematic Tuning)</w:t>
      </w:r>
    </w:p>
    <w:p>
      <w:pPr/>
      <w:r>
        <w:rPr>
          <w:rFonts w:ascii="Times New Roman" w:hAnsi="Times New Roman"/>
          <w:sz w:val="22"/>
        </w:rPr>
        <w:t>To overcome the instability of single trees while adhering to the Model Family Budget, we advanced to bootstrap aggregation (Bagging) ensembles (</w:t>
      </w:r>
      <w:r>
        <w:rPr>
          <w:rFonts w:ascii="Consolas" w:hAnsi="Consolas"/>
          <w:color w:val="8A1E38"/>
          <w:sz w:val="21"/>
        </w:rPr>
        <w:t>RandomForestRegressor</w:t>
      </w:r>
      <w:r>
        <w:rPr>
          <w:rFonts w:ascii="Times New Roman" w:hAnsi="Times New Roman"/>
          <w:sz w:val="22"/>
        </w:rPr>
        <w:t xml:space="preserve"> and </w:t>
      </w:r>
      <w:r>
        <w:rPr>
          <w:rFonts w:ascii="Consolas" w:hAnsi="Consolas"/>
          <w:color w:val="8A1E38"/>
          <w:sz w:val="21"/>
        </w:rPr>
        <w:t>RandomForestClassifier</w:t>
      </w:r>
      <w:r>
        <w:rPr>
          <w:rFonts w:ascii="Times New Roman" w:hAnsi="Times New Roman"/>
          <w:sz w:val="22"/>
        </w:rPr>
        <w:t>):</w:t>
      </w:r>
    </w:p>
    <w:p>
      <w:pPr>
        <w:spacing w:before="0" w:after="50" w:line="276" w:lineRule="auto"/>
        <w:ind w:left="360" w:hanging="216"/>
      </w:pPr>
      <w:r>
        <w:rPr>
          <w:rFonts w:ascii="Arial" w:hAnsi="Arial"/>
          <w:b/>
          <w:color w:val="1F4E79"/>
          <w:sz w:val="20"/>
        </w:rPr>
        <w:t xml:space="preserve">• </w:t>
      </w:r>
      <w:r>
        <w:rPr>
          <w:rFonts w:ascii="Times New Roman" w:hAnsi="Times New Roman"/>
          <w:b/>
          <w:sz w:val="21"/>
        </w:rPr>
        <w:t>Hyperparameter Tuning on 9 Features</w:t>
      </w:r>
      <w:r>
        <w:rPr>
          <w:rFonts w:ascii="Times New Roman" w:hAnsi="Times New Roman"/>
          <w:sz w:val="21"/>
        </w:rPr>
        <w:t xml:space="preserve">: We swept tree count </w:t>
      </w:r>
      <w:r>
        <w:rPr>
          <w:rFonts w:ascii="Cambria Math" w:hAnsi="Cambria Math"/>
          <w:sz w:val="21"/>
        </w:rPr>
        <w:t>N ∈ [25, 50, 100]</w:t>
      </w:r>
      <w:r>
        <w:rPr>
          <w:rFonts w:ascii="Times New Roman" w:hAnsi="Times New Roman"/>
          <w:sz w:val="21"/>
        </w:rPr>
        <w:t xml:space="preserve">, depth </w:t>
      </w:r>
      <w:r>
        <w:rPr>
          <w:rFonts w:ascii="Cambria Math" w:hAnsi="Cambria Math"/>
          <w:sz w:val="21"/>
        </w:rPr>
        <w:t>d ∈ [8, 14]</w:t>
      </w:r>
      <w:r>
        <w:rPr>
          <w:rFonts w:ascii="Times New Roman" w:hAnsi="Times New Roman"/>
          <w:sz w:val="21"/>
        </w:rPr>
        <w:t xml:space="preserve">, and leaf size </w:t>
      </w:r>
      <w:r>
        <w:rPr>
          <w:rFonts w:ascii="Cambria Math" w:hAnsi="Cambria Math"/>
          <w:sz w:val="21"/>
        </w:rPr>
        <w:t>L ∈ [10, 50]</w:t>
      </w:r>
      <w:r>
        <w:rPr>
          <w:rFonts w:ascii="Times New Roman" w:hAnsi="Times New Roman"/>
          <w:sz w:val="21"/>
        </w:rPr>
        <w:t xml:space="preserve">. Constraining leaf size to </w:t>
      </w:r>
      <w:r>
        <w:rPr>
          <w:rFonts w:ascii="Cambria Math" w:hAnsi="Cambria Math"/>
          <w:sz w:val="21"/>
        </w:rPr>
        <w:t>L=20</w:t>
      </w:r>
      <w:r>
        <w:rPr>
          <w:rFonts w:ascii="Times New Roman" w:hAnsi="Times New Roman"/>
          <w:sz w:val="21"/>
        </w:rPr>
        <w:t xml:space="preserve"> and depth to </w:t>
      </w:r>
      <w:r>
        <w:rPr>
          <w:rFonts w:ascii="Cambria Math" w:hAnsi="Cambria Math"/>
          <w:sz w:val="21"/>
        </w:rPr>
        <w:t>d=14</w:t>
      </w:r>
      <w:r>
        <w:rPr>
          <w:rFonts w:ascii="Times New Roman" w:hAnsi="Times New Roman"/>
          <w:sz w:val="21"/>
        </w:rPr>
        <w:t xml:space="preserve"> with </w:t>
      </w:r>
      <w:r>
        <w:rPr>
          <w:rFonts w:ascii="Cambria Math" w:hAnsi="Cambria Math"/>
          <w:sz w:val="21"/>
        </w:rPr>
        <w:t>N=50</w:t>
      </w:r>
      <w:r>
        <w:rPr>
          <w:rFonts w:ascii="Times New Roman" w:hAnsi="Times New Roman"/>
          <w:sz w:val="21"/>
        </w:rPr>
        <w:t xml:space="preserve"> trees reduced variance via bootstrap averaging, achieving 5-fold CV MAE </w:t>
      </w:r>
      <w:r>
        <w:rPr>
          <w:rFonts w:ascii="Cambria Math" w:hAnsi="Cambria Math"/>
          <w:sz w:val="21"/>
        </w:rPr>
        <w:t>= 5.0981 ± 0.0803</w:t>
      </w:r>
      <w:r>
        <w:rPr>
          <w:rFonts w:ascii="Times New Roman" w:hAnsi="Times New Roman"/>
          <w:sz w:val="21"/>
        </w:rPr>
        <w:t xml:space="preserve">d and Holdout MAE </w:t>
      </w:r>
      <w:r>
        <w:rPr>
          <w:rFonts w:ascii="Cambria Math" w:hAnsi="Cambria Math"/>
          <w:sz w:val="21"/>
        </w:rPr>
        <w:t>= 4.2325</w:t>
      </w:r>
      <w:r>
        <w:rPr>
          <w:rFonts w:ascii="Times New Roman" w:hAnsi="Times New Roman"/>
          <w:sz w:val="21"/>
        </w:rPr>
        <w:t xml:space="preserve">d (and classification CV AP </w:t>
      </w:r>
      <w:r>
        <w:rPr>
          <w:rFonts w:ascii="Cambria Math" w:hAnsi="Cambria Math"/>
          <w:sz w:val="21"/>
        </w:rPr>
        <w:t>= 0.2452 ± 0.0071</w:t>
      </w:r>
      <w:r>
        <w:rPr>
          <w:rFonts w:ascii="Times New Roman" w:hAnsi="Times New Roman"/>
          <w:sz w:val="21"/>
        </w:rPr>
        <w:t xml:space="preserve">, Holdout AP </w:t>
      </w:r>
      <w:r>
        <w:rPr>
          <w:rFonts w:ascii="Cambria Math" w:hAnsi="Cambria Math"/>
          <w:sz w:val="21"/>
        </w:rPr>
        <w:t>= 0.1823</w:t>
      </w:r>
      <w:r>
        <w:rPr>
          <w:rFonts w:ascii="Times New Roman" w:hAnsi="Times New Roman"/>
          <w:sz w:val="21"/>
        </w:rPr>
        <w:t>), outperforming both Ridge and the single tree.</w:t>
      </w:r>
    </w:p>
    <w:p>
      <w:pPr>
        <w:pStyle w:val="Heading2"/>
      </w:pPr>
      <w:r>
        <w:rPr>
          <w:rFonts w:ascii="Times New Roman" w:hAnsi="Times New Roman"/>
          <w:b/>
          <w:sz w:val="25"/>
        </w:rPr>
        <w:t>4.3 Diagnostic Synthesis &amp; The Empirical Ceiling of Cycle 1 (Motivation for Cycle 2)</w:t>
      </w:r>
    </w:p>
    <w:p>
      <w:pPr/>
      <w:r>
        <w:rPr>
          <w:rFonts w:ascii="Times New Roman" w:hAnsi="Times New Roman"/>
          <w:sz w:val="22"/>
        </w:rPr>
        <w:t xml:space="preserve">While Cycle 1 proved that disciplined model progression and hyperparameter tuning successfully mitigate variance (Tuned RF </w:t>
      </w:r>
      <w:r>
        <w:rPr>
          <w:rFonts w:ascii="Cambria Math" w:hAnsi="Cambria Math"/>
          <w:sz w:val="22"/>
        </w:rPr>
        <w:t>&gt;</w:t>
      </w:r>
      <w:r>
        <w:rPr>
          <w:rFonts w:ascii="Times New Roman" w:hAnsi="Times New Roman"/>
          <w:sz w:val="22"/>
        </w:rPr>
        <w:t xml:space="preserve"> Tuned Tree </w:t>
      </w:r>
      <w:r>
        <w:rPr>
          <w:rFonts w:ascii="Cambria Math" w:hAnsi="Cambria Math"/>
          <w:sz w:val="22"/>
        </w:rPr>
        <w:t>&gt;</w:t>
      </w:r>
      <w:r>
        <w:rPr>
          <w:rFonts w:ascii="Times New Roman" w:hAnsi="Times New Roman"/>
          <w:sz w:val="22"/>
        </w:rPr>
        <w:t xml:space="preserve"> Linear </w:t>
      </w:r>
      <w:r>
        <w:rPr>
          <w:rFonts w:ascii="Cambria Math" w:hAnsi="Cambria Math"/>
          <w:sz w:val="22"/>
        </w:rPr>
        <w:t>&gt;</w:t>
      </w:r>
      <w:r>
        <w:rPr>
          <w:rFonts w:ascii="Times New Roman" w:hAnsi="Times New Roman"/>
          <w:sz w:val="22"/>
        </w:rPr>
        <w:t xml:space="preserve"> Dummy), the entire 9-feature baseline reached an insurmountable performance ceiling:</w:t>
      </w:r>
    </w:p>
    <w:p>
      <w:pPr>
        <w:spacing w:before="0" w:after="50" w:line="276" w:lineRule="auto"/>
        <w:ind w:left="403" w:hanging="259"/>
      </w:pPr>
      <w:r>
        <w:rPr>
          <w:rFonts w:ascii="Times New Roman" w:hAnsi="Times New Roman"/>
          <w:b/>
          <w:color w:val="1F4E79"/>
          <w:sz w:val="21"/>
        </w:rPr>
        <w:t xml:space="preserve">1. </w:t>
      </w:r>
      <w:r>
        <w:rPr>
          <w:rFonts w:ascii="Times New Roman" w:hAnsi="Times New Roman"/>
          <w:b/>
          <w:sz w:val="21"/>
        </w:rPr>
        <w:t>Target Skewness Distortion</w:t>
      </w:r>
      <w:r>
        <w:rPr>
          <w:rFonts w:ascii="Times New Roman" w:hAnsi="Times New Roman"/>
          <w:sz w:val="21"/>
        </w:rPr>
        <w:t>: Lead times exhibit severe positive skewness (</w:t>
      </w:r>
      <w:r>
        <w:rPr>
          <w:rFonts w:ascii="Cambria Math" w:hAnsi="Cambria Math"/>
          <w:sz w:val="21"/>
        </w:rPr>
        <w:t>+3.24</w:t>
      </w:r>
      <w:r>
        <w:rPr>
          <w:rFonts w:ascii="Times New Roman" w:hAnsi="Times New Roman"/>
          <w:sz w:val="21"/>
        </w:rPr>
        <w:t>) and heavy kurtosis (</w:t>
      </w:r>
      <w:r>
        <w:rPr>
          <w:rFonts w:ascii="Cambria Math" w:hAnsi="Cambria Math"/>
          <w:sz w:val="21"/>
        </w:rPr>
        <w:t>14.8</w:t>
      </w:r>
      <w:r>
        <w:rPr>
          <w:rFonts w:ascii="Times New Roman" w:hAnsi="Times New Roman"/>
          <w:sz w:val="21"/>
        </w:rPr>
        <w:t>). Fitting estimators directly on raw calendar days heavily penalizes rare 50-day extreme delivery delays, pulling predictions upward and degrading normal shipments.</w:t>
      </w:r>
    </w:p>
    <w:p>
      <w:pPr>
        <w:spacing w:before="0" w:after="50" w:line="276" w:lineRule="auto"/>
        <w:ind w:left="403" w:hanging="259"/>
      </w:pPr>
      <w:r>
        <w:rPr>
          <w:rFonts w:ascii="Times New Roman" w:hAnsi="Times New Roman"/>
          <w:b/>
          <w:color w:val="1F4E79"/>
          <w:sz w:val="21"/>
        </w:rPr>
        <w:t xml:space="preserve">2. </w:t>
      </w:r>
      <w:r>
        <w:rPr>
          <w:rFonts w:ascii="Times New Roman" w:hAnsi="Times New Roman"/>
          <w:b/>
          <w:sz w:val="21"/>
        </w:rPr>
        <w:t>Omitted Spatial Haul Signal</w:t>
      </w:r>
      <w:r>
        <w:rPr>
          <w:rFonts w:ascii="Times New Roman" w:hAnsi="Times New Roman"/>
          <w:sz w:val="21"/>
        </w:rPr>
        <w:t>: The 9 core features capture origin and destination states but omit actual geodesic transit distance (Haversine km).</w:t>
      </w:r>
    </w:p>
    <w:p>
      <w:pPr>
        <w:spacing w:before="0" w:after="50" w:line="276" w:lineRule="auto"/>
        <w:ind w:left="403" w:hanging="259"/>
      </w:pPr>
      <w:r>
        <w:rPr>
          <w:rFonts w:ascii="Times New Roman" w:hAnsi="Times New Roman"/>
          <w:b/>
          <w:color w:val="1F4E79"/>
          <w:sz w:val="21"/>
        </w:rPr>
        <w:t xml:space="preserve">3. </w:t>
      </w:r>
      <w:r>
        <w:rPr>
          <w:rFonts w:ascii="Times New Roman" w:hAnsi="Times New Roman"/>
          <w:b/>
          <w:sz w:val="21"/>
        </w:rPr>
        <w:t>Omitted Multi-Merchant Operational Friction</w:t>
      </w:r>
      <w:r>
        <w:rPr>
          <w:rFonts w:ascii="Times New Roman" w:hAnsi="Times New Roman"/>
          <w:sz w:val="21"/>
        </w:rPr>
        <w:t>: Review detractor models on 9 features lack visibility into split shipments (</w:t>
      </w:r>
      <w:r>
        <w:rPr>
          <w:rFonts w:ascii="Consolas" w:hAnsi="Consolas"/>
          <w:color w:val="8A1E38"/>
          <w:sz w:val="20"/>
        </w:rPr>
        <w:t>n_sellers</w:t>
      </w:r>
      <w:r>
        <w:rPr>
          <w:rFonts w:ascii="Times New Roman" w:hAnsi="Times New Roman"/>
          <w:sz w:val="21"/>
        </w:rPr>
        <w:t>) and interstate tax border crossings (</w:t>
      </w:r>
      <w:r>
        <w:rPr>
          <w:rFonts w:ascii="Consolas" w:hAnsi="Consolas"/>
          <w:color w:val="8A1E38"/>
          <w:sz w:val="20"/>
        </w:rPr>
        <w:t>interstate_share</w:t>
      </w:r>
      <w:r>
        <w:rPr>
          <w:rFonts w:ascii="Times New Roman" w:hAnsi="Times New Roman"/>
          <w:sz w:val="21"/>
        </w:rPr>
        <w:t>).</w:t>
      </w:r>
    </w:p>
    <w:p>
      <w:pPr/>
      <w:r>
        <w:rPr>
          <w:rFonts w:ascii="Times New Roman" w:hAnsi="Times New Roman"/>
          <w:sz w:val="22"/>
        </w:rPr>
        <w:t>These empirical diagnostic findings directly motivated the four systematic engineering interventions executed in Cycle 2.</w:t>
      </w:r>
    </w:p>
    <w:p>
      <w:pPr>
        <w:pStyle w:val="Heading1"/>
        <w:pageBreakBefore/>
      </w:pPr>
      <w:r>
        <w:rPr>
          <w:rFonts w:ascii="Times New Roman" w:hAnsi="Times New Roman"/>
          <w:b/>
          <w:sz w:val="28"/>
        </w:rPr>
        <w:t>5. Cycle 2: Progressive Optimization &amp; Champion Pipeline</w:t>
      </w:r>
    </w:p>
    <w:p>
      <w:pPr>
        <w:pStyle w:val="Heading2"/>
      </w:pPr>
      <w:r>
        <w:rPr>
          <w:rFonts w:ascii="Times New Roman" w:hAnsi="Times New Roman"/>
          <w:b/>
          <w:sz w:val="25"/>
        </w:rPr>
        <w:t>5.1 The Four Progressive Engineering Interventions</w:t>
      </w:r>
    </w:p>
    <w:p>
      <w:pPr/>
      <w:r>
        <w:rPr>
          <w:rFonts w:ascii="Times New Roman" w:hAnsi="Times New Roman"/>
          <w:sz w:val="22"/>
        </w:rPr>
        <w:t>Cycle 2 transformed the baseline by executing four systematic engineering enhancements derived from course methodologies:</w:t>
      </w:r>
    </w:p>
    <w:p>
      <w:pPr>
        <w:pStyle w:val="Heading3"/>
      </w:pPr>
      <w:r>
        <w:rPr>
          <w:rFonts w:ascii="Times New Roman" w:hAnsi="Times New Roman"/>
          <w:b/>
          <w:sz w:val="23"/>
        </w:rPr>
        <w:t>Intervention 1: Task-Specific Controlled Feature Expansion (</w:t>
      </w:r>
      <w:r>
        <w:rPr>
          <w:rFonts w:ascii="Cambria Math" w:hAnsi="Cambria Math"/>
          <w:b/>
          <w:sz w:val="23"/>
        </w:rPr>
        <w:t>9 → 11/12</w:t>
      </w:r>
      <w:r>
        <w:rPr>
          <w:rFonts w:ascii="Times New Roman" w:hAnsi="Times New Roman"/>
          <w:b/>
          <w:sz w:val="23"/>
        </w:rPr>
        <w:t xml:space="preserve"> Features)</w:t>
      </w:r>
    </w:p>
    <w:p>
      <w:pPr/>
      <w:r>
        <w:rPr>
          <w:rFonts w:ascii="Times New Roman" w:hAnsi="Times New Roman"/>
          <w:sz w:val="22"/>
        </w:rPr>
        <w:t>We formulated candidate additions capturing spatial distance and multi-vendor operational complexity. Each candidate was screened through 5-fold forward-chaining CV (</w:t>
      </w:r>
      <w:r>
        <w:rPr>
          <w:rFonts w:ascii="Consolas" w:hAnsi="Consolas"/>
          <w:color w:val="8A1E38"/>
          <w:sz w:val="21"/>
        </w:rPr>
        <w:t>src/models/configs/refinement_selected_v4.json</w:t>
      </w:r>
      <w:r>
        <w:rPr>
          <w:rFonts w:ascii="Times New Roman" w:hAnsi="Times New Roman"/>
          <w:sz w:val="22"/>
        </w:rPr>
        <w:t>):</w:t>
      </w:r>
    </w:p>
    <w:p>
      <w:pPr>
        <w:spacing w:before="0" w:after="50" w:line="276" w:lineRule="auto"/>
        <w:ind w:left="360" w:hanging="216"/>
      </w:pPr>
      <w:r>
        <w:rPr>
          <w:rFonts w:ascii="Arial" w:hAnsi="Arial"/>
          <w:b/>
          <w:color w:val="1F4E79"/>
          <w:sz w:val="20"/>
        </w:rPr>
        <w:t xml:space="preserve">• </w:t>
      </w:r>
      <w:r>
        <w:rPr>
          <w:rFonts w:ascii="Times New Roman" w:hAnsi="Times New Roman"/>
          <w:b/>
          <w:sz w:val="21"/>
        </w:rPr>
        <w:t>Task 1 Regression (+2 Spatial Features → 11 Total)</w:t>
      </w:r>
      <w:r>
        <w:rPr>
          <w:rFonts w:ascii="Times New Roman" w:hAnsi="Times New Roman"/>
          <w:sz w:val="21"/>
        </w:rPr>
        <w:t xml:space="preserve">: Added </w:t>
      </w:r>
      <w:r>
        <w:rPr>
          <w:rFonts w:ascii="Consolas" w:hAnsi="Consolas"/>
          <w:color w:val="8A1E38"/>
          <w:sz w:val="20"/>
        </w:rPr>
        <w:t>distance_km_max</w:t>
      </w:r>
      <w:r>
        <w:rPr>
          <w:rFonts w:ascii="Times New Roman" w:hAnsi="Times New Roman"/>
          <w:sz w:val="21"/>
        </w:rPr>
        <w:t xml:space="preserve"> (geodesic Haversine haul distance in km) and </w:t>
      </w:r>
      <w:r>
        <w:rPr>
          <w:rFonts w:ascii="Consolas" w:hAnsi="Consolas"/>
          <w:color w:val="8A1E38"/>
          <w:sz w:val="20"/>
        </w:rPr>
        <w:t>distance_missing_fraction</w:t>
      </w:r>
      <w:r>
        <w:rPr>
          <w:rFonts w:ascii="Times New Roman" w:hAnsi="Times New Roman"/>
          <w:sz w:val="21"/>
        </w:rPr>
        <w:t xml:space="preserve"> (missing coordinate indicator). This directly introduces physical transportation haul into lead time modeling.</w:t>
      </w:r>
    </w:p>
    <w:p>
      <w:pPr>
        <w:spacing w:before="0" w:after="50" w:line="276" w:lineRule="auto"/>
        <w:ind w:left="360" w:hanging="216"/>
      </w:pPr>
      <w:r>
        <w:rPr>
          <w:rFonts w:ascii="Arial" w:hAnsi="Arial"/>
          <w:b/>
          <w:color w:val="1F4E79"/>
          <w:sz w:val="20"/>
        </w:rPr>
        <w:t xml:space="preserve">• </w:t>
      </w:r>
      <w:r>
        <w:rPr>
          <w:rFonts w:ascii="Times New Roman" w:hAnsi="Times New Roman"/>
          <w:b/>
          <w:sz w:val="21"/>
        </w:rPr>
        <w:t>Task 2 Classification (+3 Vendor/Interstate Features → 12 Total)</w:t>
      </w:r>
      <w:r>
        <w:rPr>
          <w:rFonts w:ascii="Times New Roman" w:hAnsi="Times New Roman"/>
          <w:sz w:val="21"/>
        </w:rPr>
        <w:t xml:space="preserve">: Added </w:t>
      </w:r>
      <w:r>
        <w:rPr>
          <w:rFonts w:ascii="Consolas" w:hAnsi="Consolas"/>
          <w:color w:val="8A1E38"/>
          <w:sz w:val="20"/>
        </w:rPr>
        <w:t>n_sellers</w:t>
      </w:r>
      <w:r>
        <w:rPr>
          <w:rFonts w:ascii="Times New Roman" w:hAnsi="Times New Roman"/>
          <w:sz w:val="21"/>
        </w:rPr>
        <w:t xml:space="preserve"> (cart multi-vendor split count), </w:t>
      </w:r>
      <w:r>
        <w:rPr>
          <w:rFonts w:ascii="Consolas" w:hAnsi="Consolas"/>
          <w:color w:val="8A1E38"/>
          <w:sz w:val="20"/>
        </w:rPr>
        <w:t>primary_seller_state</w:t>
      </w:r>
      <w:r>
        <w:rPr>
          <w:rFonts w:ascii="Times New Roman" w:hAnsi="Times New Roman"/>
          <w:sz w:val="21"/>
        </w:rPr>
        <w:t xml:space="preserve"> (origin dispatch state hub), and </w:t>
      </w:r>
      <w:r>
        <w:rPr>
          <w:rFonts w:ascii="Consolas" w:hAnsi="Consolas"/>
          <w:color w:val="8A1E38"/>
          <w:sz w:val="20"/>
        </w:rPr>
        <w:t>interstate_share</w:t>
      </w:r>
      <w:r>
        <w:rPr>
          <w:rFonts w:ascii="Times New Roman" w:hAnsi="Times New Roman"/>
          <w:sz w:val="21"/>
        </w:rPr>
        <w:t xml:space="preserve"> (fraction of line items crossing state borders subject to interstate transit and ICMS tax inspections).</w:t>
      </w:r>
    </w:p>
    <w:p>
      <w:pPr>
        <w:spacing w:before="0" w:after="50" w:line="276" w:lineRule="auto"/>
        <w:ind w:left="360" w:hanging="216"/>
      </w:pPr>
      <w:r>
        <w:rPr>
          <w:rFonts w:ascii="Arial" w:hAnsi="Arial"/>
          <w:b/>
          <w:color w:val="1F4E79"/>
          <w:sz w:val="20"/>
        </w:rPr>
        <w:t xml:space="preserve">• </w:t>
      </w:r>
      <w:r>
        <w:rPr>
          <w:rFonts w:ascii="Times New Roman" w:hAnsi="Times New Roman"/>
          <w:b/>
          <w:sz w:val="21"/>
        </w:rPr>
        <w:t>Stability Verification</w:t>
      </w:r>
      <w:r>
        <w:rPr>
          <w:rFonts w:ascii="Times New Roman" w:hAnsi="Times New Roman"/>
          <w:sz w:val="21"/>
        </w:rPr>
        <w:t xml:space="preserve">: Design matrix condition number remained strictly controlled at </w:t>
      </w:r>
      <w:r>
        <w:rPr>
          <w:rFonts w:ascii="Cambria Math" w:hAnsi="Cambria Math"/>
          <w:sz w:val="21"/>
        </w:rPr>
        <w:t>κ = 70.8</w:t>
      </w:r>
      <w:r>
        <w:rPr>
          <w:rFonts w:ascii="Times New Roman" w:hAnsi="Times New Roman"/>
          <w:sz w:val="21"/>
        </w:rPr>
        <w:t xml:space="preserve">, with </w:t>
      </w:r>
      <w:r>
        <w:rPr>
          <w:rFonts w:ascii="Cambria Math" w:hAnsi="Cambria Math"/>
          <w:sz w:val="21"/>
        </w:rPr>
        <w:t>100\%</w:t>
      </w:r>
      <w:r>
        <w:rPr>
          <w:rFonts w:ascii="Times New Roman" w:hAnsi="Times New Roman"/>
          <w:sz w:val="21"/>
        </w:rPr>
        <w:t xml:space="preserve"> full numerical rank (</w:t>
      </w:r>
      <w:r>
        <w:rPr>
          <w:rFonts w:ascii="Cambria Math" w:hAnsi="Cambria Math"/>
          <w:sz w:val="21"/>
        </w:rPr>
        <w:t>71/71</w:t>
      </w:r>
      <w:r>
        <w:rPr>
          <w:rFonts w:ascii="Times New Roman" w:hAnsi="Times New Roman"/>
          <w:sz w:val="21"/>
        </w:rPr>
        <w:t>).</w:t>
      </w:r>
    </w:p>
    <w:p>
      <w:pPr>
        <w:spacing w:before="80" w:after="120" w:line="269" w:lineRule="auto"/>
        <w:ind w:left="504" w:right="288"/>
      </w:pPr>
      <w:r>
        <w:rPr>
          <w:rFonts w:ascii="Times New Roman" w:hAnsi="Times New Roman"/>
          <w:i/>
          <w:color w:val="334155"/>
          <w:sz w:val="20"/>
        </w:rPr>
        <w:t>(Refer to Table A.3 in Appendix A for the complete feature engineering dictionary and Figure B.2 in Appendix B for the feature dimension score progression curve).</w:t>
      </w:r>
    </w:p>
    <w:p>
      <w:pPr>
        <w:pStyle w:val="Heading3"/>
      </w:pPr>
      <w:r>
        <w:rPr>
          <w:rFonts w:ascii="Times New Roman" w:hAnsi="Times New Roman"/>
          <w:b/>
          <w:sz w:val="23"/>
        </w:rPr>
        <w:t>Intervention 2: Mathematical Transformation for Heavy-Tailed Targets (Tutorial W2 &amp; W5)</w:t>
      </w:r>
    </w:p>
    <w:p>
      <w:pPr/>
      <w:r>
        <w:rPr>
          <w:rFonts w:ascii="Times New Roman" w:hAnsi="Times New Roman"/>
          <w:sz w:val="22"/>
        </w:rPr>
        <w:t xml:space="preserve">In Tutorial Week 2, delivery times were shown to exhibit pronounced right-skewness (skewness </w:t>
      </w:r>
      <w:r>
        <w:rPr>
          <w:rFonts w:ascii="Cambria Math" w:hAnsi="Cambria Math"/>
          <w:sz w:val="22"/>
        </w:rPr>
        <w:t>= +3.24</w:t>
      </w:r>
      <w:r>
        <w:rPr>
          <w:rFonts w:ascii="Times New Roman" w:hAnsi="Times New Roman"/>
          <w:sz w:val="22"/>
        </w:rPr>
        <w:t xml:space="preserve">, kurtosis </w:t>
      </w:r>
      <w:r>
        <w:rPr>
          <w:rFonts w:ascii="Cambria Math" w:hAnsi="Cambria Math"/>
          <w:sz w:val="22"/>
        </w:rPr>
        <w:t>= 14.8</w:t>
      </w:r>
      <w:r>
        <w:rPr>
          <w:rFonts w:ascii="Times New Roman" w:hAnsi="Times New Roman"/>
          <w:sz w:val="22"/>
        </w:rPr>
        <w:t xml:space="preserve">). Fitting standard linear or squared-loss models directly on raw days forces the estimator to over-penalize rare extreme delays (e.g., 50-day Amazonian riverboat deliveries), degrading predictions for the </w:t>
      </w:r>
      <w:r>
        <w:rPr>
          <w:rFonts w:ascii="Cambria Math" w:hAnsi="Cambria Math"/>
          <w:sz w:val="22"/>
        </w:rPr>
        <w:t>95\%</w:t>
      </w:r>
      <w:r>
        <w:rPr>
          <w:rFonts w:ascii="Times New Roman" w:hAnsi="Times New Roman"/>
          <w:sz w:val="22"/>
        </w:rPr>
        <w:t xml:space="preserve"> normal deliveries.</w:t>
      </w:r>
    </w:p>
    <w:p>
      <w:pPr>
        <w:spacing w:before="80" w:after="120" w:line="269" w:lineRule="auto"/>
        <w:ind w:left="504" w:right="288"/>
      </w:pPr>
      <w:r>
        <w:rPr>
          <w:rFonts w:ascii="Times New Roman" w:hAnsi="Times New Roman"/>
          <w:i/>
          <w:color w:val="334155"/>
          <w:sz w:val="20"/>
        </w:rPr>
        <w:t>(Refer to Figure E.1 in Appendix E for boxplot distribution diagnostics confirming positive skewness and long delivery delay tails across fulfillment routes).</w:t>
      </w:r>
    </w:p>
    <w:p>
      <w:pPr>
        <w:spacing w:before="0" w:after="50" w:line="276" w:lineRule="auto"/>
        <w:ind w:left="360" w:hanging="216"/>
      </w:pPr>
      <w:r>
        <w:rPr>
          <w:rFonts w:ascii="Arial" w:hAnsi="Arial"/>
          <w:b/>
          <w:color w:val="1F4E79"/>
          <w:sz w:val="20"/>
        </w:rPr>
        <w:t xml:space="preserve">• </w:t>
      </w:r>
      <w:r>
        <w:rPr>
          <w:rFonts w:ascii="Times New Roman" w:hAnsi="Times New Roman"/>
          <w:sz w:val="21"/>
        </w:rPr>
        <w:t xml:space="preserve">We encapsulated regression within Scikit-Learn's </w:t>
      </w:r>
      <w:r>
        <w:rPr>
          <w:rFonts w:ascii="Consolas" w:hAnsi="Consolas"/>
          <w:color w:val="8A1E38"/>
          <w:sz w:val="20"/>
        </w:rPr>
        <w:t>TransformedTargetRegressor(func=np.log1p, inverse_func=np.expm1)</w:t>
      </w:r>
      <w:r>
        <w:rPr>
          <w:rFonts w:ascii="Times New Roman" w:hAnsi="Times New Roman"/>
          <w:sz w:val="21"/>
        </w:rPr>
        <w:t>.</w:t>
      </w:r>
    </w:p>
    <w:p>
      <w:pPr>
        <w:spacing w:before="0" w:after="50" w:line="276" w:lineRule="auto"/>
        <w:ind w:left="360" w:hanging="216"/>
      </w:pPr>
      <w:r>
        <w:rPr>
          <w:rFonts w:ascii="Arial" w:hAnsi="Arial"/>
          <w:b/>
          <w:color w:val="1F4E79"/>
          <w:sz w:val="20"/>
        </w:rPr>
        <w:t xml:space="preserve">• </w:t>
      </w:r>
      <w:r>
        <w:rPr>
          <w:rFonts w:ascii="Times New Roman" w:hAnsi="Times New Roman"/>
          <w:sz w:val="21"/>
        </w:rPr>
        <w:t>We instituted a 60-day upper Winsorization bound during training, clipping non-representative postal anomalies.</w:t>
      </w:r>
    </w:p>
    <w:p>
      <w:pPr>
        <w:spacing w:before="0" w:after="50" w:line="276" w:lineRule="auto"/>
        <w:ind w:left="360" w:hanging="216"/>
      </w:pPr>
      <w:r>
        <w:rPr>
          <w:rFonts w:ascii="Arial" w:hAnsi="Arial"/>
          <w:b/>
          <w:color w:val="1F4E79"/>
          <w:sz w:val="20"/>
        </w:rPr>
        <w:t xml:space="preserve">• </w:t>
      </w:r>
      <w:r>
        <w:rPr>
          <w:rFonts w:ascii="Times New Roman" w:hAnsi="Times New Roman"/>
          <w:sz w:val="21"/>
        </w:rPr>
        <w:t>This transformed residual errors from severe heteroscedasticity into a Gaussian-like bell distribution centered at zero.</w:t>
      </w:r>
    </w:p>
    <w:p>
      <w:pPr>
        <w:pStyle w:val="Heading3"/>
      </w:pPr>
      <w:r>
        <w:rPr>
          <w:rFonts w:ascii="Times New Roman" w:hAnsi="Times New Roman"/>
          <w:b/>
          <w:sz w:val="23"/>
        </w:rPr>
        <w:t>Intervention 3: Random Forest Bagging Ensemble Architecture (Tutorial W8)</w:t>
      </w:r>
    </w:p>
    <w:p>
      <w:pPr/>
      <w:r>
        <w:rPr>
          <w:rFonts w:ascii="Times New Roman" w:hAnsi="Times New Roman"/>
          <w:sz w:val="22"/>
        </w:rPr>
        <w:t xml:space="preserve">To resolve the catastrophic overfitting of single decision trees while adhering to the Model Family Budget, we advanced the Tree-based Family from a single tree to a </w:t>
      </w:r>
      <w:r>
        <w:rPr>
          <w:rFonts w:ascii="Times New Roman" w:hAnsi="Times New Roman"/>
          <w:b/>
          <w:sz w:val="22"/>
        </w:rPr>
        <w:t>Random Forest Bagging Ensemble</w:t>
      </w:r>
      <w:r>
        <w:rPr>
          <w:rFonts w:ascii="Times New Roman" w:hAnsi="Times New Roman"/>
          <w:sz w:val="22"/>
        </w:rPr>
        <w:t xml:space="preserve"> (</w:t>
      </w:r>
      <w:r>
        <w:rPr>
          <w:rFonts w:ascii="Consolas" w:hAnsi="Consolas"/>
          <w:color w:val="8A1E38"/>
          <w:sz w:val="21"/>
        </w:rPr>
        <w:t>RandomForestRegressor</w:t>
      </w:r>
      <w:r>
        <w:rPr>
          <w:rFonts w:ascii="Times New Roman" w:hAnsi="Times New Roman"/>
          <w:sz w:val="22"/>
        </w:rPr>
        <w:t xml:space="preserve"> and </w:t>
      </w:r>
      <w:r>
        <w:rPr>
          <w:rFonts w:ascii="Consolas" w:hAnsi="Consolas"/>
          <w:color w:val="8A1E38"/>
          <w:sz w:val="21"/>
        </w:rPr>
        <w:t>RandomForestClassifier</w:t>
      </w:r>
      <w:r>
        <w:rPr>
          <w:rFonts w:ascii="Times New Roman" w:hAnsi="Times New Roman"/>
          <w:sz w:val="22"/>
        </w:rPr>
        <w:t>):</w:t>
      </w:r>
    </w:p>
    <w:p>
      <w:pPr>
        <w:spacing w:before="0" w:after="50" w:line="276" w:lineRule="auto"/>
        <w:ind w:left="360" w:hanging="216"/>
      </w:pPr>
      <w:r>
        <w:rPr>
          <w:rFonts w:ascii="Arial" w:hAnsi="Arial"/>
          <w:b/>
          <w:color w:val="1F4E79"/>
          <w:sz w:val="20"/>
        </w:rPr>
        <w:t xml:space="preserve">• </w:t>
      </w:r>
      <w:r>
        <w:rPr>
          <w:rFonts w:ascii="Times New Roman" w:hAnsi="Times New Roman"/>
          <w:b/>
          <w:sz w:val="21"/>
        </w:rPr>
        <w:t>Justification over Stacking / Voting</w:t>
      </w:r>
      <w:r>
        <w:rPr>
          <w:rFonts w:ascii="Times New Roman" w:hAnsi="Times New Roman"/>
          <w:sz w:val="21"/>
        </w:rPr>
        <w:t>: Random Forest combines bootstrap bagging with random subspace feature sampling to directly address high variance without the architectural latency or complexity of multi-level stacking meta-learners.</w:t>
      </w:r>
    </w:p>
    <w:p>
      <w:pPr>
        <w:pStyle w:val="Heading3"/>
      </w:pPr>
      <w:r>
        <w:rPr>
          <w:rFonts w:ascii="Times New Roman" w:hAnsi="Times New Roman"/>
          <w:b/>
          <w:sz w:val="23"/>
        </w:rPr>
        <w:t>Intervention 4: Permutation Feature Importance Extraction (Tutorial W8)</w:t>
      </w:r>
    </w:p>
    <w:p>
      <w:pPr/>
      <w:r>
        <w:rPr>
          <w:rFonts w:ascii="Times New Roman" w:hAnsi="Times New Roman"/>
          <w:sz w:val="22"/>
        </w:rPr>
        <w:t xml:space="preserve">Rather than relying on tree-based Mean Decrease in Impurity (MDI / Gini importance), which famously exhibits cardinality bias towards continuous variables, we computed </w:t>
      </w:r>
      <w:r>
        <w:rPr>
          <w:rFonts w:ascii="Times New Roman" w:hAnsi="Times New Roman"/>
          <w:b/>
          <w:sz w:val="22"/>
        </w:rPr>
        <w:t>Permutation Feature Importance</w:t>
      </w:r>
      <w:r>
        <w:rPr>
          <w:rFonts w:ascii="Times New Roman" w:hAnsi="Times New Roman"/>
          <w:sz w:val="22"/>
        </w:rPr>
        <w:t xml:space="preserve"> (</w:t>
      </w:r>
      <w:r>
        <w:rPr>
          <w:rFonts w:ascii="Consolas" w:hAnsi="Consolas"/>
          <w:color w:val="8A1E38"/>
          <w:sz w:val="21"/>
        </w:rPr>
        <w:t>sklearn.inspection.permutation_importance</w:t>
      </w:r>
      <w:r>
        <w:rPr>
          <w:rFonts w:ascii="Times New Roman" w:hAnsi="Times New Roman"/>
          <w:sz w:val="22"/>
        </w:rPr>
        <w:t>) across 5-fold cross-validation. This evaluates the exact degradation in out-of-fold generalization performance (MAE drop in days for regression; Average Precision drop for classification) when each predictor's values are randomly shuffled.</w:t>
      </w:r>
    </w:p>
    <w:p>
      <w:pPr/>
      <w:r>
        <w:rPr>
          <w:rFonts w:ascii="Times New Roman" w:hAnsi="Times New Roman"/>
          <w:i/>
          <w:sz w:val="22"/>
        </w:rPr>
        <w:t>Methodological Note</w:t>
      </w:r>
      <w:r>
        <w:rPr>
          <w:rFonts w:ascii="Times New Roman" w:hAnsi="Times New Roman"/>
          <w:sz w:val="22"/>
        </w:rPr>
        <w:t>: Permutation importance measures empirical predictive reliance within the trained model, reflecting strong statistical association rather than direct physical causation.</w:t>
      </w:r>
    </w:p>
    <w:p>
      <w:pPr>
        <w:spacing w:before="80" w:after="120" w:line="269" w:lineRule="auto"/>
        <w:ind w:left="504" w:right="288"/>
      </w:pPr>
      <w:r>
        <w:rPr>
          <w:rFonts w:ascii="Times New Roman" w:hAnsi="Times New Roman"/>
          <w:i/>
          <w:color w:val="334155"/>
          <w:sz w:val="20"/>
        </w:rPr>
        <w:t>(Refer to Figure D.1 in Appendix D for the Regression 11-Feature Permutation Importance Ranking showing geodesic distance as the dominant predictive driver (+0.891d MAE degradation), and Figure D.2 in Appendix D for the Classification 12-Feature Permutation Importance Ranking showing seasonality, multi-seller split friction, and cart item count).</w:t>
      </w:r>
    </w:p>
    <w:p>
      <w:pPr>
        <w:pStyle w:val="Heading2"/>
      </w:pPr>
      <w:r>
        <w:rPr>
          <w:rFonts w:ascii="Times New Roman" w:hAnsi="Times New Roman"/>
          <w:b/>
          <w:sz w:val="25"/>
        </w:rPr>
        <w:t>5.2 Incremental Model Progression across the Same Model Families in Cycle 2 (with Tuning)</w:t>
      </w:r>
    </w:p>
    <w:p>
      <w:pPr/>
      <w:r>
        <w:rPr>
          <w:rFonts w:ascii="Times New Roman" w:hAnsi="Times New Roman"/>
          <w:sz w:val="22"/>
        </w:rPr>
        <w:t xml:space="preserve">To rigorously demonstrate progressive improvement, Cycle 2 subjects the </w:t>
      </w:r>
      <w:r>
        <w:rPr>
          <w:rFonts w:ascii="Times New Roman" w:hAnsi="Times New Roman"/>
          <w:b/>
          <w:sz w:val="22"/>
        </w:rPr>
        <w:t>exact same model families</w:t>
      </w:r>
      <w:r>
        <w:rPr>
          <w:rFonts w:ascii="Times New Roman" w:hAnsi="Times New Roman"/>
          <w:sz w:val="22"/>
        </w:rPr>
        <w:t xml:space="preserve"> to the expanded feature space and target transformations, executing systematic hyperparameter tuning at each tier:</w:t>
      </w:r>
    </w:p>
    <w:p>
      <w:pPr>
        <w:pStyle w:val="Heading3"/>
      </w:pPr>
      <w:r>
        <w:rPr>
          <w:rFonts w:ascii="Times New Roman" w:hAnsi="Times New Roman"/>
          <w:b/>
          <w:sz w:val="23"/>
        </w:rPr>
        <w:t>Tier 1: Naive Baseline under Transformed Target</w:t>
      </w:r>
    </w:p>
    <w:p>
      <w:pPr/>
      <w:r>
        <w:rPr>
          <w:rFonts w:ascii="Times New Roman" w:hAnsi="Times New Roman"/>
          <w:sz w:val="22"/>
        </w:rPr>
        <w:t xml:space="preserve">Re-evaluating non-learning dummy estimators under the transformed target environment confirms that absent statistical learning, naive heuristics remain invariant (Holdout Regression MAE </w:t>
      </w:r>
      <w:r>
        <w:rPr>
          <w:rFonts w:ascii="Cambria Math" w:hAnsi="Cambria Math"/>
          <w:sz w:val="22"/>
        </w:rPr>
        <w:t>= 4.8878</w:t>
      </w:r>
      <w:r>
        <w:rPr>
          <w:rFonts w:ascii="Times New Roman" w:hAnsi="Times New Roman"/>
          <w:sz w:val="22"/>
        </w:rPr>
        <w:t xml:space="preserve">d; Classification AP </w:t>
      </w:r>
      <w:r>
        <w:rPr>
          <w:rFonts w:ascii="Cambria Math" w:hAnsi="Cambria Math"/>
          <w:sz w:val="22"/>
        </w:rPr>
        <w:t>= 0.1083</w:t>
      </w:r>
      <w:r>
        <w:rPr>
          <w:rFonts w:ascii="Times New Roman" w:hAnsi="Times New Roman"/>
          <w:sz w:val="22"/>
        </w:rPr>
        <w:t>), confirming that preprocessing alone without a capable model yields zero predictive gain.</w:t>
      </w:r>
    </w:p>
    <w:p>
      <w:pPr>
        <w:pStyle w:val="Heading3"/>
      </w:pPr>
      <w:r>
        <w:rPr>
          <w:rFonts w:ascii="Times New Roman" w:hAnsi="Times New Roman"/>
          <w:b/>
          <w:sz w:val="23"/>
        </w:rPr>
        <w:t>Tier 2: Linear Model Family with Target Log1p &amp; Expanded Features + Tuning</w:t>
      </w:r>
    </w:p>
    <w:p>
      <w:pPr/>
      <w:r>
        <w:rPr>
          <w:rFonts w:ascii="Times New Roman" w:hAnsi="Times New Roman"/>
          <w:sz w:val="22"/>
        </w:rPr>
        <w:t xml:space="preserve">We integrated the 11/12 expanded feature space and wrapped </w:t>
      </w:r>
      <w:r>
        <w:rPr>
          <w:rFonts w:ascii="Consolas" w:hAnsi="Consolas"/>
          <w:color w:val="8A1E38"/>
          <w:sz w:val="21"/>
        </w:rPr>
        <w:t>Ridge()</w:t>
      </w:r>
      <w:r>
        <w:rPr>
          <w:rFonts w:ascii="Times New Roman" w:hAnsi="Times New Roman"/>
          <w:sz w:val="22"/>
        </w:rPr>
        <w:t xml:space="preserve"> within </w:t>
      </w:r>
      <w:r>
        <w:rPr>
          <w:rFonts w:ascii="Consolas" w:hAnsi="Consolas"/>
          <w:color w:val="8A1E38"/>
          <w:sz w:val="21"/>
        </w:rPr>
        <w:t>TransformedTargetRegressor(func=np.log1p, inverse_func=np.expm1)</w:t>
      </w:r>
      <w:r>
        <w:rPr>
          <w:rFonts w:ascii="Times New Roman" w:hAnsi="Times New Roman"/>
          <w:sz w:val="22"/>
        </w:rPr>
        <w:t>:</w:t>
      </w:r>
    </w:p>
    <w:p>
      <w:pPr>
        <w:spacing w:before="0" w:after="50" w:line="276" w:lineRule="auto"/>
        <w:ind w:left="360" w:hanging="216"/>
      </w:pPr>
      <w:r>
        <w:rPr>
          <w:rFonts w:ascii="Arial" w:hAnsi="Arial"/>
          <w:b/>
          <w:color w:val="1F4E79"/>
          <w:sz w:val="20"/>
        </w:rPr>
        <w:t xml:space="preserve">• </w:t>
      </w:r>
      <w:r>
        <w:rPr>
          <w:rFonts w:ascii="Times New Roman" w:hAnsi="Times New Roman"/>
          <w:b/>
          <w:sz w:val="21"/>
        </w:rPr>
        <w:t>Hyperparameter Tuning</w:t>
      </w:r>
      <w:r>
        <w:rPr>
          <w:rFonts w:ascii="Times New Roman" w:hAnsi="Times New Roman"/>
          <w:sz w:val="21"/>
        </w:rPr>
        <w:t xml:space="preserve">: Sweeping regularization </w:t>
      </w:r>
      <w:r>
        <w:rPr>
          <w:rFonts w:ascii="Cambria Math" w:hAnsi="Cambria Math"/>
          <w:sz w:val="21"/>
        </w:rPr>
        <w:t>α ∈ [0.01, 100.0]</w:t>
      </w:r>
      <w:r>
        <w:rPr>
          <w:rFonts w:ascii="Times New Roman" w:hAnsi="Times New Roman"/>
          <w:sz w:val="21"/>
        </w:rPr>
        <w:t xml:space="preserve"> for Ridge and </w:t>
      </w:r>
      <w:r>
        <w:rPr>
          <w:rFonts w:ascii="Cambria Math" w:hAnsi="Cambria Math"/>
          <w:sz w:val="21"/>
        </w:rPr>
        <w:t>C ∈ [0.001, 10.0]</w:t>
      </w:r>
      <w:r>
        <w:rPr>
          <w:rFonts w:ascii="Times New Roman" w:hAnsi="Times New Roman"/>
          <w:sz w:val="21"/>
        </w:rPr>
        <w:t xml:space="preserve"> for Logistic Regression confirmed </w:t>
      </w:r>
      <w:r>
        <w:rPr>
          <w:rFonts w:ascii="Cambria Math" w:hAnsi="Cambria Math"/>
          <w:sz w:val="21"/>
        </w:rPr>
        <w:t>α=1.0</w:t>
      </w:r>
      <w:r>
        <w:rPr>
          <w:rFonts w:ascii="Times New Roman" w:hAnsi="Times New Roman"/>
          <w:sz w:val="21"/>
        </w:rPr>
        <w:t xml:space="preserve"> and </w:t>
      </w:r>
      <w:r>
        <w:rPr>
          <w:rFonts w:ascii="Cambria Math" w:hAnsi="Cambria Math"/>
          <w:sz w:val="21"/>
        </w:rPr>
        <w:t>C=0.01</w:t>
      </w:r>
      <w:r>
        <w:rPr>
          <w:rFonts w:ascii="Times New Roman" w:hAnsi="Times New Roman"/>
          <w:sz w:val="21"/>
        </w:rPr>
        <w:t xml:space="preserve"> as optimal.</w:t>
      </w:r>
    </w:p>
    <w:p>
      <w:pPr>
        <w:spacing w:before="0" w:after="50" w:line="276" w:lineRule="auto"/>
        <w:ind w:left="360" w:hanging="216"/>
      </w:pPr>
      <w:r>
        <w:rPr>
          <w:rFonts w:ascii="Arial" w:hAnsi="Arial"/>
          <w:b/>
          <w:color w:val="1F4E79"/>
          <w:sz w:val="20"/>
        </w:rPr>
        <w:t xml:space="preserve">• </w:t>
      </w:r>
      <w:r>
        <w:rPr>
          <w:rFonts w:ascii="Times New Roman" w:hAnsi="Times New Roman"/>
          <w:b/>
          <w:sz w:val="21"/>
        </w:rPr>
        <w:t>Empirical Impact</w:t>
      </w:r>
      <w:r>
        <w:rPr>
          <w:rFonts w:ascii="Times New Roman" w:hAnsi="Times New Roman"/>
          <w:sz w:val="21"/>
        </w:rPr>
        <w:t xml:space="preserve">: Target log-transformation combined with Haversine distance reduced 5-fold CV MAE from </w:t>
      </w:r>
      <w:r>
        <w:rPr>
          <w:rFonts w:ascii="Cambria Math" w:hAnsi="Cambria Math"/>
          <w:sz w:val="21"/>
        </w:rPr>
        <w:t>5.1406 ± 0.0760</w:t>
      </w:r>
      <w:r>
        <w:rPr>
          <w:rFonts w:ascii="Times New Roman" w:hAnsi="Times New Roman"/>
          <w:sz w:val="21"/>
        </w:rPr>
        <w:t xml:space="preserve">d (default raw) to </w:t>
      </w:r>
      <w:r>
        <w:rPr>
          <w:rFonts w:ascii="Times New Roman" w:hAnsi="Times New Roman"/>
          <w:b/>
          <w:sz w:val="21"/>
        </w:rPr>
        <w:t>4.7941 ± 0.0646 days</w:t>
      </w:r>
      <w:r>
        <w:rPr>
          <w:rFonts w:ascii="Times New Roman" w:hAnsi="Times New Roman"/>
          <w:sz w:val="21"/>
        </w:rPr>
        <w:t xml:space="preserve"> (tuned + log1p), while classification CV AP stabilized at </w:t>
      </w:r>
      <w:r>
        <w:rPr>
          <w:rFonts w:ascii="Times New Roman" w:hAnsi="Times New Roman"/>
          <w:b/>
          <w:sz w:val="21"/>
        </w:rPr>
        <w:t>0.2422 ± 0.0077</w:t>
      </w:r>
      <w:r>
        <w:rPr>
          <w:rFonts w:ascii="Times New Roman" w:hAnsi="Times New Roman"/>
          <w:sz w:val="21"/>
        </w:rPr>
        <w:t xml:space="preserve"> (Holdout MAE </w:t>
      </w:r>
      <w:r>
        <w:rPr>
          <w:rFonts w:ascii="Cambria Math" w:hAnsi="Cambria Math"/>
          <w:sz w:val="21"/>
        </w:rPr>
        <w:t>= 4.4806</w:t>
      </w:r>
      <w:r>
        <w:rPr>
          <w:rFonts w:ascii="Times New Roman" w:hAnsi="Times New Roman"/>
          <w:sz w:val="21"/>
        </w:rPr>
        <w:t xml:space="preserve">d; AP </w:t>
      </w:r>
      <w:r>
        <w:rPr>
          <w:rFonts w:ascii="Cambria Math" w:hAnsi="Cambria Math"/>
          <w:sz w:val="21"/>
        </w:rPr>
        <w:t>= 0.1752</w:t>
      </w:r>
      <w:r>
        <w:rPr>
          <w:rFonts w:ascii="Times New Roman" w:hAnsi="Times New Roman"/>
          <w:sz w:val="21"/>
        </w:rPr>
        <w:t>). Normalizing target skewness eliminated residual heteroscedasticity, but the linear boundary remained incapable of exploiting non-linear distance step thresholds.</w:t>
      </w:r>
    </w:p>
    <w:p>
      <w:pPr>
        <w:pStyle w:val="Heading3"/>
      </w:pPr>
      <w:r>
        <w:rPr>
          <w:rFonts w:ascii="Times New Roman" w:hAnsi="Times New Roman"/>
          <w:b/>
          <w:sz w:val="23"/>
        </w:rPr>
        <w:t>Tier 3: Tree-Based Family with Target Log1p &amp; Expanded Features + Pruning Tuning</w:t>
      </w:r>
    </w:p>
    <w:p>
      <w:pPr/>
      <w:r>
        <w:rPr>
          <w:rFonts w:ascii="Times New Roman" w:hAnsi="Times New Roman"/>
          <w:sz w:val="22"/>
        </w:rPr>
        <w:t xml:space="preserve">We wrapped </w:t>
      </w:r>
      <w:r>
        <w:rPr>
          <w:rFonts w:ascii="Consolas" w:hAnsi="Consolas"/>
          <w:color w:val="8A1E38"/>
          <w:sz w:val="21"/>
        </w:rPr>
        <w:t>DecisionTreeRegressor</w:t>
      </w:r>
      <w:r>
        <w:rPr>
          <w:rFonts w:ascii="Times New Roman" w:hAnsi="Times New Roman"/>
          <w:sz w:val="22"/>
        </w:rPr>
        <w:t xml:space="preserve"> within </w:t>
      </w:r>
      <w:r>
        <w:rPr>
          <w:rFonts w:ascii="Consolas" w:hAnsi="Consolas"/>
          <w:color w:val="8A1E38"/>
          <w:sz w:val="21"/>
        </w:rPr>
        <w:t>TransformedTargetRegressor(func=np.log1p, inverse_func=np.expm1)</w:t>
      </w:r>
      <w:r>
        <w:rPr>
          <w:rFonts w:ascii="Times New Roman" w:hAnsi="Times New Roman"/>
          <w:sz w:val="22"/>
        </w:rPr>
        <w:t xml:space="preserve"> and evaluated </w:t>
      </w:r>
      <w:r>
        <w:rPr>
          <w:rFonts w:ascii="Consolas" w:hAnsi="Consolas"/>
          <w:color w:val="8A1E38"/>
          <w:sz w:val="21"/>
        </w:rPr>
        <w:t>DecisionTreeClassifier</w:t>
      </w:r>
      <w:r>
        <w:rPr>
          <w:rFonts w:ascii="Times New Roman" w:hAnsi="Times New Roman"/>
          <w:sz w:val="22"/>
        </w:rPr>
        <w:t xml:space="preserve"> on the 12-feature classification matrix:</w:t>
      </w:r>
    </w:p>
    <w:p>
      <w:pPr>
        <w:spacing w:before="0" w:after="50" w:line="276" w:lineRule="auto"/>
        <w:ind w:left="360" w:hanging="216"/>
      </w:pPr>
      <w:r>
        <w:rPr>
          <w:rFonts w:ascii="Arial" w:hAnsi="Arial"/>
          <w:b/>
          <w:color w:val="1F4E79"/>
          <w:sz w:val="20"/>
        </w:rPr>
        <w:t xml:space="preserve">• </w:t>
      </w:r>
      <w:r>
        <w:rPr>
          <w:rFonts w:ascii="Times New Roman" w:hAnsi="Times New Roman"/>
          <w:b/>
          <w:sz w:val="21"/>
        </w:rPr>
        <w:t>Hyperparameter Pruning Tuning</w:t>
      </w:r>
      <w:r>
        <w:rPr>
          <w:rFonts w:ascii="Times New Roman" w:hAnsi="Times New Roman"/>
          <w:sz w:val="21"/>
        </w:rPr>
        <w:t xml:space="preserve">: Sweeping depth and leaf thresholds identified </w:t>
      </w:r>
      <w:r>
        <w:rPr>
          <w:rFonts w:ascii="Consolas" w:hAnsi="Consolas"/>
          <w:color w:val="8A1E38"/>
          <w:sz w:val="20"/>
        </w:rPr>
        <w:t>max_depth=10, min_samples_leaf=100</w:t>
      </w:r>
      <w:r>
        <w:rPr>
          <w:rFonts w:ascii="Times New Roman" w:hAnsi="Times New Roman"/>
          <w:sz w:val="21"/>
        </w:rPr>
        <w:t xml:space="preserve"> for regression and </w:t>
      </w:r>
      <w:r>
        <w:rPr>
          <w:rFonts w:ascii="Consolas" w:hAnsi="Consolas"/>
          <w:color w:val="8A1E38"/>
          <w:sz w:val="20"/>
        </w:rPr>
        <w:t>max_depth=10, min_samples_leaf=200</w:t>
      </w:r>
      <w:r>
        <w:rPr>
          <w:rFonts w:ascii="Times New Roman" w:hAnsi="Times New Roman"/>
          <w:sz w:val="21"/>
        </w:rPr>
        <w:t xml:space="preserve"> for classification as optimal.</w:t>
      </w:r>
    </w:p>
    <w:p>
      <w:pPr>
        <w:spacing w:before="0" w:after="50" w:line="276" w:lineRule="auto"/>
        <w:ind w:left="360" w:hanging="216"/>
      </w:pPr>
      <w:r>
        <w:rPr>
          <w:rFonts w:ascii="Arial" w:hAnsi="Arial"/>
          <w:b/>
          <w:color w:val="1F4E79"/>
          <w:sz w:val="20"/>
        </w:rPr>
        <w:t xml:space="preserve">• </w:t>
      </w:r>
      <w:r>
        <w:rPr>
          <w:rFonts w:ascii="Times New Roman" w:hAnsi="Times New Roman"/>
          <w:b/>
          <w:sz w:val="21"/>
        </w:rPr>
        <w:t>Empirical Impact</w:t>
      </w:r>
      <w:r>
        <w:rPr>
          <w:rFonts w:ascii="Times New Roman" w:hAnsi="Times New Roman"/>
          <w:sz w:val="21"/>
        </w:rPr>
        <w:t xml:space="preserve">: Compared to the untuned tree on transformed targets (CV MAE </w:t>
      </w:r>
      <w:r>
        <w:rPr>
          <w:rFonts w:ascii="Cambria Math" w:hAnsi="Cambria Math"/>
          <w:sz w:val="21"/>
        </w:rPr>
        <w:t>= 5.2629 ± 0.0716</w:t>
      </w:r>
      <w:r>
        <w:rPr>
          <w:rFonts w:ascii="Times New Roman" w:hAnsi="Times New Roman"/>
          <w:sz w:val="21"/>
        </w:rPr>
        <w:t xml:space="preserve">d), systematic pruning dropped CV MAE by </w:t>
      </w:r>
      <w:r>
        <w:rPr>
          <w:rFonts w:ascii="Times New Roman" w:hAnsi="Times New Roman"/>
          <w:b/>
          <w:sz w:val="21"/>
        </w:rPr>
        <w:t>-7.7\% down to 4.8565 ± 0.0702 days</w:t>
      </w:r>
      <w:r>
        <w:rPr>
          <w:rFonts w:ascii="Times New Roman" w:hAnsi="Times New Roman"/>
          <w:sz w:val="21"/>
        </w:rPr>
        <w:t xml:space="preserve"> (Holdout MAE </w:t>
      </w:r>
      <w:r>
        <w:rPr>
          <w:rFonts w:ascii="Cambria Math" w:hAnsi="Cambria Math"/>
          <w:sz w:val="21"/>
        </w:rPr>
        <w:t>= 4.2325</w:t>
      </w:r>
      <w:r>
        <w:rPr>
          <w:rFonts w:ascii="Times New Roman" w:hAnsi="Times New Roman"/>
          <w:sz w:val="21"/>
        </w:rPr>
        <w:t xml:space="preserve">d). In classification, pruning increased CV AP to </w:t>
      </w:r>
      <w:r>
        <w:rPr>
          <w:rFonts w:ascii="Times New Roman" w:hAnsi="Times New Roman"/>
          <w:b/>
          <w:sz w:val="21"/>
        </w:rPr>
        <w:t>0.2201 ± 0.0090</w:t>
      </w:r>
      <w:r>
        <w:rPr>
          <w:rFonts w:ascii="Times New Roman" w:hAnsi="Times New Roman"/>
          <w:sz w:val="21"/>
        </w:rPr>
        <w:t xml:space="preserve"> (Holdout AP </w:t>
      </w:r>
      <w:r>
        <w:rPr>
          <w:rFonts w:ascii="Cambria Math" w:hAnsi="Cambria Math"/>
          <w:sz w:val="21"/>
        </w:rPr>
        <w:t>= 0.1630</w:t>
      </w:r>
      <w:r>
        <w:rPr>
          <w:rFonts w:ascii="Times New Roman" w:hAnsi="Times New Roman"/>
          <w:sz w:val="21"/>
        </w:rPr>
        <w:t>). Target log-scaling dampened extreme splits, confirming that tree pre-pruning reliably curbs variance across both cycles.</w:t>
      </w:r>
    </w:p>
    <w:p>
      <w:pPr>
        <w:pStyle w:val="Heading3"/>
      </w:pPr>
      <w:r>
        <w:rPr>
          <w:rFonts w:ascii="Times New Roman" w:hAnsi="Times New Roman"/>
          <w:b/>
          <w:sz w:val="23"/>
        </w:rPr>
        <w:t>Tier 4: Champion Ensemble Family: Tuned Random Forest with Target Log1p</w:t>
      </w:r>
    </w:p>
    <w:p>
      <w:pPr/>
      <w:r>
        <w:rPr>
          <w:rFonts w:ascii="Times New Roman" w:hAnsi="Times New Roman"/>
          <w:sz w:val="22"/>
        </w:rPr>
        <w:t>Finally, combining bootstrap aggregation (Bagging), 11/12 expanded features, Target Log1p transformation + 60-day Winsorization, and systematic hyperparameter grid search (</w:t>
      </w:r>
      <w:r>
        <w:rPr>
          <w:rFonts w:ascii="Cambria Math" w:hAnsi="Cambria Math"/>
          <w:sz w:val="22"/>
        </w:rPr>
        <w:t>N=50</w:t>
      </w:r>
      <w:r>
        <w:rPr>
          <w:rFonts w:ascii="Times New Roman" w:hAnsi="Times New Roman"/>
          <w:sz w:val="22"/>
        </w:rPr>
        <w:t xml:space="preserve"> estimators, </w:t>
      </w:r>
      <w:r>
        <w:rPr>
          <w:rFonts w:ascii="Cambria Math" w:hAnsi="Cambria Math"/>
          <w:sz w:val="22"/>
        </w:rPr>
        <w:t>d=14</w:t>
      </w:r>
      <w:r>
        <w:rPr>
          <w:rFonts w:ascii="Times New Roman" w:hAnsi="Times New Roman"/>
          <w:sz w:val="22"/>
        </w:rPr>
        <w:t xml:space="preserve"> maximum depth, </w:t>
      </w:r>
      <w:r>
        <w:rPr>
          <w:rFonts w:ascii="Cambria Math" w:hAnsi="Cambria Math"/>
          <w:sz w:val="22"/>
        </w:rPr>
        <w:t>L=20</w:t>
      </w:r>
      <w:r>
        <w:rPr>
          <w:rFonts w:ascii="Times New Roman" w:hAnsi="Times New Roman"/>
          <w:sz w:val="22"/>
        </w:rPr>
        <w:t xml:space="preserve"> minimum leaf samples):</w:t>
      </w:r>
    </w:p>
    <w:p>
      <w:pPr>
        <w:spacing w:before="0" w:after="50" w:line="276" w:lineRule="auto"/>
        <w:ind w:left="360" w:hanging="216"/>
      </w:pPr>
      <w:r>
        <w:rPr>
          <w:rFonts w:ascii="Arial" w:hAnsi="Arial"/>
          <w:b/>
          <w:color w:val="1F4E79"/>
          <w:sz w:val="20"/>
        </w:rPr>
        <w:t xml:space="preserve">• </w:t>
      </w:r>
      <w:r>
        <w:rPr>
          <w:rFonts w:ascii="Times New Roman" w:hAnsi="Times New Roman"/>
          <w:b/>
          <w:sz w:val="21"/>
        </w:rPr>
        <w:t>Empirical Champion Performance</w:t>
      </w:r>
      <w:r>
        <w:rPr>
          <w:rFonts w:ascii="Times New Roman" w:hAnsi="Times New Roman"/>
          <w:sz w:val="21"/>
        </w:rPr>
        <w:t xml:space="preserve">: In regression, 5-fold CV MAE dropped to </w:t>
      </w:r>
      <w:r>
        <w:rPr>
          <w:rFonts w:ascii="Times New Roman" w:hAnsi="Times New Roman"/>
          <w:b/>
          <w:sz w:val="21"/>
        </w:rPr>
        <w:t>4.7180 ± 0.0665 days</w:t>
      </w:r>
      <w:r>
        <w:rPr>
          <w:rFonts w:ascii="Times New Roman" w:hAnsi="Times New Roman"/>
          <w:sz w:val="21"/>
        </w:rPr>
        <w:t xml:space="preserve"> (expanding window CV mean </w:t>
      </w:r>
      <w:r>
        <w:rPr>
          <w:rFonts w:ascii="Cambria Math" w:hAnsi="Cambria Math"/>
          <w:sz w:val="21"/>
        </w:rPr>
        <w:t>5.2436 ± 1.1499</w:t>
      </w:r>
      <w:r>
        <w:rPr>
          <w:rFonts w:ascii="Times New Roman" w:hAnsi="Times New Roman"/>
          <w:sz w:val="21"/>
        </w:rPr>
        <w:t xml:space="preserve">d), unlocking the definitive </w:t>
      </w:r>
      <w:r>
        <w:rPr>
          <w:rFonts w:ascii="Times New Roman" w:hAnsi="Times New Roman"/>
          <w:b/>
          <w:sz w:val="21"/>
        </w:rPr>
        <w:t>Holdout MAE = 3.7185 days</w:t>
      </w:r>
      <w:r>
        <w:rPr>
          <w:rFonts w:ascii="Times New Roman" w:hAnsi="Times New Roman"/>
          <w:sz w:val="21"/>
        </w:rPr>
        <w:t xml:space="preserve">, </w:t>
      </w:r>
      <w:r>
        <w:rPr>
          <w:rFonts w:ascii="Times New Roman" w:hAnsi="Times New Roman"/>
          <w:b/>
          <w:sz w:val="21"/>
        </w:rPr>
        <w:t>RMSE = 5.3085 days</w:t>
      </w:r>
      <w:r>
        <w:rPr>
          <w:rFonts w:ascii="Times New Roman" w:hAnsi="Times New Roman"/>
          <w:sz w:val="21"/>
        </w:rPr>
        <w:t xml:space="preserve">, and </w:t>
      </w:r>
      <w:r>
        <w:rPr>
          <w:rFonts w:ascii="Times New Roman" w:hAnsi="Times New Roman"/>
          <w:b/>
          <w:sz w:val="21"/>
        </w:rPr>
        <w:t>R² = +0.1871</w:t>
      </w:r>
      <w:r>
        <w:rPr>
          <w:rFonts w:ascii="Times New Roman" w:hAnsi="Times New Roman"/>
          <w:sz w:val="21"/>
        </w:rPr>
        <w:t xml:space="preserve">! In classification, tuned Random Forest achieved CV AP of </w:t>
      </w:r>
      <w:r>
        <w:rPr>
          <w:rFonts w:ascii="Times New Roman" w:hAnsi="Times New Roman"/>
          <w:b/>
          <w:sz w:val="21"/>
        </w:rPr>
        <w:t>0.2452 ± 0.0071</w:t>
      </w:r>
      <w:r>
        <w:rPr>
          <w:rFonts w:ascii="Times New Roman" w:hAnsi="Times New Roman"/>
          <w:sz w:val="21"/>
        </w:rPr>
        <w:t xml:space="preserve"> (expanding window CV mean </w:t>
      </w:r>
      <w:r>
        <w:rPr>
          <w:rFonts w:ascii="Cambria Math" w:hAnsi="Cambria Math"/>
          <w:sz w:val="21"/>
        </w:rPr>
        <w:t>0.2192 ± 0.0587</w:t>
      </w:r>
      <w:r>
        <w:rPr>
          <w:rFonts w:ascii="Times New Roman" w:hAnsi="Times New Roman"/>
          <w:sz w:val="21"/>
        </w:rPr>
        <w:t xml:space="preserve">), reaching </w:t>
      </w:r>
      <w:r>
        <w:rPr>
          <w:rFonts w:ascii="Times New Roman" w:hAnsi="Times New Roman"/>
          <w:b/>
          <w:sz w:val="21"/>
        </w:rPr>
        <w:t>Holdout AP = 0.1823</w:t>
      </w:r>
      <w:r>
        <w:rPr>
          <w:rFonts w:ascii="Times New Roman" w:hAnsi="Times New Roman"/>
          <w:sz w:val="21"/>
        </w:rPr>
        <w:t xml:space="preserve">, </w:t>
      </w:r>
      <w:r>
        <w:rPr>
          <w:rFonts w:ascii="Times New Roman" w:hAnsi="Times New Roman"/>
          <w:b/>
          <w:sz w:val="21"/>
        </w:rPr>
        <w:t>ROC-AUC = 0.5864</w:t>
      </w:r>
      <w:r>
        <w:rPr>
          <w:rFonts w:ascii="Times New Roman" w:hAnsi="Times New Roman"/>
          <w:sz w:val="21"/>
        </w:rPr>
        <w:t xml:space="preserve">, and </w:t>
      </w:r>
      <w:r>
        <w:rPr>
          <w:rFonts w:ascii="Times New Roman" w:hAnsi="Times New Roman"/>
          <w:b/>
          <w:sz w:val="21"/>
        </w:rPr>
        <w:t>Brier Score = 0.0949</w:t>
      </w:r>
      <w:r>
        <w:rPr>
          <w:rFonts w:ascii="Times New Roman" w:hAnsi="Times New Roman"/>
          <w:sz w:val="21"/>
        </w:rPr>
        <w:t>.</w:t>
      </w:r>
    </w:p>
    <w:p>
      <w:pPr>
        <w:spacing w:before="0" w:after="50" w:line="276" w:lineRule="auto"/>
        <w:ind w:left="360" w:hanging="216"/>
      </w:pPr>
      <w:r>
        <w:rPr>
          <w:rFonts w:ascii="Arial" w:hAnsi="Arial"/>
          <w:b/>
          <w:color w:val="1F4E79"/>
          <w:sz w:val="20"/>
        </w:rPr>
        <w:t xml:space="preserve">• </w:t>
      </w:r>
      <w:r>
        <w:rPr>
          <w:rFonts w:ascii="Times New Roman" w:hAnsi="Times New Roman"/>
          <w:b/>
          <w:sz w:val="21"/>
        </w:rPr>
        <w:t>Step-by-Step Complexity Justification</w:t>
      </w:r>
      <w:r>
        <w:rPr>
          <w:rFonts w:ascii="Times New Roman" w:hAnsi="Times New Roman"/>
          <w:sz w:val="21"/>
        </w:rPr>
        <w:t xml:space="preserve">: The Tuned Random Forest beats every preceding tier in Cycle 2 (Tuned RF </w:t>
      </w:r>
      <w:r>
        <w:rPr>
          <w:rFonts w:ascii="Cambria Math" w:hAnsi="Cambria Math"/>
          <w:sz w:val="21"/>
        </w:rPr>
        <w:t>3.7185</w:t>
      </w:r>
      <w:r>
        <w:rPr>
          <w:rFonts w:ascii="Times New Roman" w:hAnsi="Times New Roman"/>
          <w:sz w:val="21"/>
        </w:rPr>
        <w:t xml:space="preserve">d Holdout MAE vs. Tuned Tree </w:t>
      </w:r>
      <w:r>
        <w:rPr>
          <w:rFonts w:ascii="Cambria Math" w:hAnsi="Cambria Math"/>
          <w:sz w:val="21"/>
        </w:rPr>
        <w:t>4.2325</w:t>
      </w:r>
      <w:r>
        <w:rPr>
          <w:rFonts w:ascii="Times New Roman" w:hAnsi="Times New Roman"/>
          <w:sz w:val="21"/>
        </w:rPr>
        <w:t xml:space="preserve">d vs. Tuned Linear </w:t>
      </w:r>
      <w:r>
        <w:rPr>
          <w:rFonts w:ascii="Cambria Math" w:hAnsi="Cambria Math"/>
          <w:sz w:val="21"/>
        </w:rPr>
        <w:t>4.4806</w:t>
      </w:r>
      <w:r>
        <w:rPr>
          <w:rFonts w:ascii="Times New Roman" w:hAnsi="Times New Roman"/>
          <w:sz w:val="21"/>
        </w:rPr>
        <w:t xml:space="preserve">d vs. Dummy </w:t>
      </w:r>
      <w:r>
        <w:rPr>
          <w:rFonts w:ascii="Cambria Math" w:hAnsi="Cambria Math"/>
          <w:sz w:val="21"/>
        </w:rPr>
        <w:t>4.8878</w:t>
      </w:r>
      <w:r>
        <w:rPr>
          <w:rFonts w:ascii="Times New Roman" w:hAnsi="Times New Roman"/>
          <w:sz w:val="21"/>
        </w:rPr>
        <w:t>d), proving that the added ensemble complexity is strictly justified by verifiable out-of-fold and holdout error reduction.</w:t>
      </w:r>
    </w:p>
    <w:p>
      <w:pPr>
        <w:spacing w:before="80" w:after="120" w:line="269" w:lineRule="auto"/>
        <w:ind w:left="504" w:right="288"/>
      </w:pPr>
      <w:r>
        <w:rPr>
          <w:rFonts w:ascii="Times New Roman" w:hAnsi="Times New Roman"/>
          <w:i/>
          <w:color w:val="334155"/>
          <w:sz w:val="20"/>
        </w:rPr>
        <w:t>(Refer to Figure C.1, Table C.1, and Table C.2 in Appendix C for hyperparameter tuning grid logs, complete combination search matrices, and side-by-side performance comparisons illustrating error reduction and bias-variance trade-offs achieved via tuning across all model tiers).</w:t>
      </w:r>
    </w:p>
    <w:p>
      <w:pPr>
        <w:pStyle w:val="Heading1"/>
        <w:pageBreakBefore/>
      </w:pPr>
      <w:r>
        <w:rPr>
          <w:rFonts w:ascii="Times New Roman" w:hAnsi="Times New Roman"/>
          <w:b/>
          <w:sz w:val="28"/>
        </w:rPr>
        <w:t>6. Asymmetric Cost-Sensitive Decision Threshold Policy Calibration</w:t>
      </w:r>
    </w:p>
    <w:p>
      <w:pPr>
        <w:pStyle w:val="Heading2"/>
      </w:pPr>
      <w:r>
        <w:rPr>
          <w:rFonts w:ascii="Times New Roman" w:hAnsi="Times New Roman"/>
          <w:b/>
          <w:sz w:val="25"/>
        </w:rPr>
        <w:t>6.1 The Failure of the Default Threshold (</w:t>
      </w:r>
      <w:r>
        <w:rPr>
          <w:rFonts w:ascii="Cambria Math" w:hAnsi="Cambria Math"/>
          <w:b/>
          <w:sz w:val="25"/>
        </w:rPr>
        <w:t>τ = 0.50</w:t>
      </w:r>
      <w:r>
        <w:rPr>
          <w:rFonts w:ascii="Times New Roman" w:hAnsi="Times New Roman"/>
          <w:b/>
          <w:sz w:val="25"/>
        </w:rPr>
        <w:t>)</w:t>
      </w:r>
    </w:p>
    <w:p>
      <w:pPr/>
      <w:r>
        <w:rPr>
          <w:rFonts w:ascii="Times New Roman" w:hAnsi="Times New Roman"/>
          <w:sz w:val="22"/>
        </w:rPr>
        <w:t xml:space="preserve">Standard binary classifiers apply a default mathematical threshold of </w:t>
      </w:r>
      <w:r>
        <w:rPr>
          <w:rFonts w:ascii="Cambria Math" w:hAnsi="Cambria Math"/>
          <w:sz w:val="22"/>
        </w:rPr>
        <w:t>τ = 0.50</w:t>
      </w:r>
      <w:r>
        <w:rPr>
          <w:rFonts w:ascii="Times New Roman" w:hAnsi="Times New Roman"/>
          <w:sz w:val="22"/>
        </w:rPr>
        <w:t>. In highly imbalanced operational domains (</w:t>
      </w:r>
      <w:r>
        <w:rPr>
          <w:rFonts w:ascii="Cambria Math" w:hAnsi="Cambria Math"/>
          <w:sz w:val="22"/>
        </w:rPr>
        <w:t>10.83\%</w:t>
      </w:r>
      <w:r>
        <w:rPr>
          <w:rFonts w:ascii="Times New Roman" w:hAnsi="Times New Roman"/>
          <w:sz w:val="22"/>
        </w:rPr>
        <w:t xml:space="preserve"> detractor prevalence; </w:t>
      </w:r>
      <w:r>
        <w:rPr>
          <w:rFonts w:ascii="Cambria Math" w:hAnsi="Cambria Math"/>
          <w:sz w:val="22"/>
        </w:rPr>
        <w:t>1,707</w:t>
      </w:r>
      <w:r>
        <w:rPr>
          <w:rFonts w:ascii="Times New Roman" w:hAnsi="Times New Roman"/>
          <w:sz w:val="22"/>
        </w:rPr>
        <w:t xml:space="preserve"> actual detractors out of </w:t>
      </w:r>
      <w:r>
        <w:rPr>
          <w:rFonts w:ascii="Cambria Math" w:hAnsi="Cambria Math"/>
          <w:sz w:val="22"/>
        </w:rPr>
        <w:t>15,769</w:t>
      </w:r>
      <w:r>
        <w:rPr>
          <w:rFonts w:ascii="Times New Roman" w:hAnsi="Times New Roman"/>
          <w:sz w:val="22"/>
        </w:rPr>
        <w:t xml:space="preserve"> holdout orders), this default threshold is disastrous (Project Brief Warning &amp; Teacher Pitfall 2):</w:t>
      </w:r>
    </w:p>
    <w:p>
      <w:pPr>
        <w:spacing w:before="0" w:after="50" w:line="276" w:lineRule="auto"/>
        <w:ind w:left="360" w:hanging="216"/>
      </w:pPr>
      <w:r>
        <w:rPr>
          <w:rFonts w:ascii="Arial" w:hAnsi="Arial"/>
          <w:b/>
          <w:color w:val="1F4E79"/>
          <w:sz w:val="20"/>
        </w:rPr>
        <w:t xml:space="preserve">• </w:t>
      </w:r>
      <w:r>
        <w:rPr>
          <w:rFonts w:ascii="Times New Roman" w:hAnsi="Times New Roman"/>
          <w:sz w:val="21"/>
        </w:rPr>
        <w:t xml:space="preserve">At </w:t>
      </w:r>
      <w:r>
        <w:rPr>
          <w:rFonts w:ascii="Cambria Math" w:hAnsi="Cambria Math"/>
          <w:sz w:val="21"/>
        </w:rPr>
        <w:t>τ = 0.50</w:t>
      </w:r>
      <w:r>
        <w:rPr>
          <w:rFonts w:ascii="Times New Roman" w:hAnsi="Times New Roman"/>
          <w:sz w:val="21"/>
        </w:rPr>
        <w:t xml:space="preserve">, the model caught only </w:t>
      </w:r>
      <w:r>
        <w:rPr>
          <w:rFonts w:ascii="Times New Roman" w:hAnsi="Times New Roman"/>
          <w:b/>
          <w:sz w:val="21"/>
        </w:rPr>
        <w:t>1 detractor order</w:t>
      </w:r>
      <w:r>
        <w:rPr>
          <w:rFonts w:ascii="Times New Roman" w:hAnsi="Times New Roman"/>
          <w:sz w:val="21"/>
        </w:rPr>
        <w:t xml:space="preserve"> out of 1,707 actual detractors on the holdout (Recall </w:t>
      </w:r>
      <w:r>
        <w:rPr>
          <w:rFonts w:ascii="Cambria Math" w:hAnsi="Cambria Math"/>
          <w:sz w:val="21"/>
        </w:rPr>
        <w:t>= 0.06\%</w:t>
      </w:r>
      <w:r>
        <w:rPr>
          <w:rFonts w:ascii="Times New Roman" w:hAnsi="Times New Roman"/>
          <w:sz w:val="21"/>
        </w:rPr>
        <w:t xml:space="preserve">, False Negatives </w:t>
      </w:r>
      <w:r>
        <w:rPr>
          <w:rFonts w:ascii="Cambria Math" w:hAnsi="Cambria Math"/>
          <w:sz w:val="21"/>
        </w:rPr>
        <w:t>= 1,706</w:t>
      </w:r>
      <w:r>
        <w:rPr>
          <w:rFonts w:ascii="Times New Roman" w:hAnsi="Times New Roman"/>
          <w:sz w:val="21"/>
        </w:rPr>
        <w:t xml:space="preserve">, False Positives </w:t>
      </w:r>
      <w:r>
        <w:rPr>
          <w:rFonts w:ascii="Cambria Math" w:hAnsi="Cambria Math"/>
          <w:sz w:val="21"/>
        </w:rPr>
        <w:t>= 2</w:t>
      </w:r>
      <w:r>
        <w:rPr>
          <w:rFonts w:ascii="Times New Roman" w:hAnsi="Times New Roman"/>
          <w:sz w:val="21"/>
        </w:rPr>
        <w:t xml:space="preserve">, Total Loss </w:t>
      </w:r>
      <w:r>
        <w:rPr>
          <w:rFonts w:ascii="Cambria Math" w:hAnsi="Cambria Math"/>
          <w:sz w:val="21"/>
        </w:rPr>
        <w:t>= 8,532</w:t>
      </w:r>
      <w:r>
        <w:rPr>
          <w:rFonts w:ascii="Times New Roman" w:hAnsi="Times New Roman"/>
          <w:sz w:val="21"/>
        </w:rPr>
        <w:t>).</w:t>
      </w:r>
    </w:p>
    <w:p>
      <w:pPr>
        <w:spacing w:before="0" w:after="50" w:line="276" w:lineRule="auto"/>
        <w:ind w:left="360" w:hanging="216"/>
      </w:pPr>
      <w:r>
        <w:rPr>
          <w:rFonts w:ascii="Arial" w:hAnsi="Arial"/>
          <w:b/>
          <w:color w:val="1F4E79"/>
          <w:sz w:val="20"/>
        </w:rPr>
        <w:t xml:space="preserve">• </w:t>
      </w:r>
      <w:r>
        <w:rPr>
          <w:rFonts w:ascii="Times New Roman" w:hAnsi="Times New Roman"/>
          <w:sz w:val="21"/>
        </w:rPr>
        <w:t xml:space="preserve">Operationally, a threshold of </w:t>
      </w:r>
      <w:r>
        <w:rPr>
          <w:rFonts w:ascii="Cambria Math" w:hAnsi="Cambria Math"/>
          <w:sz w:val="21"/>
        </w:rPr>
        <w:t>0.50</w:t>
      </w:r>
      <w:r>
        <w:rPr>
          <w:rFonts w:ascii="Times New Roman" w:hAnsi="Times New Roman"/>
          <w:sz w:val="21"/>
        </w:rPr>
        <w:t xml:space="preserve"> is virtually equivalent to a "no-alert" policy (</w:t>
      </w:r>
      <w:r>
        <w:rPr>
          <w:rFonts w:ascii="Cambria Math" w:hAnsi="Cambria Math"/>
          <w:sz w:val="21"/>
        </w:rPr>
        <w:t>8,535</w:t>
      </w:r>
      <w:r>
        <w:rPr>
          <w:rFonts w:ascii="Times New Roman" w:hAnsi="Times New Roman"/>
          <w:sz w:val="21"/>
        </w:rPr>
        <w:t xml:space="preserve"> cost), completely failing to protect the business from customer churn.</w:t>
      </w:r>
    </w:p>
    <w:p>
      <w:pPr>
        <w:pStyle w:val="Heading2"/>
      </w:pPr>
      <w:r>
        <w:rPr>
          <w:rFonts w:ascii="Times New Roman" w:hAnsi="Times New Roman"/>
          <w:b/>
          <w:sz w:val="25"/>
        </w:rPr>
        <w:t>6.2 Tutorial Week 7 Business Cost Optimization Framework</w:t>
      </w:r>
    </w:p>
    <w:p>
      <w:pPr/>
      <w:r>
        <w:rPr>
          <w:rFonts w:ascii="Times New Roman" w:hAnsi="Times New Roman"/>
          <w:sz w:val="22"/>
        </w:rPr>
        <w:t>Following Tutorial 7 Section 8, we formulated an explicit asymmetric business cost matrix reflecting operational reality:</w:t>
      </w:r>
    </w:p>
    <w:p>
      <w:pPr>
        <w:spacing w:before="0" w:after="50" w:line="276" w:lineRule="auto"/>
        <w:ind w:left="360" w:hanging="216"/>
      </w:pPr>
      <w:r>
        <w:rPr>
          <w:rFonts w:ascii="Arial" w:hAnsi="Arial"/>
          <w:b/>
          <w:color w:val="1F4E79"/>
          <w:sz w:val="20"/>
        </w:rPr>
        <w:t xml:space="preserve">• </w:t>
      </w:r>
      <w:r>
        <w:rPr>
          <w:rFonts w:ascii="Times New Roman" w:hAnsi="Times New Roman"/>
          <w:b/>
          <w:sz w:val="21"/>
        </w:rPr>
        <w:t>Cost of False Negative (C_FN = 5×)</w:t>
      </w:r>
      <w:r>
        <w:rPr>
          <w:rFonts w:ascii="Times New Roman" w:hAnsi="Times New Roman"/>
          <w:sz w:val="21"/>
        </w:rPr>
        <w:t>: Failing to identify a detractor results in unaddressed consumer frustration, 1-star public reviews, customer churn, and lost lifetime customer value (LTV).</w:t>
      </w:r>
    </w:p>
    <w:p>
      <w:pPr>
        <w:spacing w:before="0" w:after="50" w:line="276" w:lineRule="auto"/>
        <w:ind w:left="360" w:hanging="216"/>
      </w:pPr>
      <w:r>
        <w:rPr>
          <w:rFonts w:ascii="Arial" w:hAnsi="Arial"/>
          <w:b/>
          <w:color w:val="1F4E79"/>
          <w:sz w:val="20"/>
        </w:rPr>
        <w:t xml:space="preserve">• </w:t>
      </w:r>
      <w:r>
        <w:rPr>
          <w:rFonts w:ascii="Times New Roman" w:hAnsi="Times New Roman"/>
          <w:b/>
          <w:sz w:val="21"/>
        </w:rPr>
        <w:t>Cost of False Positive (C_FP = 1×)</w:t>
      </w:r>
      <w:r>
        <w:rPr>
          <w:rFonts w:ascii="Times New Roman" w:hAnsi="Times New Roman"/>
          <w:sz w:val="21"/>
        </w:rPr>
        <w:t>: Unnecessarily flagging a satisfied order results in a minor operational cost (an automated proactive email or dispatch status check).</w:t>
      </w:r>
    </w:p>
    <w:p>
      <w:pPr>
        <w:keepNext/>
        <w:spacing w:before="120" w:after="120"/>
        <w:jc w:val="center"/>
      </w:pPr>
      <w:r>
        <w:rPr>
          <w:rFonts w:ascii="Cambria Math" w:hAnsi="Cambria Math"/>
          <w:b/>
          <w:sz w:val="22"/>
        </w:rPr>
        <w:t>Total Business Loss(τ) = 5 · FN(τ) + 1 · FP(τ)</w:t>
      </w:r>
    </w:p>
    <w:p>
      <w:pPr>
        <w:pStyle w:val="Heading2"/>
      </w:pPr>
      <w:r>
        <w:rPr>
          <w:rFonts w:ascii="Times New Roman" w:hAnsi="Times New Roman"/>
          <w:b/>
          <w:sz w:val="25"/>
        </w:rPr>
        <w:t xml:space="preserve">6.3 Empirical Optimization to </w:t>
      </w:r>
      <w:r>
        <w:rPr>
          <w:rFonts w:ascii="Cambria Math" w:hAnsi="Cambria Math"/>
          <w:b/>
          <w:sz w:val="25"/>
        </w:rPr>
        <w:t>τ* = 0.17</w:t>
      </w:r>
    </w:p>
    <w:p>
      <w:pPr/>
      <w:r>
        <w:rPr>
          <w:rFonts w:ascii="Times New Roman" w:hAnsi="Times New Roman"/>
          <w:sz w:val="22"/>
        </w:rPr>
        <w:t xml:space="preserve">We swept </w:t>
      </w:r>
      <w:r>
        <w:rPr>
          <w:rFonts w:ascii="Cambria Math" w:hAnsi="Cambria Math"/>
          <w:sz w:val="22"/>
        </w:rPr>
        <w:t>τ ∈ [0.05, 0.60]</w:t>
      </w:r>
      <w:r>
        <w:rPr>
          <w:rFonts w:ascii="Times New Roman" w:hAnsi="Times New Roman"/>
          <w:sz w:val="22"/>
        </w:rPr>
        <w:t xml:space="preserve"> across 50 discrete increments on out-of-fold validation probabilities (</w:t>
      </w:r>
      <w:r>
        <w:rPr>
          <w:rFonts w:ascii="Consolas" w:hAnsi="Consolas"/>
          <w:color w:val="8A1E38"/>
          <w:sz w:val="21"/>
        </w:rPr>
        <w:t>src/models/configs/refinement_selected_v4.json</w:t>
      </w:r>
      <w:r>
        <w:rPr>
          <w:rFonts w:ascii="Times New Roman" w:hAnsi="Times New Roman"/>
          <w:sz w:val="22"/>
        </w:rPr>
        <w:t>), mapping the complete empirical loss curve:</w:t>
      </w:r>
    </w:p>
    <w:p>
      <w:pPr>
        <w:spacing w:before="0" w:after="50" w:line="276" w:lineRule="auto"/>
        <w:ind w:left="360" w:hanging="216"/>
      </w:pPr>
      <w:r>
        <w:rPr>
          <w:rFonts w:ascii="Arial" w:hAnsi="Arial"/>
          <w:b/>
          <w:color w:val="1F4E79"/>
          <w:sz w:val="20"/>
        </w:rPr>
        <w:t xml:space="preserve">• </w:t>
      </w:r>
      <w:r>
        <w:rPr>
          <w:rFonts w:ascii="Times New Roman" w:hAnsi="Times New Roman"/>
          <w:sz w:val="21"/>
        </w:rPr>
        <w:t xml:space="preserve">At </w:t>
      </w:r>
      <w:r>
        <w:rPr>
          <w:rFonts w:ascii="Cambria Math" w:hAnsi="Cambria Math"/>
          <w:sz w:val="21"/>
        </w:rPr>
        <w:t>τ = 0.10</w:t>
      </w:r>
      <w:r>
        <w:rPr>
          <w:rFonts w:ascii="Times New Roman" w:hAnsi="Times New Roman"/>
          <w:sz w:val="21"/>
        </w:rPr>
        <w:t>, False Positives explode (</w:t>
      </w:r>
      <w:r>
        <w:rPr>
          <w:rFonts w:ascii="Cambria Math" w:hAnsi="Cambria Math"/>
          <w:sz w:val="21"/>
        </w:rPr>
        <w:t>4,210</w:t>
      </w:r>
      <w:r>
        <w:rPr>
          <w:rFonts w:ascii="Times New Roman" w:hAnsi="Times New Roman"/>
          <w:sz w:val="21"/>
        </w:rPr>
        <w:t>), creating excessive operational overhead.</w:t>
      </w:r>
    </w:p>
    <w:p>
      <w:pPr>
        <w:spacing w:before="0" w:after="50" w:line="276" w:lineRule="auto"/>
        <w:ind w:left="360" w:hanging="216"/>
      </w:pPr>
      <w:r>
        <w:rPr>
          <w:rFonts w:ascii="Arial" w:hAnsi="Arial"/>
          <w:b/>
          <w:color w:val="1F4E79"/>
          <w:sz w:val="20"/>
        </w:rPr>
        <w:t xml:space="preserve">• </w:t>
      </w:r>
      <w:r>
        <w:rPr>
          <w:rFonts w:ascii="Times New Roman" w:hAnsi="Times New Roman"/>
          <w:sz w:val="21"/>
        </w:rPr>
        <w:t xml:space="preserve">At </w:t>
      </w:r>
      <w:r>
        <w:rPr>
          <w:rFonts w:ascii="Cambria Math" w:hAnsi="Cambria Math"/>
          <w:sz w:val="21"/>
        </w:rPr>
        <w:t>τ = 0.50</w:t>
      </w:r>
      <w:r>
        <w:rPr>
          <w:rFonts w:ascii="Times New Roman" w:hAnsi="Times New Roman"/>
          <w:sz w:val="21"/>
        </w:rPr>
        <w:t>, False Negatives dominate (</w:t>
      </w:r>
      <w:r>
        <w:rPr>
          <w:rFonts w:ascii="Cambria Math" w:hAnsi="Cambria Math"/>
          <w:sz w:val="21"/>
        </w:rPr>
        <w:t>1,706</w:t>
      </w:r>
      <w:r>
        <w:rPr>
          <w:rFonts w:ascii="Times New Roman" w:hAnsi="Times New Roman"/>
          <w:sz w:val="21"/>
        </w:rPr>
        <w:t xml:space="preserve">), driving total loss to </w:t>
      </w:r>
      <w:r>
        <w:rPr>
          <w:rFonts w:ascii="Cambria Math" w:hAnsi="Cambria Math"/>
          <w:sz w:val="21"/>
        </w:rPr>
        <w:t>8,532</w:t>
      </w:r>
      <w:r>
        <w:rPr>
          <w:rFonts w:ascii="Times New Roman" w:hAnsi="Times New Roman"/>
          <w:sz w:val="21"/>
        </w:rPr>
        <w:t>.</w:t>
      </w:r>
    </w:p>
    <w:p>
      <w:pPr>
        <w:spacing w:before="0" w:after="50" w:line="276" w:lineRule="auto"/>
        <w:ind w:left="360" w:hanging="216"/>
      </w:pPr>
      <w:r>
        <w:rPr>
          <w:rFonts w:ascii="Arial" w:hAnsi="Arial"/>
          <w:b/>
          <w:color w:val="1F4E79"/>
          <w:sz w:val="20"/>
        </w:rPr>
        <w:t xml:space="preserve">• </w:t>
      </w:r>
      <w:r>
        <w:rPr>
          <w:rFonts w:ascii="Times New Roman" w:hAnsi="Times New Roman"/>
          <w:b/>
          <w:sz w:val="21"/>
        </w:rPr>
        <w:t>Global Minimum</w:t>
      </w:r>
      <w:r>
        <w:rPr>
          <w:rFonts w:ascii="Times New Roman" w:hAnsi="Times New Roman"/>
          <w:sz w:val="21"/>
        </w:rPr>
        <w:t>: The loss curve reaches an optimal operating trough at *</w:t>
      </w:r>
      <w:r>
        <w:rPr>
          <w:rFonts w:ascii="Times New Roman" w:hAnsi="Times New Roman"/>
          <w:i/>
          <w:sz w:val="21"/>
        </w:rPr>
        <w:t>τ^</w:t>
      </w:r>
      <w:r>
        <w:rPr>
          <w:rFonts w:ascii="Times New Roman" w:hAnsi="Times New Roman"/>
          <w:sz w:val="21"/>
        </w:rPr>
        <w:t xml:space="preserve"> = 0.17</w:t>
      </w:r>
      <w:r>
        <w:rPr>
          <w:rFonts w:ascii="Cambria Math" w:hAnsi="Cambria Math"/>
          <w:sz w:val="21"/>
        </w:rPr>
        <w:t>**, minimizing total business loss to **</w:t>
      </w:r>
      <w:r>
        <w:rPr>
          <w:rFonts w:ascii="Times New Roman" w:hAnsi="Times New Roman"/>
          <w:sz w:val="21"/>
        </w:rPr>
        <w:t>8,114**.</w:t>
      </w:r>
    </w:p>
    <w:p>
      <w:pPr>
        <w:spacing w:before="80" w:after="120" w:line="269" w:lineRule="auto"/>
        <w:ind w:left="504" w:right="288"/>
      </w:pPr>
      <w:r>
        <w:rPr>
          <w:rFonts w:ascii="Times New Roman" w:hAnsi="Times New Roman"/>
          <w:i/>
          <w:color w:val="334155"/>
          <w:sz w:val="20"/>
        </w:rPr>
        <w:t>(Refer to Figure E.2 in Appendix E for the Four-Panel Asymmetric Cost Curve Optimization and Figure E.3 in Appendix E for the Probability Calibration &amp; Reliability Curve).</w:t>
      </w:r>
      <w:r>
        <w:rPr>
          <w:rFonts w:ascii="Times New Roman" w:hAnsi="Times New Roman"/>
          <w:i/>
          <w:color w:val="334155"/>
          <w:sz w:val="20"/>
        </w:rPr>
        <w:t xml:space="preserve"> </w:t>
      </w:r>
      <w:r>
        <w:rPr>
          <w:rFonts w:ascii="Times New Roman" w:hAnsi="Times New Roman"/>
          <w:i/>
          <w:color w:val="334155"/>
          <w:sz w:val="20"/>
        </w:rPr>
        <w:t>(Refer to Table E.3 in Appendix E for the complete Decision Threshold Policy Comparison Matrix detailing confusion counts, precision, recall, and business losses across policies).</w:t>
      </w:r>
    </w:p>
    <w:p>
      <w:pPr>
        <w:pStyle w:val="Heading3"/>
      </w:pPr>
      <w:r>
        <w:rPr>
          <w:rFonts w:ascii="Times New Roman" w:hAnsi="Times New Roman"/>
          <w:b/>
          <w:sz w:val="23"/>
        </w:rPr>
        <w:t>Distinguishing Cost Improvement Interpretations</w:t>
      </w:r>
    </w:p>
    <w:p>
      <w:pPr>
        <w:spacing w:before="0" w:after="50" w:line="276" w:lineRule="auto"/>
        <w:ind w:left="360" w:hanging="216"/>
      </w:pPr>
      <w:r>
        <w:rPr>
          <w:rFonts w:ascii="Arial" w:hAnsi="Arial"/>
          <w:b/>
          <w:color w:val="1F4E79"/>
          <w:sz w:val="20"/>
        </w:rPr>
        <w:t xml:space="preserve">• </w:t>
      </w:r>
      <w:r>
        <w:rPr>
          <w:rFonts w:ascii="Times New Roman" w:hAnsi="Times New Roman"/>
          <w:b/>
          <w:sz w:val="21"/>
        </w:rPr>
        <w:t>Holdout Threshold Optimization Gain</w:t>
      </w:r>
      <w:r>
        <w:rPr>
          <w:rFonts w:ascii="Times New Roman" w:hAnsi="Times New Roman"/>
          <w:sz w:val="21"/>
        </w:rPr>
        <w:t xml:space="preserve">: Calibrating </w:t>
      </w:r>
      <w:r>
        <w:rPr>
          <w:rFonts w:ascii="Cambria Math" w:hAnsi="Cambria Math"/>
          <w:sz w:val="21"/>
        </w:rPr>
        <w:t>τ = 0.50 → 0.17</w:t>
      </w:r>
      <w:r>
        <w:rPr>
          <w:rFonts w:ascii="Times New Roman" w:hAnsi="Times New Roman"/>
          <w:sz w:val="21"/>
        </w:rPr>
        <w:t xml:space="preserve"> on this terminal holdout cohort yields a </w:t>
      </w:r>
      <w:r>
        <w:rPr>
          <w:rFonts w:ascii="Times New Roman" w:hAnsi="Times New Roman"/>
          <w:b/>
          <w:sz w:val="21"/>
        </w:rPr>
        <w:t>4.90\% net cost reduction (8,532 → 8,114)</w:t>
      </w:r>
      <w:r>
        <w:rPr>
          <w:rFonts w:ascii="Times New Roman" w:hAnsi="Times New Roman"/>
          <w:sz w:val="21"/>
        </w:rPr>
        <w:t xml:space="preserve">, saving </w:t>
      </w:r>
      <w:r>
        <w:rPr>
          <w:rFonts w:ascii="Cambria Math" w:hAnsi="Cambria Math"/>
          <w:sz w:val="21"/>
        </w:rPr>
        <w:t>418</w:t>
      </w:r>
      <w:r>
        <w:rPr>
          <w:rFonts w:ascii="Times New Roman" w:hAnsi="Times New Roman"/>
          <w:sz w:val="21"/>
        </w:rPr>
        <w:t xml:space="preserve"> operational cost units while achieving the primary operational breakthrough of a </w:t>
      </w:r>
      <w:r>
        <w:rPr>
          <w:rFonts w:ascii="Times New Roman" w:hAnsi="Times New Roman"/>
          <w:b/>
          <w:sz w:val="21"/>
        </w:rPr>
        <w:t>456× surge in detected detractors (1 → 456)</w:t>
      </w:r>
      <w:r>
        <w:rPr>
          <w:rFonts w:ascii="Times New Roman" w:hAnsi="Times New Roman"/>
          <w:sz w:val="21"/>
        </w:rPr>
        <w:t xml:space="preserve"> (Recall </w:t>
      </w:r>
      <w:r>
        <w:rPr>
          <w:rFonts w:ascii="Cambria Math" w:hAnsi="Cambria Math"/>
          <w:sz w:val="21"/>
        </w:rPr>
        <w:t>= 26.71\%</w:t>
      </w:r>
      <w:r>
        <w:rPr>
          <w:rFonts w:ascii="Times New Roman" w:hAnsi="Times New Roman"/>
          <w:sz w:val="21"/>
        </w:rPr>
        <w:t xml:space="preserve">, Precision </w:t>
      </w:r>
      <w:r>
        <w:rPr>
          <w:rFonts w:ascii="Cambria Math" w:hAnsi="Cambria Math"/>
          <w:sz w:val="21"/>
        </w:rPr>
        <w:t>= 19.70\%</w:t>
      </w:r>
      <w:r>
        <w:rPr>
          <w:rFonts w:ascii="Times New Roman" w:hAnsi="Times New Roman"/>
          <w:sz w:val="21"/>
        </w:rPr>
        <w:t xml:space="preserve">, F1 </w:t>
      </w:r>
      <w:r>
        <w:rPr>
          <w:rFonts w:ascii="Cambria Math" w:hAnsi="Cambria Math"/>
          <w:sz w:val="21"/>
        </w:rPr>
        <w:t>= 0.2268</w:t>
      </w:r>
      <w:r>
        <w:rPr>
          <w:rFonts w:ascii="Times New Roman" w:hAnsi="Times New Roman"/>
          <w:sz w:val="21"/>
        </w:rPr>
        <w:t>).</w:t>
      </w:r>
    </w:p>
    <w:p>
      <w:pPr>
        <w:spacing w:before="0" w:after="50" w:line="276" w:lineRule="auto"/>
        <w:ind w:left="360" w:hanging="216"/>
      </w:pPr>
      <w:r>
        <w:rPr>
          <w:rFonts w:ascii="Arial" w:hAnsi="Arial"/>
          <w:b/>
          <w:color w:val="1F4E79"/>
          <w:sz w:val="20"/>
        </w:rPr>
        <w:t xml:space="preserve">• </w:t>
      </w:r>
      <w:r>
        <w:rPr>
          <w:rFonts w:ascii="Times New Roman" w:hAnsi="Times New Roman"/>
          <w:b/>
          <w:sz w:val="21"/>
        </w:rPr>
        <w:t>vs. No-Alert Benchmark</w:t>
      </w:r>
      <w:r>
        <w:rPr>
          <w:rFonts w:ascii="Times New Roman" w:hAnsi="Times New Roman"/>
          <w:sz w:val="21"/>
        </w:rPr>
        <w:t xml:space="preserve">: Achieves a </w:t>
      </w:r>
      <w:r>
        <w:rPr>
          <w:rFonts w:ascii="Times New Roman" w:hAnsi="Times New Roman"/>
          <w:b/>
          <w:sz w:val="21"/>
        </w:rPr>
        <w:t>4.93\% net cost reduction</w:t>
      </w:r>
      <w:r>
        <w:rPr>
          <w:rFonts w:ascii="Times New Roman" w:hAnsi="Times New Roman"/>
          <w:sz w:val="21"/>
        </w:rPr>
        <w:t xml:space="preserve"> (</w:t>
      </w:r>
      <w:r>
        <w:rPr>
          <w:rFonts w:ascii="Cambria Math" w:hAnsi="Cambria Math"/>
          <w:sz w:val="21"/>
        </w:rPr>
        <w:t>8,535 → 8,114</w:t>
      </w:r>
      <w:r>
        <w:rPr>
          <w:rFonts w:ascii="Times New Roman" w:hAnsi="Times New Roman"/>
          <w:sz w:val="21"/>
        </w:rPr>
        <w:t xml:space="preserve">, saving </w:t>
      </w:r>
      <w:r>
        <w:rPr>
          <w:rFonts w:ascii="Cambria Math" w:hAnsi="Cambria Math"/>
          <w:sz w:val="21"/>
        </w:rPr>
        <w:t>421</w:t>
      </w:r>
      <w:r>
        <w:rPr>
          <w:rFonts w:ascii="Times New Roman" w:hAnsi="Times New Roman"/>
          <w:sz w:val="21"/>
        </w:rPr>
        <w:t xml:space="preserve"> cost units).</w:t>
      </w:r>
    </w:p>
    <w:p>
      <w:pPr>
        <w:spacing w:before="0" w:after="50" w:line="276" w:lineRule="auto"/>
        <w:ind w:left="360" w:hanging="216"/>
      </w:pPr>
      <w:r>
        <w:rPr>
          <w:rFonts w:ascii="Arial" w:hAnsi="Arial"/>
          <w:b/>
          <w:color w:val="1F4E79"/>
          <w:sz w:val="20"/>
        </w:rPr>
        <w:t xml:space="preserve">• </w:t>
      </w:r>
      <w:r>
        <w:rPr>
          <w:rFonts w:ascii="Times New Roman" w:hAnsi="Times New Roman"/>
          <w:i/>
          <w:sz w:val="21"/>
        </w:rPr>
        <w:t>Cart-Integrity Certification</w:t>
      </w:r>
      <w:r>
        <w:rPr>
          <w:rFonts w:ascii="Times New Roman" w:hAnsi="Times New Roman"/>
          <w:sz w:val="21"/>
        </w:rPr>
        <w:t>: Unlike previous unconstrained iterations where leaky zero-item cancellations artificially inflated detractor scores, this calibrated policy relies 100% on genuine pre-checkout signals (seasonality, vendor count, interstate borders).</w:t>
      </w:r>
    </w:p>
    <w:p>
      <w:pPr>
        <w:pStyle w:val="Heading1"/>
        <w:pageBreakBefore/>
      </w:pPr>
      <w:r>
        <w:rPr>
          <w:rFonts w:ascii="Times New Roman" w:hAnsi="Times New Roman"/>
          <w:b/>
          <w:sz w:val="28"/>
        </w:rPr>
        <w:t>7. Final Evaluation, Generalization &amp; Subgroup Error Analysis</w:t>
      </w:r>
    </w:p>
    <w:p>
      <w:pPr>
        <w:pStyle w:val="Heading2"/>
      </w:pPr>
      <w:r>
        <w:rPr>
          <w:rFonts w:ascii="Times New Roman" w:hAnsi="Times New Roman"/>
          <w:b/>
          <w:sz w:val="25"/>
        </w:rPr>
        <w:t>7.1 Train vs. Validate vs. Test Generalization Matrix (Teacher Pitfall 5)</w:t>
      </w:r>
    </w:p>
    <w:p>
      <w:pPr/>
      <w:r>
        <w:rPr>
          <w:rFonts w:ascii="Times New Roman" w:hAnsi="Times New Roman"/>
          <w:sz w:val="22"/>
        </w:rPr>
        <w:t>To rigorously evaluate model stability and disprove overfitting (Teacher Pitfall 5), we present the complete performance progression across training folds, chronological validation windows, and the unseen terminal holdout cohort (</w:t>
      </w:r>
      <w:r>
        <w:rPr>
          <w:rFonts w:ascii="Consolas" w:hAnsi="Consolas"/>
          <w:color w:val="8A1E38"/>
          <w:sz w:val="21"/>
        </w:rPr>
        <w:t>artifacts/metrics/refinement-selected-v4/terminal/train_val_test_comparison.csv</w:t>
      </w:r>
      <w:r>
        <w:rPr>
          <w:rFonts w:ascii="Times New Roman" w:hAnsi="Times New Roman"/>
          <w:sz w:val="22"/>
        </w:rPr>
        <w:t>).</w:t>
      </w:r>
    </w:p>
    <w:p>
      <w:pPr>
        <w:spacing w:before="80" w:after="120" w:line="269" w:lineRule="auto"/>
        <w:ind w:left="504" w:right="288"/>
      </w:pPr>
      <w:r>
        <w:rPr>
          <w:rFonts w:ascii="Times New Roman" w:hAnsi="Times New Roman"/>
          <w:i/>
          <w:color w:val="334155"/>
          <w:sz w:val="20"/>
        </w:rPr>
        <w:t>(Refer to Table E.1 and Figure E.4 in Appendix E for the Complete Train-Validate-Test Generalization Matrix and visual benchmark summary across all metrics).</w:t>
      </w:r>
    </w:p>
    <w:p>
      <w:pPr/>
      <w:r>
        <w:rPr>
          <w:rFonts w:ascii="Times New Roman" w:hAnsi="Times New Roman"/>
          <w:sz w:val="22"/>
        </w:rPr>
        <w:t>Key empirical takeaways from the generalization audit include:</w:t>
      </w:r>
    </w:p>
    <w:p>
      <w:pPr>
        <w:spacing w:before="0" w:after="50" w:line="276" w:lineRule="auto"/>
        <w:ind w:left="360" w:hanging="216"/>
      </w:pPr>
      <w:r>
        <w:rPr>
          <w:rFonts w:ascii="Arial" w:hAnsi="Arial"/>
          <w:b/>
          <w:color w:val="1F4E79"/>
          <w:sz w:val="20"/>
        </w:rPr>
        <w:t xml:space="preserve">• </w:t>
      </w:r>
      <w:r>
        <w:rPr>
          <w:rFonts w:ascii="Times New Roman" w:hAnsi="Times New Roman"/>
          <w:b/>
          <w:sz w:val="21"/>
        </w:rPr>
        <w:t>Regression MAE &amp; RMSE</w:t>
      </w:r>
      <w:r>
        <w:rPr>
          <w:rFonts w:ascii="Times New Roman" w:hAnsi="Times New Roman"/>
          <w:sz w:val="21"/>
        </w:rPr>
        <w:t>: Holdout MAE (</w:t>
      </w:r>
      <w:r>
        <w:rPr>
          <w:rFonts w:ascii="Cambria Math" w:hAnsi="Cambria Math"/>
          <w:sz w:val="21"/>
        </w:rPr>
        <w:t>3.7185</w:t>
      </w:r>
      <w:r>
        <w:rPr>
          <w:rFonts w:ascii="Times New Roman" w:hAnsi="Times New Roman"/>
          <w:sz w:val="21"/>
        </w:rPr>
        <w:t xml:space="preserve"> days) and RMSE (</w:t>
      </w:r>
      <w:r>
        <w:rPr>
          <w:rFonts w:ascii="Cambria Math" w:hAnsi="Cambria Math"/>
          <w:sz w:val="21"/>
        </w:rPr>
        <w:t>5.3085</w:t>
      </w:r>
      <w:r>
        <w:rPr>
          <w:rFonts w:ascii="Times New Roman" w:hAnsi="Times New Roman"/>
          <w:sz w:val="21"/>
        </w:rPr>
        <w:t xml:space="preserve"> days) demonstrate excellent generalization, with holdout error performing better than the 5-fold validation mean (</w:t>
      </w:r>
      <w:r>
        <w:rPr>
          <w:rFonts w:ascii="Cambria Math" w:hAnsi="Cambria Math"/>
          <w:sz w:val="21"/>
        </w:rPr>
        <w:t>5.24 ± 1.15</w:t>
      </w:r>
      <w:r>
        <w:rPr>
          <w:rFonts w:ascii="Times New Roman" w:hAnsi="Times New Roman"/>
          <w:sz w:val="21"/>
        </w:rPr>
        <w:t>d) due to seasonal shipping stability in mid-2018.</w:t>
      </w:r>
    </w:p>
    <w:p>
      <w:pPr>
        <w:spacing w:before="0" w:after="50" w:line="276" w:lineRule="auto"/>
        <w:ind w:left="360" w:hanging="216"/>
      </w:pPr>
      <w:r>
        <w:rPr>
          <w:rFonts w:ascii="Arial" w:hAnsi="Arial"/>
          <w:b/>
          <w:color w:val="1F4E79"/>
          <w:sz w:val="20"/>
        </w:rPr>
        <w:t xml:space="preserve">• </w:t>
      </w:r>
      <w:r>
        <w:rPr>
          <w:rFonts w:ascii="Times New Roman" w:hAnsi="Times New Roman"/>
          <w:b/>
          <w:sz w:val="21"/>
        </w:rPr>
        <w:t>R² Score</w:t>
      </w:r>
      <w:r>
        <w:rPr>
          <w:rFonts w:ascii="Times New Roman" w:hAnsi="Times New Roman"/>
          <w:sz w:val="21"/>
        </w:rPr>
        <w:t xml:space="preserve">: Tuned Random Forest achieved holdout </w:t>
      </w:r>
      <w:r>
        <w:rPr>
          <w:rFonts w:ascii="Cambria Math" w:hAnsi="Cambria Math"/>
          <w:sz w:val="21"/>
        </w:rPr>
        <w:t>R² = +0.1871</w:t>
      </w:r>
      <w:r>
        <w:rPr>
          <w:rFonts w:ascii="Times New Roman" w:hAnsi="Times New Roman"/>
          <w:sz w:val="21"/>
        </w:rPr>
        <w:t xml:space="preserve">, completely reversing the catastrophic overfitting and negative </w:t>
      </w:r>
      <w:r>
        <w:rPr>
          <w:rFonts w:ascii="Cambria Math" w:hAnsi="Cambria Math"/>
          <w:sz w:val="21"/>
        </w:rPr>
        <w:t>R²</w:t>
      </w:r>
      <w:r>
        <w:rPr>
          <w:rFonts w:ascii="Times New Roman" w:hAnsi="Times New Roman"/>
          <w:sz w:val="21"/>
        </w:rPr>
        <w:t xml:space="preserve"> of the Cycle 1 single decision tree (</w:t>
      </w:r>
      <w:r>
        <w:rPr>
          <w:rFonts w:ascii="Cambria Math" w:hAnsi="Cambria Math"/>
          <w:sz w:val="21"/>
        </w:rPr>
        <w:t>-0.3601</w:t>
      </w:r>
      <w:r>
        <w:rPr>
          <w:rFonts w:ascii="Times New Roman" w:hAnsi="Times New Roman"/>
          <w:sz w:val="21"/>
        </w:rPr>
        <w:t>).</w:t>
      </w:r>
    </w:p>
    <w:p>
      <w:pPr>
        <w:spacing w:before="0" w:after="50" w:line="276" w:lineRule="auto"/>
        <w:ind w:left="360" w:hanging="216"/>
      </w:pPr>
      <w:r>
        <w:rPr>
          <w:rFonts w:ascii="Arial" w:hAnsi="Arial"/>
          <w:b/>
          <w:color w:val="1F4E79"/>
          <w:sz w:val="20"/>
        </w:rPr>
        <w:t xml:space="preserve">• </w:t>
      </w:r>
      <w:r>
        <w:rPr>
          <w:rFonts w:ascii="Times New Roman" w:hAnsi="Times New Roman"/>
          <w:b/>
          <w:sz w:val="21"/>
        </w:rPr>
        <w:t>Classification Discrimination</w:t>
      </w:r>
      <w:r>
        <w:rPr>
          <w:rFonts w:ascii="Times New Roman" w:hAnsi="Times New Roman"/>
          <w:sz w:val="21"/>
        </w:rPr>
        <w:t>: Holdout Average Precision (</w:t>
      </w:r>
      <w:r>
        <w:rPr>
          <w:rFonts w:ascii="Cambria Math" w:hAnsi="Cambria Math"/>
          <w:sz w:val="21"/>
        </w:rPr>
        <w:t>0.1823</w:t>
      </w:r>
      <w:r>
        <w:rPr>
          <w:rFonts w:ascii="Times New Roman" w:hAnsi="Times New Roman"/>
          <w:sz w:val="21"/>
        </w:rPr>
        <w:t>) significantly outperforms the no-skill baseline prevalence (</w:t>
      </w:r>
      <w:r>
        <w:rPr>
          <w:rFonts w:ascii="Cambria Math" w:hAnsi="Cambria Math"/>
          <w:sz w:val="21"/>
        </w:rPr>
        <w:t>10.83\%</w:t>
      </w:r>
      <w:r>
        <w:rPr>
          <w:rFonts w:ascii="Times New Roman" w:hAnsi="Times New Roman"/>
          <w:sz w:val="21"/>
        </w:rPr>
        <w:t>), while ROC-AUC (</w:t>
      </w:r>
      <w:r>
        <w:rPr>
          <w:rFonts w:ascii="Cambria Math" w:hAnsi="Cambria Math"/>
          <w:sz w:val="21"/>
        </w:rPr>
        <w:t>0.5864</w:t>
      </w:r>
      <w:r>
        <w:rPr>
          <w:rFonts w:ascii="Times New Roman" w:hAnsi="Times New Roman"/>
          <w:sz w:val="21"/>
        </w:rPr>
        <w:t>) and Brier score (</w:t>
      </w:r>
      <w:r>
        <w:rPr>
          <w:rFonts w:ascii="Cambria Math" w:hAnsi="Cambria Math"/>
          <w:sz w:val="21"/>
        </w:rPr>
        <w:t>0.0949</w:t>
      </w:r>
      <w:r>
        <w:rPr>
          <w:rFonts w:ascii="Times New Roman" w:hAnsi="Times New Roman"/>
          <w:sz w:val="21"/>
        </w:rPr>
        <w:t>) demonstrate consistent calibration and ranking power across temporal windows.</w:t>
      </w:r>
    </w:p>
    <w:p>
      <w:pPr>
        <w:pStyle w:val="Heading2"/>
      </w:pPr>
      <w:r>
        <w:rPr>
          <w:rFonts w:ascii="Times New Roman" w:hAnsi="Times New Roman"/>
          <w:b/>
          <w:sz w:val="25"/>
        </w:rPr>
        <w:t>7.2 Head-to-Head Model Family Progression &amp; Complexity Justification</w:t>
      </w:r>
    </w:p>
    <w:p>
      <w:pPr/>
      <w:r>
        <w:rPr>
          <w:rFonts w:ascii="Times New Roman" w:hAnsi="Times New Roman"/>
          <w:sz w:val="22"/>
        </w:rPr>
        <w:t>In compliance with the project brief requirement to evaluate multiple model families and justify added complexity through empirical evidence, both Cycle 1 and Cycle 2 executed an identical four-tier model progression from basic to complex learners, incorporating hyperparameter tuning at every stage:</w:t>
      </w:r>
    </w:p>
    <w:p>
      <w:pPr>
        <w:spacing w:before="0" w:after="50" w:line="276" w:lineRule="auto"/>
        <w:ind w:left="403" w:hanging="259"/>
      </w:pPr>
      <w:r>
        <w:rPr>
          <w:rFonts w:ascii="Times New Roman" w:hAnsi="Times New Roman"/>
          <w:b/>
          <w:color w:val="1F4E79"/>
          <w:sz w:val="21"/>
        </w:rPr>
        <w:t xml:space="preserve">1. </w:t>
      </w:r>
      <w:r>
        <w:rPr>
          <w:rFonts w:ascii="Times New Roman" w:hAnsi="Times New Roman"/>
          <w:b/>
          <w:sz w:val="21"/>
        </w:rPr>
        <w:t>Tier 1 (Naive Baseline → Linear Model)</w:t>
      </w:r>
      <w:r>
        <w:rPr>
          <w:rFonts w:ascii="Times New Roman" w:hAnsi="Times New Roman"/>
          <w:sz w:val="21"/>
        </w:rPr>
        <w:t>: Moving from a non-learning heuristic to a regularized linear model (</w:t>
      </w:r>
      <w:r>
        <w:rPr>
          <w:rFonts w:ascii="Consolas" w:hAnsi="Consolas"/>
          <w:color w:val="8A1E38"/>
          <w:sz w:val="20"/>
        </w:rPr>
        <w:t>Ridge</w:t>
      </w:r>
      <w:r>
        <w:rPr>
          <w:rFonts w:ascii="Times New Roman" w:hAnsi="Times New Roman"/>
          <w:sz w:val="21"/>
        </w:rPr>
        <w:t xml:space="preserve"> </w:t>
      </w:r>
      <w:r>
        <w:rPr>
          <w:rFonts w:ascii="Cambria Math" w:hAnsi="Cambria Math"/>
          <w:sz w:val="21"/>
        </w:rPr>
        <w:t>α=1.0</w:t>
      </w:r>
      <w:r>
        <w:rPr>
          <w:rFonts w:ascii="Times New Roman" w:hAnsi="Times New Roman"/>
          <w:sz w:val="21"/>
        </w:rPr>
        <w:t xml:space="preserve">, </w:t>
      </w:r>
      <w:r>
        <w:rPr>
          <w:rFonts w:ascii="Consolas" w:hAnsi="Consolas"/>
          <w:color w:val="8A1E38"/>
          <w:sz w:val="20"/>
        </w:rPr>
        <w:t>LogisticRegression</w:t>
      </w:r>
      <w:r>
        <w:rPr>
          <w:rFonts w:ascii="Times New Roman" w:hAnsi="Times New Roman"/>
          <w:sz w:val="21"/>
        </w:rPr>
        <w:t xml:space="preserve"> </w:t>
      </w:r>
      <w:r>
        <w:rPr>
          <w:rFonts w:ascii="Cambria Math" w:hAnsi="Cambria Math"/>
          <w:sz w:val="21"/>
        </w:rPr>
        <w:t>C=0.01</w:t>
      </w:r>
      <w:r>
        <w:rPr>
          <w:rFonts w:ascii="Times New Roman" w:hAnsi="Times New Roman"/>
          <w:sz w:val="21"/>
        </w:rPr>
        <w:t>) established the first meaningful predictive lift (</w:t>
      </w:r>
      <w:r>
        <w:rPr>
          <w:rFonts w:ascii="Cambria Math" w:hAnsi="Cambria Math"/>
          <w:sz w:val="21"/>
        </w:rPr>
        <w:t>-8.3\%</w:t>
      </w:r>
      <w:r>
        <w:rPr>
          <w:rFonts w:ascii="Times New Roman" w:hAnsi="Times New Roman"/>
          <w:sz w:val="21"/>
        </w:rPr>
        <w:t xml:space="preserve"> MAE in regression; </w:t>
      </w:r>
      <w:r>
        <w:rPr>
          <w:rFonts w:ascii="Cambria Math" w:hAnsi="Cambria Math"/>
          <w:sz w:val="21"/>
        </w:rPr>
        <w:t>+61.8\%</w:t>
      </w:r>
      <w:r>
        <w:rPr>
          <w:rFonts w:ascii="Times New Roman" w:hAnsi="Times New Roman"/>
          <w:sz w:val="21"/>
        </w:rPr>
        <w:t xml:space="preserve"> AP in classification). However, the flat hyperplane could not capture geographic non-linearities (</w:t>
      </w:r>
      <w:r>
        <w:rPr>
          <w:rFonts w:ascii="Cambria Math" w:hAnsi="Cambria Math"/>
          <w:sz w:val="21"/>
        </w:rPr>
        <w:t>R² ≈ 0</w:t>
      </w:r>
      <w:r>
        <w:rPr>
          <w:rFonts w:ascii="Times New Roman" w:hAnsi="Times New Roman"/>
          <w:sz w:val="21"/>
        </w:rPr>
        <w:t>).</w:t>
      </w:r>
    </w:p>
    <w:p>
      <w:pPr>
        <w:spacing w:before="0" w:after="50" w:line="276" w:lineRule="auto"/>
        <w:ind w:left="403" w:hanging="259"/>
      </w:pPr>
      <w:r>
        <w:rPr>
          <w:rFonts w:ascii="Times New Roman" w:hAnsi="Times New Roman"/>
          <w:b/>
          <w:color w:val="1F4E79"/>
          <w:sz w:val="21"/>
        </w:rPr>
        <w:t xml:space="preserve">2. </w:t>
      </w:r>
      <w:r>
        <w:rPr>
          <w:rFonts w:ascii="Times New Roman" w:hAnsi="Times New Roman"/>
          <w:b/>
          <w:sz w:val="21"/>
        </w:rPr>
        <w:t>Tier 2 (Linear Model → Single Decision Tree)</w:t>
      </w:r>
      <w:r>
        <w:rPr>
          <w:rFonts w:ascii="Times New Roman" w:hAnsi="Times New Roman"/>
          <w:sz w:val="21"/>
        </w:rPr>
        <w:t>: Moving to single decision trees exposed the severe danger of unconstrained variance (Teacher Pitfall 1). Untuned trees collapsed on holdout validation (</w:t>
      </w:r>
      <w:r>
        <w:rPr>
          <w:rFonts w:ascii="Cambria Math" w:hAnsi="Cambria Math"/>
          <w:sz w:val="21"/>
        </w:rPr>
        <w:t>5.54</w:t>
      </w:r>
      <w:r>
        <w:rPr>
          <w:rFonts w:ascii="Times New Roman" w:hAnsi="Times New Roman"/>
          <w:sz w:val="21"/>
        </w:rPr>
        <w:t xml:space="preserve">d MAE, negative </w:t>
      </w:r>
      <w:r>
        <w:rPr>
          <w:rFonts w:ascii="Cambria Math" w:hAnsi="Cambria Math"/>
          <w:sz w:val="21"/>
        </w:rPr>
        <w:t>R²</w:t>
      </w:r>
      <w:r>
        <w:rPr>
          <w:rFonts w:ascii="Times New Roman" w:hAnsi="Times New Roman"/>
          <w:sz w:val="21"/>
        </w:rPr>
        <w:t>), while pre-pruned trees stabilized variance but plateaued due to coarse axis-aligned boundaries.</w:t>
      </w:r>
    </w:p>
    <w:p>
      <w:pPr>
        <w:spacing w:before="0" w:after="50" w:line="276" w:lineRule="auto"/>
        <w:ind w:left="403" w:hanging="259"/>
      </w:pPr>
      <w:r>
        <w:rPr>
          <w:rFonts w:ascii="Times New Roman" w:hAnsi="Times New Roman"/>
          <w:b/>
          <w:color w:val="1F4E79"/>
          <w:sz w:val="21"/>
        </w:rPr>
        <w:t xml:space="preserve">3. </w:t>
      </w:r>
      <w:r>
        <w:rPr>
          <w:rFonts w:ascii="Times New Roman" w:hAnsi="Times New Roman"/>
          <w:b/>
          <w:sz w:val="21"/>
        </w:rPr>
        <w:t>Tier 3 (Decision Tree → Bagging Ensemble)</w:t>
      </w:r>
      <w:r>
        <w:rPr>
          <w:rFonts w:ascii="Times New Roman" w:hAnsi="Times New Roman"/>
          <w:sz w:val="21"/>
        </w:rPr>
        <w:t>: Advancing to Random Forest ensembles mitigated tree variance via bootstrap aggregation and subspace randomization, outperforming single trees and linear models across both cycles.</w:t>
      </w:r>
    </w:p>
    <w:p>
      <w:pPr>
        <w:spacing w:before="0" w:after="50" w:line="276" w:lineRule="auto"/>
        <w:ind w:left="403" w:hanging="259"/>
      </w:pPr>
      <w:r>
        <w:rPr>
          <w:rFonts w:ascii="Times New Roman" w:hAnsi="Times New Roman"/>
          <w:b/>
          <w:color w:val="1F4E79"/>
          <w:sz w:val="21"/>
        </w:rPr>
        <w:t xml:space="preserve">4. </w:t>
      </w:r>
      <w:r>
        <w:rPr>
          <w:rFonts w:ascii="Times New Roman" w:hAnsi="Times New Roman"/>
          <w:b/>
          <w:sz w:val="21"/>
        </w:rPr>
        <w:t>Cycle 1 to Cycle 2 Leap (Transformed Target &amp; Expanded Features)</w:t>
      </w:r>
      <w:r>
        <w:rPr>
          <w:rFonts w:ascii="Times New Roman" w:hAnsi="Times New Roman"/>
          <w:sz w:val="21"/>
        </w:rPr>
        <w:t>: While Cycle 1 proved the value of ensembling on 9 features, it hit a ceiling (</w:t>
      </w:r>
      <w:r>
        <w:rPr>
          <w:rFonts w:ascii="Cambria Math" w:hAnsi="Cambria Math"/>
          <w:sz w:val="21"/>
        </w:rPr>
        <w:t>4.23</w:t>
      </w:r>
      <w:r>
        <w:rPr>
          <w:rFonts w:ascii="Times New Roman" w:hAnsi="Times New Roman"/>
          <w:sz w:val="21"/>
        </w:rPr>
        <w:t>d holdout MAE). Introducing Haversine distance, vendor split flags, and target log1p transformation in Cycle 2 empowered the Tuned Random Forest (</w:t>
      </w:r>
      <w:r>
        <w:rPr>
          <w:rFonts w:ascii="Cambria Math" w:hAnsi="Cambria Math"/>
          <w:sz w:val="21"/>
        </w:rPr>
        <w:t>N=50, d=14, L=20</w:t>
      </w:r>
      <w:r>
        <w:rPr>
          <w:rFonts w:ascii="Times New Roman" w:hAnsi="Times New Roman"/>
          <w:sz w:val="21"/>
        </w:rPr>
        <w:t>) to achieve definitive champion performance:</w:t>
      </w:r>
    </w:p>
    <w:p>
      <w:pPr>
        <w:spacing w:before="0" w:after="50" w:line="276" w:lineRule="auto"/>
        <w:ind w:left="360" w:hanging="216"/>
      </w:pPr>
      <w:r>
        <w:rPr>
          <w:rFonts w:ascii="Arial" w:hAnsi="Arial"/>
          <w:b/>
          <w:color w:val="1F4E79"/>
          <w:sz w:val="20"/>
        </w:rPr>
        <w:t xml:space="preserve">• </w:t>
      </w:r>
      <w:r>
        <w:rPr>
          <w:rFonts w:ascii="Times New Roman" w:hAnsi="Times New Roman"/>
          <w:b/>
          <w:sz w:val="21"/>
        </w:rPr>
        <w:t>Regression Empirical Justification</w:t>
      </w:r>
      <w:r>
        <w:rPr>
          <w:rFonts w:ascii="Times New Roman" w:hAnsi="Times New Roman"/>
          <w:sz w:val="21"/>
        </w:rPr>
        <w:t xml:space="preserve">: The Tuned Random Forest achieves </w:t>
      </w:r>
      <w:r>
        <w:rPr>
          <w:rFonts w:ascii="Times New Roman" w:hAnsi="Times New Roman"/>
          <w:b/>
          <w:sz w:val="21"/>
        </w:rPr>
        <w:t>-17.0\% lower MAE than Linear Ridge (-0.762d)</w:t>
      </w:r>
      <w:r>
        <w:rPr>
          <w:rFonts w:ascii="Times New Roman" w:hAnsi="Times New Roman"/>
          <w:sz w:val="21"/>
        </w:rPr>
        <w:t xml:space="preserve">, </w:t>
      </w:r>
      <w:r>
        <w:rPr>
          <w:rFonts w:ascii="Times New Roman" w:hAnsi="Times New Roman"/>
          <w:b/>
          <w:sz w:val="21"/>
        </w:rPr>
        <w:t>-12.1\% lower MAE than the Single Decision Tree (-0.514d)</w:t>
      </w:r>
      <w:r>
        <w:rPr>
          <w:rFonts w:ascii="Times New Roman" w:hAnsi="Times New Roman"/>
          <w:sz w:val="21"/>
        </w:rPr>
        <w:t xml:space="preserve">, and </w:t>
      </w:r>
      <w:r>
        <w:rPr>
          <w:rFonts w:ascii="Times New Roman" w:hAnsi="Times New Roman"/>
          <w:b/>
          <w:sz w:val="21"/>
        </w:rPr>
        <w:t>-23.9\% lower MAE than the Dummy Median (-1.169d)</w:t>
      </w:r>
      <w:r>
        <w:rPr>
          <w:rFonts w:ascii="Times New Roman" w:hAnsi="Times New Roman"/>
          <w:sz w:val="21"/>
        </w:rPr>
        <w:t xml:space="preserve">, with holdout </w:t>
      </w:r>
      <w:r>
        <w:rPr>
          <w:rFonts w:ascii="Cambria Math" w:hAnsi="Cambria Math"/>
          <w:sz w:val="21"/>
        </w:rPr>
        <w:t>R² = +0.1871</w:t>
      </w:r>
      <w:r>
        <w:rPr>
          <w:rFonts w:ascii="Times New Roman" w:hAnsi="Times New Roman"/>
          <w:sz w:val="21"/>
        </w:rPr>
        <w:t>.</w:t>
      </w:r>
    </w:p>
    <w:p>
      <w:pPr>
        <w:spacing w:before="0" w:after="50" w:line="276" w:lineRule="auto"/>
        <w:ind w:left="360" w:hanging="216"/>
      </w:pPr>
      <w:r>
        <w:rPr>
          <w:rFonts w:ascii="Arial" w:hAnsi="Arial"/>
          <w:b/>
          <w:color w:val="1F4E79"/>
          <w:sz w:val="20"/>
        </w:rPr>
        <w:t xml:space="preserve">• </w:t>
      </w:r>
      <w:r>
        <w:rPr>
          <w:rFonts w:ascii="Times New Roman" w:hAnsi="Times New Roman"/>
          <w:b/>
          <w:sz w:val="21"/>
        </w:rPr>
        <w:t>Classification Empirical Justification</w:t>
      </w:r>
      <w:r>
        <w:rPr>
          <w:rFonts w:ascii="Times New Roman" w:hAnsi="Times New Roman"/>
          <w:sz w:val="21"/>
        </w:rPr>
        <w:t xml:space="preserve">: The Tuned Random Forest achieves </w:t>
      </w:r>
      <w:r>
        <w:rPr>
          <w:rFonts w:ascii="Times New Roman" w:hAnsi="Times New Roman"/>
          <w:b/>
          <w:sz w:val="21"/>
        </w:rPr>
        <w:t>+4.1\% higher AP than Logistic Regression</w:t>
      </w:r>
      <w:r>
        <w:rPr>
          <w:rFonts w:ascii="Times New Roman" w:hAnsi="Times New Roman"/>
          <w:sz w:val="21"/>
        </w:rPr>
        <w:t xml:space="preserve">, </w:t>
      </w:r>
      <w:r>
        <w:rPr>
          <w:rFonts w:ascii="Times New Roman" w:hAnsi="Times New Roman"/>
          <w:b/>
          <w:sz w:val="21"/>
        </w:rPr>
        <w:t>+11.8\% higher AP than the Single Decision Tree</w:t>
      </w:r>
      <w:r>
        <w:rPr>
          <w:rFonts w:ascii="Times New Roman" w:hAnsi="Times New Roman"/>
          <w:sz w:val="21"/>
        </w:rPr>
        <w:t xml:space="preserve">, and </w:t>
      </w:r>
      <w:r>
        <w:rPr>
          <w:rFonts w:ascii="Times New Roman" w:hAnsi="Times New Roman"/>
          <w:b/>
          <w:sz w:val="21"/>
        </w:rPr>
        <w:t>+68.3\% higher AP than the Dummy Base Rate</w:t>
      </w:r>
      <w:r>
        <w:rPr>
          <w:rFonts w:ascii="Times New Roman" w:hAnsi="Times New Roman"/>
          <w:sz w:val="21"/>
        </w:rPr>
        <w:t>, unlocking the calibrated decision policy (</w:t>
      </w:r>
      <w:r>
        <w:rPr>
          <w:rFonts w:ascii="Cambria Math" w:hAnsi="Cambria Math"/>
          <w:sz w:val="21"/>
        </w:rPr>
        <w:t>τ*=0.17</w:t>
      </w:r>
      <w:r>
        <w:rPr>
          <w:rFonts w:ascii="Times New Roman" w:hAnsi="Times New Roman"/>
          <w:sz w:val="21"/>
        </w:rPr>
        <w:t xml:space="preserve">) that captures </w:t>
      </w:r>
      <w:r>
        <w:rPr>
          <w:rFonts w:ascii="Cambria Math" w:hAnsi="Cambria Math"/>
          <w:sz w:val="21"/>
        </w:rPr>
        <w:t>456</w:t>
      </w:r>
      <w:r>
        <w:rPr>
          <w:rFonts w:ascii="Times New Roman" w:hAnsi="Times New Roman"/>
          <w:sz w:val="21"/>
        </w:rPr>
        <w:t xml:space="preserve"> detractors (</w:t>
      </w:r>
      <w:r>
        <w:rPr>
          <w:rFonts w:ascii="Cambria Math" w:hAnsi="Cambria Math"/>
          <w:sz w:val="21"/>
        </w:rPr>
        <w:t>456×</w:t>
      </w:r>
      <w:r>
        <w:rPr>
          <w:rFonts w:ascii="Times New Roman" w:hAnsi="Times New Roman"/>
          <w:sz w:val="21"/>
        </w:rPr>
        <w:t xml:space="preserve"> surge over default </w:t>
      </w:r>
      <w:r>
        <w:rPr>
          <w:rFonts w:ascii="Cambria Math" w:hAnsi="Cambria Math"/>
          <w:sz w:val="21"/>
        </w:rPr>
        <w:t>τ=0.50</w:t>
      </w:r>
      <w:r>
        <w:rPr>
          <w:rFonts w:ascii="Times New Roman" w:hAnsi="Times New Roman"/>
          <w:sz w:val="21"/>
        </w:rPr>
        <w:t>).</w:t>
      </w:r>
    </w:p>
    <w:p>
      <w:pPr>
        <w:spacing w:before="80" w:after="120" w:line="269" w:lineRule="auto"/>
        <w:ind w:left="504" w:right="288"/>
      </w:pPr>
      <w:r>
        <w:rPr>
          <w:rFonts w:ascii="Times New Roman" w:hAnsi="Times New Roman"/>
          <w:i/>
          <w:color w:val="334155"/>
          <w:sz w:val="20"/>
        </w:rPr>
        <w:t>(Refer to Table E.2 in Appendix E for the complete Head-to-Head Model Family Progression and Complexity Justification Matrix across both cycles).</w:t>
      </w:r>
    </w:p>
    <w:p>
      <w:pPr>
        <w:pStyle w:val="Heading2"/>
      </w:pPr>
      <w:r>
        <w:rPr>
          <w:rFonts w:ascii="Times New Roman" w:hAnsi="Times New Roman"/>
          <w:b/>
          <w:sz w:val="25"/>
        </w:rPr>
        <w:t>7.3 Terminal Holdout 4-Panel Diagnostics</w:t>
      </w:r>
    </w:p>
    <w:p>
      <w:pPr>
        <w:spacing w:before="80" w:after="120" w:line="269" w:lineRule="auto"/>
        <w:ind w:left="504" w:right="288"/>
      </w:pPr>
      <w:r>
        <w:rPr>
          <w:rFonts w:ascii="Times New Roman" w:hAnsi="Times New Roman"/>
          <w:i/>
          <w:color w:val="334155"/>
          <w:sz w:val="20"/>
        </w:rPr>
        <w:t>(Refer to Figure E.5A and Figure E.5B in Appendix E for the side-by-side comparison of Cycle 1 Baseline vs. Cycle 2 Refined Fulfillment Lead Time Regression 4-Panel Holdout Diagnostics: Observed vs. Predicted, Residual Scatter, Error Distribution, and State MAE comparison).</w:t>
      </w:r>
      <w:r>
        <w:rPr>
          <w:rFonts w:ascii="Times New Roman" w:hAnsi="Times New Roman"/>
          <w:i/>
          <w:color w:val="334155"/>
          <w:sz w:val="20"/>
        </w:rPr>
        <w:t xml:space="preserve"> </w:t>
      </w:r>
      <w:r>
        <w:rPr>
          <w:rFonts w:ascii="Times New Roman" w:hAnsi="Times New Roman"/>
          <w:i/>
          <w:color w:val="334155"/>
          <w:sz w:val="20"/>
        </w:rPr>
        <w:t>(Refer to Figure E.6 in Appendix E for the Review Detractor Classification 4-Panel Holdout Diagnostics: Precision-Recall Curve, ROC Curve, Reliability Calibration, and Cost vs. Threshold Curve).</w:t>
      </w:r>
    </w:p>
    <w:p>
      <w:pPr>
        <w:pStyle w:val="Heading2"/>
      </w:pPr>
      <w:r>
        <w:rPr>
          <w:rFonts w:ascii="Times New Roman" w:hAnsi="Times New Roman"/>
          <w:b/>
          <w:sz w:val="25"/>
        </w:rPr>
        <w:t>7.4 Granular Subgroup Error Analysis (Teacher Pitfall 4)</w:t>
      </w:r>
    </w:p>
    <w:p>
      <w:pPr/>
      <w:r>
        <w:rPr>
          <w:rFonts w:ascii="Times New Roman" w:hAnsi="Times New Roman"/>
          <w:sz w:val="22"/>
        </w:rPr>
        <w:t>Evaluating aggregate metrics alone conceals critical operational vulnerabilities (Teacher Pitfall 4). We executed comprehensive error decomposition across 79 distinct slices (</w:t>
      </w:r>
      <w:r>
        <w:rPr>
          <w:rFonts w:ascii="Consolas" w:hAnsi="Consolas"/>
          <w:color w:val="8A1E38"/>
          <w:sz w:val="21"/>
        </w:rPr>
        <w:t>artifacts/metrics/refinement-selected-v4/terminal/subgroups.csv</w:t>
      </w:r>
      <w:r>
        <w:rPr>
          <w:rFonts w:ascii="Times New Roman" w:hAnsi="Times New Roman"/>
          <w:sz w:val="22"/>
        </w:rPr>
        <w:t>):</w:t>
      </w:r>
    </w:p>
    <w:p>
      <w:pPr>
        <w:spacing w:before="80" w:after="120" w:line="269" w:lineRule="auto"/>
        <w:ind w:left="504" w:right="288"/>
      </w:pPr>
      <w:r>
        <w:rPr>
          <w:rFonts w:ascii="Times New Roman" w:hAnsi="Times New Roman"/>
          <w:i/>
          <w:color w:val="334155"/>
          <w:sz w:val="20"/>
        </w:rPr>
        <w:t>(Refer to Tables E.4, E.5, and E.6 in Appendix E for the complete 79-slice error breakdown across customer states, Haversine distance bands, and basket item complexity, and Appendix F for the complete feature metadata and covariate drift audit).</w:t>
      </w:r>
    </w:p>
    <w:p>
      <w:pPr>
        <w:pStyle w:val="Heading3"/>
      </w:pPr>
      <w:r>
        <w:rPr>
          <w:rFonts w:ascii="Times New Roman" w:hAnsi="Times New Roman"/>
          <w:b/>
          <w:sz w:val="23"/>
        </w:rPr>
        <w:t>1. Regional Geographic Disparities (</w:t>
      </w:r>
      <w:r>
        <w:rPr>
          <w:rFonts w:ascii="Consolas" w:hAnsi="Consolas"/>
          <w:b/>
          <w:color w:val="8A1E38"/>
          <w:sz w:val="22"/>
        </w:rPr>
        <w:t>customer_state</w:t>
      </w:r>
      <w:r>
        <w:rPr>
          <w:rFonts w:ascii="Times New Roman" w:hAnsi="Times New Roman"/>
          <w:b/>
          <w:sz w:val="23"/>
        </w:rPr>
        <w:t>)</w:t>
      </w:r>
    </w:p>
    <w:p>
      <w:pPr>
        <w:spacing w:before="0" w:after="50" w:line="276" w:lineRule="auto"/>
        <w:ind w:left="360" w:hanging="216"/>
      </w:pPr>
      <w:r>
        <w:rPr>
          <w:rFonts w:ascii="Arial" w:hAnsi="Arial"/>
          <w:b/>
          <w:color w:val="1F4E79"/>
          <w:sz w:val="20"/>
        </w:rPr>
        <w:t xml:space="preserve">• </w:t>
      </w:r>
      <w:r>
        <w:rPr>
          <w:rFonts w:ascii="Times New Roman" w:hAnsi="Times New Roman"/>
          <w:b/>
          <w:sz w:val="21"/>
        </w:rPr>
        <w:t>Southeast Logistics Hubs</w:t>
      </w:r>
      <w:r>
        <w:rPr>
          <w:rFonts w:ascii="Times New Roman" w:hAnsi="Times New Roman"/>
          <w:sz w:val="21"/>
        </w:rPr>
        <w:t>: Orders within high-density metropolitan infrastructure achieve remarkable accuracy: São Paulo (</w:t>
      </w:r>
      <w:r>
        <w:rPr>
          <w:rFonts w:ascii="Consolas" w:hAnsi="Consolas"/>
          <w:color w:val="8A1E38"/>
          <w:sz w:val="20"/>
        </w:rPr>
        <w:t>SP</w:t>
      </w:r>
      <w:r>
        <w:rPr>
          <w:rFonts w:ascii="Times New Roman" w:hAnsi="Times New Roman"/>
          <w:sz w:val="21"/>
        </w:rPr>
        <w:t xml:space="preserve">, </w:t>
      </w:r>
      <w:r>
        <w:rPr>
          <w:rFonts w:ascii="Cambria Math" w:hAnsi="Cambria Math"/>
          <w:sz w:val="21"/>
        </w:rPr>
        <w:t>N=7,217</w:t>
      </w:r>
      <w:r>
        <w:rPr>
          <w:rFonts w:ascii="Times New Roman" w:hAnsi="Times New Roman"/>
          <w:sz w:val="21"/>
        </w:rPr>
        <w:t xml:space="preserve">) achieved MAE of </w:t>
      </w:r>
      <w:r>
        <w:rPr>
          <w:rFonts w:ascii="Times New Roman" w:hAnsi="Times New Roman"/>
          <w:b/>
          <w:sz w:val="21"/>
        </w:rPr>
        <w:t>2.81 days</w:t>
      </w:r>
      <w:r>
        <w:rPr>
          <w:rFonts w:ascii="Times New Roman" w:hAnsi="Times New Roman"/>
          <w:sz w:val="21"/>
        </w:rPr>
        <w:t>; Paraná (</w:t>
      </w:r>
      <w:r>
        <w:rPr>
          <w:rFonts w:ascii="Consolas" w:hAnsi="Consolas"/>
          <w:color w:val="8A1E38"/>
          <w:sz w:val="20"/>
        </w:rPr>
        <w:t>PR</w:t>
      </w:r>
      <w:r>
        <w:rPr>
          <w:rFonts w:ascii="Times New Roman" w:hAnsi="Times New Roman"/>
          <w:sz w:val="21"/>
        </w:rPr>
        <w:t xml:space="preserve">, </w:t>
      </w:r>
      <w:r>
        <w:rPr>
          <w:rFonts w:ascii="Cambria Math" w:hAnsi="Cambria Math"/>
          <w:sz w:val="21"/>
        </w:rPr>
        <w:t>N=782</w:t>
      </w:r>
      <w:r>
        <w:rPr>
          <w:rFonts w:ascii="Times New Roman" w:hAnsi="Times New Roman"/>
          <w:sz w:val="21"/>
        </w:rPr>
        <w:t xml:space="preserve">) achieved </w:t>
      </w:r>
      <w:r>
        <w:rPr>
          <w:rFonts w:ascii="Times New Roman" w:hAnsi="Times New Roman"/>
          <w:b/>
          <w:sz w:val="21"/>
        </w:rPr>
        <w:t>3.65 days</w:t>
      </w:r>
      <w:r>
        <w:rPr>
          <w:rFonts w:ascii="Times New Roman" w:hAnsi="Times New Roman"/>
          <w:sz w:val="21"/>
        </w:rPr>
        <w:t>; Minas Gerais (</w:t>
      </w:r>
      <w:r>
        <w:rPr>
          <w:rFonts w:ascii="Consolas" w:hAnsi="Consolas"/>
          <w:color w:val="8A1E38"/>
          <w:sz w:val="20"/>
        </w:rPr>
        <w:t>MG</w:t>
      </w:r>
      <w:r>
        <w:rPr>
          <w:rFonts w:ascii="Times New Roman" w:hAnsi="Times New Roman"/>
          <w:sz w:val="21"/>
        </w:rPr>
        <w:t xml:space="preserve">, </w:t>
      </w:r>
      <w:r>
        <w:rPr>
          <w:rFonts w:ascii="Cambria Math" w:hAnsi="Cambria Math"/>
          <w:sz w:val="21"/>
        </w:rPr>
        <w:t>N=1,704</w:t>
      </w:r>
      <w:r>
        <w:rPr>
          <w:rFonts w:ascii="Times New Roman" w:hAnsi="Times New Roman"/>
          <w:sz w:val="21"/>
        </w:rPr>
        <w:t xml:space="preserve">) achieved </w:t>
      </w:r>
      <w:r>
        <w:rPr>
          <w:rFonts w:ascii="Times New Roman" w:hAnsi="Times New Roman"/>
          <w:b/>
          <w:sz w:val="21"/>
        </w:rPr>
        <w:t>3.71 days</w:t>
      </w:r>
      <w:r>
        <w:rPr>
          <w:rFonts w:ascii="Times New Roman" w:hAnsi="Times New Roman"/>
          <w:sz w:val="21"/>
        </w:rPr>
        <w:t>.</w:t>
      </w:r>
    </w:p>
    <w:p>
      <w:pPr>
        <w:spacing w:before="0" w:after="50" w:line="276" w:lineRule="auto"/>
        <w:ind w:left="360" w:hanging="216"/>
      </w:pPr>
      <w:r>
        <w:rPr>
          <w:rFonts w:ascii="Arial" w:hAnsi="Arial"/>
          <w:b/>
          <w:color w:val="1F4E79"/>
          <w:sz w:val="20"/>
        </w:rPr>
        <w:t xml:space="preserve">• </w:t>
      </w:r>
      <w:r>
        <w:rPr>
          <w:rFonts w:ascii="Times New Roman" w:hAnsi="Times New Roman"/>
          <w:b/>
          <w:sz w:val="21"/>
        </w:rPr>
        <w:t>Remote North / Northeast Regions</w:t>
      </w:r>
      <w:r>
        <w:rPr>
          <w:rFonts w:ascii="Times New Roman" w:hAnsi="Times New Roman"/>
          <w:sz w:val="21"/>
        </w:rPr>
        <w:t>: Remote peripheral states exhibit significantly higher transit variability: Bahia (</w:t>
      </w:r>
      <w:r>
        <w:rPr>
          <w:rFonts w:ascii="Consolas" w:hAnsi="Consolas"/>
          <w:color w:val="8A1E38"/>
          <w:sz w:val="20"/>
        </w:rPr>
        <w:t>BA</w:t>
      </w:r>
      <w:r>
        <w:rPr>
          <w:rFonts w:ascii="Times New Roman" w:hAnsi="Times New Roman"/>
          <w:sz w:val="21"/>
        </w:rPr>
        <w:t xml:space="preserve">, </w:t>
      </w:r>
      <w:r>
        <w:rPr>
          <w:rFonts w:ascii="Cambria Math" w:hAnsi="Cambria Math"/>
          <w:sz w:val="21"/>
        </w:rPr>
        <w:t>N=501</w:t>
      </w:r>
      <w:r>
        <w:rPr>
          <w:rFonts w:ascii="Times New Roman" w:hAnsi="Times New Roman"/>
          <w:sz w:val="21"/>
        </w:rPr>
        <w:t xml:space="preserve">) scales to </w:t>
      </w:r>
      <w:r>
        <w:rPr>
          <w:rFonts w:ascii="Times New Roman" w:hAnsi="Times New Roman"/>
          <w:b/>
          <w:sz w:val="21"/>
        </w:rPr>
        <w:t>5.84 days</w:t>
      </w:r>
      <w:r>
        <w:rPr>
          <w:rFonts w:ascii="Times New Roman" w:hAnsi="Times New Roman"/>
          <w:sz w:val="21"/>
        </w:rPr>
        <w:t>; Pernambuco (</w:t>
      </w:r>
      <w:r>
        <w:rPr>
          <w:rFonts w:ascii="Consolas" w:hAnsi="Consolas"/>
          <w:color w:val="8A1E38"/>
          <w:sz w:val="20"/>
        </w:rPr>
        <w:t>PE</w:t>
      </w:r>
      <w:r>
        <w:rPr>
          <w:rFonts w:ascii="Times New Roman" w:hAnsi="Times New Roman"/>
          <w:sz w:val="21"/>
        </w:rPr>
        <w:t xml:space="preserve">, </w:t>
      </w:r>
      <w:r>
        <w:rPr>
          <w:rFonts w:ascii="Cambria Math" w:hAnsi="Cambria Math"/>
          <w:sz w:val="21"/>
        </w:rPr>
        <w:t>N=251</w:t>
      </w:r>
      <w:r>
        <w:rPr>
          <w:rFonts w:ascii="Times New Roman" w:hAnsi="Times New Roman"/>
          <w:sz w:val="21"/>
        </w:rPr>
        <w:t xml:space="preserve">) reaches </w:t>
      </w:r>
      <w:r>
        <w:rPr>
          <w:rFonts w:ascii="Times New Roman" w:hAnsi="Times New Roman"/>
          <w:b/>
          <w:sz w:val="21"/>
        </w:rPr>
        <w:t>6.78 days</w:t>
      </w:r>
      <w:r>
        <w:rPr>
          <w:rFonts w:ascii="Times New Roman" w:hAnsi="Times New Roman"/>
          <w:sz w:val="21"/>
        </w:rPr>
        <w:t>; Amazonas (</w:t>
      </w:r>
      <w:r>
        <w:rPr>
          <w:rFonts w:ascii="Consolas" w:hAnsi="Consolas"/>
          <w:color w:val="8A1E38"/>
          <w:sz w:val="20"/>
        </w:rPr>
        <w:t>AM</w:t>
      </w:r>
      <w:r>
        <w:rPr>
          <w:rFonts w:ascii="Times New Roman" w:hAnsi="Times New Roman"/>
          <w:sz w:val="21"/>
        </w:rPr>
        <w:t xml:space="preserve">, </w:t>
      </w:r>
      <w:r>
        <w:rPr>
          <w:rFonts w:ascii="Cambria Math" w:hAnsi="Cambria Math"/>
          <w:sz w:val="21"/>
        </w:rPr>
        <w:t>N=19</w:t>
      </w:r>
      <w:r>
        <w:rPr>
          <w:rFonts w:ascii="Times New Roman" w:hAnsi="Times New Roman"/>
          <w:sz w:val="21"/>
        </w:rPr>
        <w:t xml:space="preserve">) reaches </w:t>
      </w:r>
      <w:r>
        <w:rPr>
          <w:rFonts w:ascii="Times New Roman" w:hAnsi="Times New Roman"/>
          <w:b/>
          <w:sz w:val="21"/>
        </w:rPr>
        <w:t>7.55 days</w:t>
      </w:r>
      <w:r>
        <w:rPr>
          <w:rFonts w:ascii="Times New Roman" w:hAnsi="Times New Roman"/>
          <w:sz w:val="21"/>
        </w:rPr>
        <w:t>; and Amapá (</w:t>
      </w:r>
      <w:r>
        <w:rPr>
          <w:rFonts w:ascii="Consolas" w:hAnsi="Consolas"/>
          <w:color w:val="8A1E38"/>
          <w:sz w:val="20"/>
        </w:rPr>
        <w:t>AP</w:t>
      </w:r>
      <w:r>
        <w:rPr>
          <w:rFonts w:ascii="Times New Roman" w:hAnsi="Times New Roman"/>
          <w:sz w:val="21"/>
        </w:rPr>
        <w:t xml:space="preserve">, </w:t>
      </w:r>
      <w:r>
        <w:rPr>
          <w:rFonts w:ascii="Cambria Math" w:hAnsi="Cambria Math"/>
          <w:sz w:val="21"/>
        </w:rPr>
        <w:t>N=10</w:t>
      </w:r>
      <w:r>
        <w:rPr>
          <w:rFonts w:ascii="Times New Roman" w:hAnsi="Times New Roman"/>
          <w:sz w:val="21"/>
        </w:rPr>
        <w:t xml:space="preserve">) reaches </w:t>
      </w:r>
      <w:r>
        <w:rPr>
          <w:rFonts w:ascii="Times New Roman" w:hAnsi="Times New Roman"/>
          <w:b/>
          <w:sz w:val="21"/>
        </w:rPr>
        <w:t>10.28 days</w:t>
      </w:r>
      <w:r>
        <w:rPr>
          <w:rFonts w:ascii="Times New Roman" w:hAnsi="Times New Roman"/>
          <w:sz w:val="21"/>
        </w:rPr>
        <w:t>.</w:t>
      </w:r>
    </w:p>
    <w:p>
      <w:pPr>
        <w:spacing w:before="0" w:after="50" w:line="276" w:lineRule="auto"/>
        <w:ind w:left="360" w:hanging="216"/>
      </w:pPr>
      <w:r>
        <w:rPr>
          <w:rFonts w:ascii="Arial" w:hAnsi="Arial"/>
          <w:b/>
          <w:color w:val="1F4E79"/>
          <w:sz w:val="20"/>
        </w:rPr>
        <w:t xml:space="preserve">• </w:t>
      </w:r>
      <w:r>
        <w:rPr>
          <w:rFonts w:ascii="Times New Roman" w:hAnsi="Times New Roman"/>
          <w:i/>
          <w:sz w:val="21"/>
        </w:rPr>
        <w:t>Statistical Association Interpretation</w:t>
      </w:r>
      <w:r>
        <w:rPr>
          <w:rFonts w:ascii="Times New Roman" w:hAnsi="Times New Roman"/>
          <w:sz w:val="21"/>
        </w:rPr>
        <w:t>: While geographic isolation strongly correlates with higher error, these variations reflect systemic supply chain friction (e.g., lack of direct airfreight, multimodal river transfers) rather than causal defects in the algorithm itself.</w:t>
      </w:r>
    </w:p>
    <w:p>
      <w:pPr>
        <w:pStyle w:val="Heading3"/>
      </w:pPr>
      <w:r>
        <w:rPr>
          <w:rFonts w:ascii="Times New Roman" w:hAnsi="Times New Roman"/>
          <w:b/>
          <w:sz w:val="23"/>
        </w:rPr>
        <w:t>2. Delivery Distance Bands</w:t>
      </w:r>
    </w:p>
    <w:p>
      <w:pPr>
        <w:spacing w:before="0" w:after="50" w:line="276" w:lineRule="auto"/>
        <w:ind w:left="360" w:hanging="216"/>
      </w:pPr>
      <w:r>
        <w:rPr>
          <w:rFonts w:ascii="Arial" w:hAnsi="Arial"/>
          <w:b/>
          <w:color w:val="1F4E79"/>
          <w:sz w:val="20"/>
        </w:rPr>
        <w:t xml:space="preserve">• </w:t>
      </w:r>
      <w:r>
        <w:rPr>
          <w:rFonts w:ascii="Times New Roman" w:hAnsi="Times New Roman"/>
          <w:b/>
          <w:sz w:val="21"/>
        </w:rPr>
        <w:t>Short Haul (0–250km)</w:t>
      </w:r>
      <w:r>
        <w:rPr>
          <w:rFonts w:ascii="Times New Roman" w:hAnsi="Times New Roman"/>
          <w:sz w:val="21"/>
        </w:rPr>
        <w:t xml:space="preserve">: MAE </w:t>
      </w:r>
      <w:r>
        <w:rPr>
          <w:rFonts w:ascii="Cambria Math" w:hAnsi="Cambria Math"/>
          <w:sz w:val="21"/>
        </w:rPr>
        <w:t>= 2.69</w:t>
      </w:r>
      <w:r>
        <w:rPr>
          <w:rFonts w:ascii="Times New Roman" w:hAnsi="Times New Roman"/>
          <w:sz w:val="21"/>
        </w:rPr>
        <w:t xml:space="preserve"> days, RMSE </w:t>
      </w:r>
      <w:r>
        <w:rPr>
          <w:rFonts w:ascii="Cambria Math" w:hAnsi="Cambria Math"/>
          <w:sz w:val="21"/>
        </w:rPr>
        <w:t>= 4.21</w:t>
      </w:r>
      <w:r>
        <w:rPr>
          <w:rFonts w:ascii="Times New Roman" w:hAnsi="Times New Roman"/>
          <w:sz w:val="21"/>
        </w:rPr>
        <w:t xml:space="preserve"> days (</w:t>
      </w:r>
      <w:r>
        <w:rPr>
          <w:rFonts w:ascii="Cambria Math" w:hAnsi="Cambria Math"/>
          <w:sz w:val="21"/>
        </w:rPr>
        <w:t>N=5,005</w:t>
      </w:r>
      <w:r>
        <w:rPr>
          <w:rFonts w:ascii="Times New Roman" w:hAnsi="Times New Roman"/>
          <w:sz w:val="21"/>
        </w:rPr>
        <w:t>). High density, overnight intra-state ground delivery.</w:t>
      </w:r>
    </w:p>
    <w:p>
      <w:pPr>
        <w:spacing w:before="0" w:after="50" w:line="276" w:lineRule="auto"/>
        <w:ind w:left="360" w:hanging="216"/>
      </w:pPr>
      <w:r>
        <w:rPr>
          <w:rFonts w:ascii="Arial" w:hAnsi="Arial"/>
          <w:b/>
          <w:color w:val="1F4E79"/>
          <w:sz w:val="20"/>
        </w:rPr>
        <w:t xml:space="preserve">• </w:t>
      </w:r>
      <w:r>
        <w:rPr>
          <w:rFonts w:ascii="Times New Roman" w:hAnsi="Times New Roman"/>
          <w:b/>
          <w:sz w:val="21"/>
        </w:rPr>
        <w:t>Medium Haul (250–500km)</w:t>
      </w:r>
      <w:r>
        <w:rPr>
          <w:rFonts w:ascii="Times New Roman" w:hAnsi="Times New Roman"/>
          <w:sz w:val="21"/>
        </w:rPr>
        <w:t xml:space="preserve">: MAE </w:t>
      </w:r>
      <w:r>
        <w:rPr>
          <w:rFonts w:ascii="Cambria Math" w:hAnsi="Cambria Math"/>
          <w:sz w:val="21"/>
        </w:rPr>
        <w:t>= 3.46</w:t>
      </w:r>
      <w:r>
        <w:rPr>
          <w:rFonts w:ascii="Times New Roman" w:hAnsi="Times New Roman"/>
          <w:sz w:val="21"/>
        </w:rPr>
        <w:t xml:space="preserve"> days, RMSE </w:t>
      </w:r>
      <w:r>
        <w:rPr>
          <w:rFonts w:ascii="Cambria Math" w:hAnsi="Cambria Math"/>
          <w:sz w:val="21"/>
        </w:rPr>
        <w:t>= 4.59</w:t>
      </w:r>
      <w:r>
        <w:rPr>
          <w:rFonts w:ascii="Times New Roman" w:hAnsi="Times New Roman"/>
          <w:sz w:val="21"/>
        </w:rPr>
        <w:t xml:space="preserve"> days (</w:t>
      </w:r>
      <w:r>
        <w:rPr>
          <w:rFonts w:ascii="Cambria Math" w:hAnsi="Cambria Math"/>
          <w:sz w:val="21"/>
        </w:rPr>
        <w:t>N=4,260</w:t>
      </w:r>
      <w:r>
        <w:rPr>
          <w:rFonts w:ascii="Times New Roman" w:hAnsi="Times New Roman"/>
          <w:sz w:val="21"/>
        </w:rPr>
        <w:t>). Interstate truck freight.</w:t>
      </w:r>
    </w:p>
    <w:p>
      <w:pPr>
        <w:spacing w:before="0" w:after="50" w:line="276" w:lineRule="auto"/>
        <w:ind w:left="360" w:hanging="216"/>
      </w:pPr>
      <w:r>
        <w:rPr>
          <w:rFonts w:ascii="Arial" w:hAnsi="Arial"/>
          <w:b/>
          <w:color w:val="1F4E79"/>
          <w:sz w:val="20"/>
        </w:rPr>
        <w:t xml:space="preserve">• </w:t>
      </w:r>
      <w:r>
        <w:rPr>
          <w:rFonts w:ascii="Times New Roman" w:hAnsi="Times New Roman"/>
          <w:b/>
          <w:sz w:val="21"/>
        </w:rPr>
        <w:t>Inter-Regional (500–1000km)</w:t>
      </w:r>
      <w:r>
        <w:rPr>
          <w:rFonts w:ascii="Times New Roman" w:hAnsi="Times New Roman"/>
          <w:sz w:val="21"/>
        </w:rPr>
        <w:t xml:space="preserve">: MAE </w:t>
      </w:r>
      <w:r>
        <w:rPr>
          <w:rFonts w:ascii="Cambria Math" w:hAnsi="Cambria Math"/>
          <w:sz w:val="21"/>
        </w:rPr>
        <w:t>= 4.20</w:t>
      </w:r>
      <w:r>
        <w:rPr>
          <w:rFonts w:ascii="Times New Roman" w:hAnsi="Times New Roman"/>
          <w:sz w:val="21"/>
        </w:rPr>
        <w:t xml:space="preserve"> days, RMSE </w:t>
      </w:r>
      <w:r>
        <w:rPr>
          <w:rFonts w:ascii="Cambria Math" w:hAnsi="Cambria Math"/>
          <w:sz w:val="21"/>
        </w:rPr>
        <w:t>= 5.83</w:t>
      </w:r>
      <w:r>
        <w:rPr>
          <w:rFonts w:ascii="Times New Roman" w:hAnsi="Times New Roman"/>
          <w:sz w:val="21"/>
        </w:rPr>
        <w:t xml:space="preserve"> days (</w:t>
      </w:r>
      <w:r>
        <w:rPr>
          <w:rFonts w:ascii="Cambria Math" w:hAnsi="Cambria Math"/>
          <w:sz w:val="21"/>
        </w:rPr>
        <w:t>N=3,808</w:t>
      </w:r>
      <w:r>
        <w:rPr>
          <w:rFonts w:ascii="Times New Roman" w:hAnsi="Times New Roman"/>
          <w:sz w:val="21"/>
        </w:rPr>
        <w:t>). Multi-terminal hub transfers.</w:t>
      </w:r>
    </w:p>
    <w:p>
      <w:pPr>
        <w:spacing w:before="0" w:after="50" w:line="276" w:lineRule="auto"/>
        <w:ind w:left="360" w:hanging="216"/>
      </w:pPr>
      <w:r>
        <w:rPr>
          <w:rFonts w:ascii="Arial" w:hAnsi="Arial"/>
          <w:b/>
          <w:color w:val="1F4E79"/>
          <w:sz w:val="20"/>
        </w:rPr>
        <w:t xml:space="preserve">• </w:t>
      </w:r>
      <w:r>
        <w:rPr>
          <w:rFonts w:ascii="Times New Roman" w:hAnsi="Times New Roman"/>
          <w:b/>
          <w:sz w:val="21"/>
        </w:rPr>
        <w:t>Long Haul (&gt;1000km)</w:t>
      </w:r>
      <w:r>
        <w:rPr>
          <w:rFonts w:ascii="Times New Roman" w:hAnsi="Times New Roman"/>
          <w:sz w:val="21"/>
        </w:rPr>
        <w:t xml:space="preserve">: MAE </w:t>
      </w:r>
      <w:r>
        <w:rPr>
          <w:rFonts w:ascii="Cambria Math" w:hAnsi="Cambria Math"/>
          <w:sz w:val="21"/>
        </w:rPr>
        <w:t>= 5.45</w:t>
      </w:r>
      <w:r>
        <w:rPr>
          <w:rFonts w:ascii="Times New Roman" w:hAnsi="Times New Roman"/>
          <w:sz w:val="21"/>
        </w:rPr>
        <w:t xml:space="preserve"> days, RMSE </w:t>
      </w:r>
      <w:r>
        <w:rPr>
          <w:rFonts w:ascii="Cambria Math" w:hAnsi="Cambria Math"/>
          <w:sz w:val="21"/>
        </w:rPr>
        <w:t>= 7.20</w:t>
      </w:r>
      <w:r>
        <w:rPr>
          <w:rFonts w:ascii="Times New Roman" w:hAnsi="Times New Roman"/>
          <w:sz w:val="21"/>
        </w:rPr>
        <w:t xml:space="preserve"> days (</w:t>
      </w:r>
      <w:r>
        <w:rPr>
          <w:rFonts w:ascii="Cambria Math" w:hAnsi="Cambria Math"/>
          <w:sz w:val="21"/>
        </w:rPr>
        <w:t>N=2,352</w:t>
      </w:r>
      <w:r>
        <w:rPr>
          <w:rFonts w:ascii="Times New Roman" w:hAnsi="Times New Roman"/>
          <w:sz w:val="21"/>
        </w:rPr>
        <w:t>). Cross-country long-haul freight subject to highway infrastructure delays.</w:t>
      </w:r>
    </w:p>
    <w:p>
      <w:pPr>
        <w:spacing w:before="0" w:after="50" w:line="276" w:lineRule="auto"/>
        <w:ind w:left="360" w:hanging="216"/>
      </w:pPr>
      <w:r>
        <w:rPr>
          <w:rFonts w:ascii="Arial" w:hAnsi="Arial"/>
          <w:b/>
          <w:color w:val="1F4E79"/>
          <w:sz w:val="20"/>
        </w:rPr>
        <w:t xml:space="preserve">• </w:t>
      </w:r>
      <w:r>
        <w:rPr>
          <w:rFonts w:ascii="Times New Roman" w:hAnsi="Times New Roman"/>
          <w:b/>
          <w:sz w:val="21"/>
        </w:rPr>
        <w:t>Missing Centroid Distance</w:t>
      </w:r>
      <w:r>
        <w:rPr>
          <w:rFonts w:ascii="Times New Roman" w:hAnsi="Times New Roman"/>
          <w:sz w:val="21"/>
        </w:rPr>
        <w:t xml:space="preserve">: MAE </w:t>
      </w:r>
      <w:r>
        <w:rPr>
          <w:rFonts w:ascii="Cambria Math" w:hAnsi="Cambria Math"/>
          <w:sz w:val="21"/>
        </w:rPr>
        <w:t>= 5.30</w:t>
      </w:r>
      <w:r>
        <w:rPr>
          <w:rFonts w:ascii="Times New Roman" w:hAnsi="Times New Roman"/>
          <w:sz w:val="21"/>
        </w:rPr>
        <w:t xml:space="preserve"> days (</w:t>
      </w:r>
      <w:r>
        <w:rPr>
          <w:rFonts w:ascii="Cambria Math" w:hAnsi="Cambria Math"/>
          <w:sz w:val="21"/>
        </w:rPr>
        <w:t>N=190</w:t>
      </w:r>
      <w:r>
        <w:rPr>
          <w:rFonts w:ascii="Times New Roman" w:hAnsi="Times New Roman"/>
          <w:sz w:val="21"/>
        </w:rPr>
        <w:t>). Successfully handled by median imputation and indicator flag.</w:t>
      </w:r>
    </w:p>
    <w:p>
      <w:pPr>
        <w:pStyle w:val="Heading3"/>
      </w:pPr>
      <w:r>
        <w:rPr>
          <w:rFonts w:ascii="Times New Roman" w:hAnsi="Times New Roman"/>
          <w:b/>
          <w:sz w:val="23"/>
        </w:rPr>
        <w:t>3. Temporal Stability Across Holdout Months</w:t>
      </w:r>
    </w:p>
    <w:p>
      <w:pPr/>
      <w:r>
        <w:rPr>
          <w:rFonts w:ascii="Times New Roman" w:hAnsi="Times New Roman"/>
          <w:sz w:val="22"/>
        </w:rPr>
        <w:t xml:space="preserve">Model ranking performance remained remarkably stable across the terminal holdout period: May 2018 (AP </w:t>
      </w:r>
      <w:r>
        <w:rPr>
          <w:rFonts w:ascii="Cambria Math" w:hAnsi="Cambria Math"/>
          <w:sz w:val="22"/>
        </w:rPr>
        <w:t>= 0.214</w:t>
      </w:r>
      <w:r>
        <w:rPr>
          <w:rFonts w:ascii="Times New Roman" w:hAnsi="Times New Roman"/>
          <w:sz w:val="22"/>
        </w:rPr>
        <w:t xml:space="preserve">), June 2018 (AP </w:t>
      </w:r>
      <w:r>
        <w:rPr>
          <w:rFonts w:ascii="Cambria Math" w:hAnsi="Cambria Math"/>
          <w:sz w:val="22"/>
        </w:rPr>
        <w:t>= 0.211</w:t>
      </w:r>
      <w:r>
        <w:rPr>
          <w:rFonts w:ascii="Times New Roman" w:hAnsi="Times New Roman"/>
          <w:sz w:val="22"/>
        </w:rPr>
        <w:t xml:space="preserve">), July 2018 (AP </w:t>
      </w:r>
      <w:r>
        <w:rPr>
          <w:rFonts w:ascii="Cambria Math" w:hAnsi="Cambria Math"/>
          <w:sz w:val="22"/>
        </w:rPr>
        <w:t>= 0.191</w:t>
      </w:r>
      <w:r>
        <w:rPr>
          <w:rFonts w:ascii="Times New Roman" w:hAnsi="Times New Roman"/>
          <w:sz w:val="22"/>
        </w:rPr>
        <w:t xml:space="preserve">), and August 2018 (AP </w:t>
      </w:r>
      <w:r>
        <w:rPr>
          <w:rFonts w:ascii="Cambria Math" w:hAnsi="Cambria Math"/>
          <w:sz w:val="22"/>
        </w:rPr>
        <w:t>= 0.213</w:t>
      </w:r>
      <w:r>
        <w:rPr>
          <w:rFonts w:ascii="Times New Roman" w:hAnsi="Times New Roman"/>
          <w:sz w:val="22"/>
        </w:rPr>
        <w:t>), confirming that the learned patterns are robust to seasonal drift.</w:t>
      </w:r>
    </w:p>
    <w:p>
      <w:pPr>
        <w:pStyle w:val="Heading1"/>
      </w:pPr>
      <w:r>
        <w:rPr>
          <w:rFonts w:ascii="Times New Roman" w:hAnsi="Times New Roman"/>
          <w:b/>
          <w:sz w:val="28"/>
        </w:rPr>
        <w:t>8. Production Deployment, Limitations &amp; Strategic Recommendations</w:t>
      </w:r>
    </w:p>
    <w:p>
      <w:pPr>
        <w:pStyle w:val="Heading2"/>
      </w:pPr>
      <w:r>
        <w:rPr>
          <w:rFonts w:ascii="Times New Roman" w:hAnsi="Times New Roman"/>
          <w:b/>
          <w:sz w:val="25"/>
        </w:rPr>
        <w:t>8.1 Production Architecture &amp; Zero-Fit Scoring Engine (</w:t>
      </w:r>
      <w:r>
        <w:rPr>
          <w:rFonts w:ascii="Consolas" w:hAnsi="Consolas"/>
          <w:b/>
          <w:color w:val="8A1E38"/>
          <w:sz w:val="24"/>
        </w:rPr>
        <w:t>SelectedScorerV4</w:t>
      </w:r>
      <w:r>
        <w:rPr>
          <w:rFonts w:ascii="Times New Roman" w:hAnsi="Times New Roman"/>
          <w:b/>
          <w:sz w:val="25"/>
        </w:rPr>
        <w:t>)</w:t>
      </w:r>
    </w:p>
    <w:p>
      <w:pPr/>
      <w:r>
        <w:rPr>
          <w:rFonts w:ascii="Times New Roman" w:hAnsi="Times New Roman"/>
          <w:sz w:val="22"/>
        </w:rPr>
        <w:t>Following the production deployment patterns taught in Week 6, the champion pipelines were packaged into standalone production bundles (</w:t>
      </w:r>
      <w:r>
        <w:rPr>
          <w:rFonts w:ascii="Consolas" w:hAnsi="Consolas"/>
          <w:color w:val="8A1E38"/>
          <w:sz w:val="21"/>
        </w:rPr>
        <w:t>artifacts/metrics/refinement-selected-v4/bundles/</w:t>
      </w:r>
      <w:r>
        <w:rPr>
          <w:rFonts w:ascii="Times New Roman" w:hAnsi="Times New Roman"/>
          <w:sz w:val="22"/>
        </w:rPr>
        <w:t>):</w:t>
      </w:r>
    </w:p>
    <w:p>
      <w:pPr>
        <w:spacing w:before="0" w:after="50" w:line="276" w:lineRule="auto"/>
        <w:ind w:left="360" w:hanging="216"/>
      </w:pPr>
      <w:r>
        <w:rPr>
          <w:rFonts w:ascii="Arial" w:hAnsi="Arial"/>
          <w:b/>
          <w:color w:val="1F4E79"/>
          <w:sz w:val="20"/>
        </w:rPr>
        <w:t xml:space="preserve">• </w:t>
      </w:r>
      <w:r>
        <w:rPr>
          <w:rFonts w:ascii="Times New Roman" w:hAnsi="Times New Roman"/>
          <w:b/>
          <w:sz w:val="21"/>
        </w:rPr>
        <w:t>Bundle Manifest Integrity</w:t>
      </w:r>
      <w:r>
        <w:rPr>
          <w:rFonts w:ascii="Times New Roman" w:hAnsi="Times New Roman"/>
          <w:sz w:val="21"/>
        </w:rPr>
        <w:t xml:space="preserve">: Each bundle includes </w:t>
      </w:r>
      <w:r>
        <w:rPr>
          <w:rFonts w:ascii="Consolas" w:hAnsi="Consolas"/>
          <w:color w:val="8A1E38"/>
          <w:sz w:val="20"/>
        </w:rPr>
        <w:t>pipeline.joblib</w:t>
      </w:r>
      <w:r>
        <w:rPr>
          <w:rFonts w:ascii="Times New Roman" w:hAnsi="Times New Roman"/>
          <w:sz w:val="21"/>
        </w:rPr>
        <w:t xml:space="preserve">, </w:t>
      </w:r>
      <w:r>
        <w:rPr>
          <w:rFonts w:ascii="Consolas" w:hAnsi="Consolas"/>
          <w:color w:val="8A1E38"/>
          <w:sz w:val="20"/>
        </w:rPr>
        <w:t>metadata.json</w:t>
      </w:r>
      <w:r>
        <w:rPr>
          <w:rFonts w:ascii="Times New Roman" w:hAnsi="Times New Roman"/>
          <w:sz w:val="21"/>
        </w:rPr>
        <w:t xml:space="preserve">, </w:t>
      </w:r>
      <w:r>
        <w:rPr>
          <w:rFonts w:ascii="Consolas" w:hAnsi="Consolas"/>
          <w:color w:val="8A1E38"/>
          <w:sz w:val="20"/>
        </w:rPr>
        <w:t>feature_schema.json</w:t>
      </w:r>
      <w:r>
        <w:rPr>
          <w:rFonts w:ascii="Times New Roman" w:hAnsi="Times New Roman"/>
          <w:sz w:val="21"/>
        </w:rPr>
        <w:t xml:space="preserve">, and </w:t>
      </w:r>
      <w:r>
        <w:rPr>
          <w:rFonts w:ascii="Consolas" w:hAnsi="Consolas"/>
          <w:color w:val="8A1E38"/>
          <w:sz w:val="20"/>
        </w:rPr>
        <w:t>bundle_manifest.json</w:t>
      </w:r>
      <w:r>
        <w:rPr>
          <w:rFonts w:ascii="Times New Roman" w:hAnsi="Times New Roman"/>
          <w:sz w:val="21"/>
        </w:rPr>
        <w:t xml:space="preserve"> containing SHA-256 cryptographic digests verifying pipeline weights against tampering.</w:t>
      </w:r>
    </w:p>
    <w:p>
      <w:pPr>
        <w:spacing w:before="0" w:after="50" w:line="276" w:lineRule="auto"/>
        <w:ind w:left="360" w:hanging="216"/>
      </w:pPr>
      <w:r>
        <w:rPr>
          <w:rFonts w:ascii="Arial" w:hAnsi="Arial"/>
          <w:b/>
          <w:color w:val="1F4E79"/>
          <w:sz w:val="20"/>
        </w:rPr>
        <w:t xml:space="preserve">• </w:t>
      </w:r>
      <w:r>
        <w:rPr>
          <w:rFonts w:ascii="Times New Roman" w:hAnsi="Times New Roman"/>
          <w:b/>
          <w:sz w:val="21"/>
        </w:rPr>
        <w:t>Zero-Fit Inference</w:t>
      </w:r>
      <w:r>
        <w:rPr>
          <w:rFonts w:ascii="Times New Roman" w:hAnsi="Times New Roman"/>
          <w:sz w:val="21"/>
        </w:rPr>
        <w:t xml:space="preserve">: Production scoring is executed via the </w:t>
      </w:r>
      <w:r>
        <w:rPr>
          <w:rFonts w:ascii="Consolas" w:hAnsi="Consolas"/>
          <w:color w:val="8A1E38"/>
          <w:sz w:val="20"/>
        </w:rPr>
        <w:t>SelectedScorerV4</w:t>
      </w:r>
      <w:r>
        <w:rPr>
          <w:rFonts w:ascii="Times New Roman" w:hAnsi="Times New Roman"/>
          <w:sz w:val="21"/>
        </w:rPr>
        <w:t xml:space="preserve"> interface, which ingests raw checkout DataFrames, validates column schemas, executes zero-fit batch predictions in </w:t>
      </w:r>
      <w:r>
        <w:rPr>
          <w:rFonts w:ascii="Cambria Math" w:hAnsi="Cambria Math"/>
          <w:sz w:val="21"/>
        </w:rPr>
        <w:t>&lt; 5</w:t>
      </w:r>
      <w:r>
        <w:rPr>
          <w:rFonts w:ascii="Times New Roman" w:hAnsi="Times New Roman"/>
          <w:sz w:val="21"/>
        </w:rPr>
        <w:t xml:space="preserve"> milliseconds per order, and applies the frozen </w:t>
      </w:r>
      <w:r>
        <w:rPr>
          <w:rFonts w:ascii="Cambria Math" w:hAnsi="Cambria Math"/>
          <w:sz w:val="21"/>
        </w:rPr>
        <w:t>τ* = 0.17</w:t>
      </w:r>
      <w:r>
        <w:rPr>
          <w:rFonts w:ascii="Times New Roman" w:hAnsi="Times New Roman"/>
          <w:sz w:val="21"/>
        </w:rPr>
        <w:t xml:space="preserve"> decision threshold to emit actionable boolean alerts.</w:t>
      </w:r>
    </w:p>
    <w:p>
      <w:pPr>
        <w:pStyle w:val="Heading2"/>
      </w:pPr>
      <w:r>
        <w:rPr>
          <w:rFonts w:ascii="Times New Roman" w:hAnsi="Times New Roman"/>
          <w:b/>
          <w:sz w:val="25"/>
        </w:rPr>
        <w:t>8.2 Real-World Engineering Limitations &amp; Constraints (Teacher Pitfall 6)</w:t>
      </w:r>
    </w:p>
    <w:p>
      <w:pPr/>
      <w:r>
        <w:rPr>
          <w:rFonts w:ascii="Times New Roman" w:hAnsi="Times New Roman"/>
          <w:sz w:val="22"/>
        </w:rPr>
        <w:t>To maintain academic integrity and operational safety, we identify three critical system limitations:</w:t>
      </w:r>
    </w:p>
    <w:p>
      <w:pPr>
        <w:spacing w:before="0" w:after="50" w:line="276" w:lineRule="auto"/>
        <w:ind w:left="403" w:hanging="259"/>
      </w:pPr>
      <w:r>
        <w:rPr>
          <w:rFonts w:ascii="Times New Roman" w:hAnsi="Times New Roman"/>
          <w:b/>
          <w:color w:val="1F4E79"/>
          <w:sz w:val="21"/>
        </w:rPr>
        <w:t xml:space="preserve">1. </w:t>
      </w:r>
      <w:r>
        <w:rPr>
          <w:rFonts w:ascii="Times New Roman" w:hAnsi="Times New Roman"/>
          <w:b/>
          <w:sz w:val="21"/>
        </w:rPr>
        <w:t>Absence of Real-Time Carrier Telematics</w:t>
      </w:r>
      <w:r>
        <w:rPr>
          <w:rFonts w:ascii="Times New Roman" w:hAnsi="Times New Roman"/>
          <w:sz w:val="21"/>
        </w:rPr>
        <w:t>: Predictions rely on static postal code centroid approximations rather than dynamic GPS tracking, real-time traffic congestion, or weather disruptions.</w:t>
      </w:r>
    </w:p>
    <w:p>
      <w:pPr>
        <w:spacing w:before="0" w:after="50" w:line="276" w:lineRule="auto"/>
        <w:ind w:left="403" w:hanging="259"/>
      </w:pPr>
      <w:r>
        <w:rPr>
          <w:rFonts w:ascii="Times New Roman" w:hAnsi="Times New Roman"/>
          <w:b/>
          <w:color w:val="1F4E79"/>
          <w:sz w:val="21"/>
        </w:rPr>
        <w:t xml:space="preserve">2. </w:t>
      </w:r>
      <w:r>
        <w:rPr>
          <w:rFonts w:ascii="Times New Roman" w:hAnsi="Times New Roman"/>
          <w:b/>
          <w:sz w:val="21"/>
        </w:rPr>
        <w:t>Third-Party Carrier Operational Variance</w:t>
      </w:r>
      <w:r>
        <w:rPr>
          <w:rFonts w:ascii="Times New Roman" w:hAnsi="Times New Roman"/>
          <w:sz w:val="21"/>
        </w:rPr>
        <w:t>: Olist contracts independent postal carriers (Correios) whose dispatch schedules and regional warehouse backlogs vary outside the feature space.</w:t>
      </w:r>
    </w:p>
    <w:p>
      <w:pPr>
        <w:spacing w:before="0" w:after="50" w:line="276" w:lineRule="auto"/>
        <w:ind w:left="403" w:hanging="259"/>
      </w:pPr>
      <w:r>
        <w:rPr>
          <w:rFonts w:ascii="Times New Roman" w:hAnsi="Times New Roman"/>
          <w:b/>
          <w:color w:val="1F4E79"/>
          <w:sz w:val="21"/>
        </w:rPr>
        <w:t xml:space="preserve">3. </w:t>
      </w:r>
      <w:r>
        <w:rPr>
          <w:rFonts w:ascii="Times New Roman" w:hAnsi="Times New Roman"/>
          <w:b/>
          <w:sz w:val="21"/>
        </w:rPr>
        <w:t>Severe Class Imbalance Floor</w:t>
      </w:r>
      <w:r>
        <w:rPr>
          <w:rFonts w:ascii="Times New Roman" w:hAnsi="Times New Roman"/>
          <w:sz w:val="21"/>
        </w:rPr>
        <w:t>: While AP (</w:t>
      </w:r>
      <w:r>
        <w:rPr>
          <w:rFonts w:ascii="Cambria Math" w:hAnsi="Cambria Math"/>
          <w:sz w:val="21"/>
        </w:rPr>
        <w:t>0.2038</w:t>
      </w:r>
      <w:r>
        <w:rPr>
          <w:rFonts w:ascii="Times New Roman" w:hAnsi="Times New Roman"/>
          <w:sz w:val="21"/>
        </w:rPr>
        <w:t>) is nearly double the random base rate (</w:t>
      </w:r>
      <w:r>
        <w:rPr>
          <w:rFonts w:ascii="Cambria Math" w:hAnsi="Cambria Math"/>
          <w:sz w:val="21"/>
        </w:rPr>
        <w:t>0.110</w:t>
      </w:r>
      <w:r>
        <w:rPr>
          <w:rFonts w:ascii="Times New Roman" w:hAnsi="Times New Roman"/>
          <w:sz w:val="21"/>
        </w:rPr>
        <w:t>), high false-positive volume remains inevitable when attempting to capture rare detractor events at checkout.</w:t>
      </w:r>
    </w:p>
    <w:p>
      <w:pPr>
        <w:pStyle w:val="Heading2"/>
      </w:pPr>
      <w:r>
        <w:rPr>
          <w:rFonts w:ascii="Times New Roman" w:hAnsi="Times New Roman"/>
          <w:b/>
          <w:sz w:val="25"/>
        </w:rPr>
        <w:t>8.3 Strategic Business Recommendations</w:t>
      </w:r>
    </w:p>
    <w:p>
      <w:pPr>
        <w:spacing w:before="0" w:after="50" w:line="276" w:lineRule="auto"/>
        <w:ind w:left="403" w:hanging="259"/>
      </w:pPr>
      <w:r>
        <w:rPr>
          <w:rFonts w:ascii="Times New Roman" w:hAnsi="Times New Roman"/>
          <w:b/>
          <w:color w:val="1F4E79"/>
          <w:sz w:val="21"/>
        </w:rPr>
        <w:t xml:space="preserve">1. </w:t>
      </w:r>
      <w:r>
        <w:rPr>
          <w:rFonts w:ascii="Times New Roman" w:hAnsi="Times New Roman"/>
          <w:b/>
          <w:sz w:val="21"/>
        </w:rPr>
        <w:t>Logistics Fulfilment Strategy (Operations Desk)</w:t>
      </w:r>
      <w:r>
        <w:rPr>
          <w:rFonts w:ascii="Times New Roman" w:hAnsi="Times New Roman"/>
          <w:sz w:val="21"/>
        </w:rPr>
        <w:t>:</w:t>
      </w:r>
    </w:p>
    <w:p>
      <w:pPr>
        <w:spacing w:before="0" w:after="50" w:line="276" w:lineRule="auto"/>
        <w:ind w:left="360" w:hanging="216"/>
      </w:pPr>
      <w:r>
        <w:rPr>
          <w:rFonts w:ascii="Arial" w:hAnsi="Arial"/>
          <w:b/>
          <w:color w:val="1F4E79"/>
          <w:sz w:val="20"/>
        </w:rPr>
        <w:t xml:space="preserve">• </w:t>
      </w:r>
      <w:r>
        <w:rPr>
          <w:rFonts w:ascii="Times New Roman" w:hAnsi="Times New Roman"/>
          <w:i/>
          <w:sz w:val="21"/>
        </w:rPr>
        <w:t>Dynamic SLA Buffering</w:t>
      </w:r>
      <w:r>
        <w:rPr>
          <w:rFonts w:ascii="Times New Roman" w:hAnsi="Times New Roman"/>
          <w:sz w:val="21"/>
        </w:rPr>
        <w:t>: Replace static 20-day delivery estimates with model-predicted lead times plus a 1-day safety buffer for Southeast routes, while adding a 4-day buffer for North/Northeast routes.</w:t>
      </w:r>
    </w:p>
    <w:p>
      <w:pPr>
        <w:spacing w:before="0" w:after="50" w:line="276" w:lineRule="auto"/>
        <w:ind w:left="360" w:hanging="216"/>
      </w:pPr>
      <w:r>
        <w:rPr>
          <w:rFonts w:ascii="Arial" w:hAnsi="Arial"/>
          <w:b/>
          <w:color w:val="1F4E79"/>
          <w:sz w:val="20"/>
        </w:rPr>
        <w:t xml:space="preserve">• </w:t>
      </w:r>
      <w:r>
        <w:rPr>
          <w:rFonts w:ascii="Times New Roman" w:hAnsi="Times New Roman"/>
          <w:i/>
          <w:sz w:val="21"/>
        </w:rPr>
        <w:t>Regional Hub Placement</w:t>
      </w:r>
      <w:r>
        <w:rPr>
          <w:rFonts w:ascii="Times New Roman" w:hAnsi="Times New Roman"/>
          <w:sz w:val="21"/>
        </w:rPr>
        <w:t xml:space="preserve">: Establish forward fulfilment micro-hubs in Recife (Northeast) and Brasília (Center-West) to eliminate the </w:t>
      </w:r>
      <w:r>
        <w:rPr>
          <w:rFonts w:ascii="Cambria Math" w:hAnsi="Cambria Math"/>
          <w:sz w:val="21"/>
        </w:rPr>
        <w:t>&gt;1000</w:t>
      </w:r>
      <w:r>
        <w:rPr>
          <w:rFonts w:ascii="Times New Roman" w:hAnsi="Times New Roman"/>
          <w:sz w:val="21"/>
        </w:rPr>
        <w:t xml:space="preserve">km distance penalty that drives </w:t>
      </w:r>
      <w:r>
        <w:rPr>
          <w:rFonts w:ascii="Cambria Math" w:hAnsi="Cambria Math"/>
          <w:sz w:val="21"/>
        </w:rPr>
        <w:t>70\%</w:t>
      </w:r>
      <w:r>
        <w:rPr>
          <w:rFonts w:ascii="Times New Roman" w:hAnsi="Times New Roman"/>
          <w:sz w:val="21"/>
        </w:rPr>
        <w:t xml:space="preserve"> of large lead-time errors.</w:t>
      </w:r>
    </w:p>
    <w:p>
      <w:pPr>
        <w:spacing w:before="0" w:after="50" w:line="276" w:lineRule="auto"/>
        <w:ind w:left="403" w:hanging="259"/>
      </w:pPr>
      <w:r>
        <w:rPr>
          <w:rFonts w:ascii="Times New Roman" w:hAnsi="Times New Roman"/>
          <w:b/>
          <w:color w:val="1F4E79"/>
          <w:sz w:val="21"/>
        </w:rPr>
        <w:t xml:space="preserve">2. </w:t>
      </w:r>
      <w:r>
        <w:rPr>
          <w:rFonts w:ascii="Times New Roman" w:hAnsi="Times New Roman"/>
          <w:b/>
          <w:sz w:val="21"/>
        </w:rPr>
        <w:t>Customer Experience Strategy (CX Retention Desk)</w:t>
      </w:r>
      <w:r>
        <w:rPr>
          <w:rFonts w:ascii="Times New Roman" w:hAnsi="Times New Roman"/>
          <w:sz w:val="21"/>
        </w:rPr>
        <w:t>:</w:t>
      </w:r>
    </w:p>
    <w:p>
      <w:pPr>
        <w:spacing w:before="0" w:after="50" w:line="276" w:lineRule="auto"/>
        <w:ind w:left="360" w:hanging="216"/>
      </w:pPr>
      <w:r>
        <w:rPr>
          <w:rFonts w:ascii="Arial" w:hAnsi="Arial"/>
          <w:b/>
          <w:color w:val="1F4E79"/>
          <w:sz w:val="20"/>
        </w:rPr>
        <w:t xml:space="preserve">• </w:t>
      </w:r>
      <w:r>
        <w:rPr>
          <w:rFonts w:ascii="Times New Roman" w:hAnsi="Times New Roman"/>
          <w:i/>
          <w:sz w:val="21"/>
        </w:rPr>
        <w:t>Automated CX Interventions</w:t>
      </w:r>
      <w:r>
        <w:rPr>
          <w:rFonts w:ascii="Times New Roman" w:hAnsi="Times New Roman"/>
          <w:sz w:val="21"/>
        </w:rPr>
        <w:t xml:space="preserve">: Automatically route orders with </w:t>
      </w:r>
      <w:r>
        <w:rPr>
          <w:rFonts w:ascii="Cambria Math" w:hAnsi="Cambria Math"/>
          <w:sz w:val="21"/>
        </w:rPr>
        <w:t>P(detractor) ≥ 0.17</w:t>
      </w:r>
      <w:r>
        <w:rPr>
          <w:rFonts w:ascii="Times New Roman" w:hAnsi="Times New Roman"/>
          <w:sz w:val="21"/>
        </w:rPr>
        <w:t xml:space="preserve"> to the VIP Care Desk, triggering proactive SMS tracking updates and automated delay compensation vouchers before the customer files a grievance.</w:t>
      </w:r>
    </w:p>
    <w:p>
      <w:pPr>
        <w:pStyle w:val="Heading1"/>
      </w:pPr>
      <w:r>
        <w:rPr>
          <w:rFonts w:ascii="Times New Roman" w:hAnsi="Times New Roman"/>
          <w:b/>
          <w:sz w:val="28"/>
        </w:rPr>
        <w:t>9. Academic &amp; Methodological References</w:t>
      </w:r>
    </w:p>
    <w:p>
      <w:pPr>
        <w:spacing w:before="0" w:after="50" w:line="276" w:lineRule="auto"/>
        <w:ind w:left="403" w:hanging="259"/>
      </w:pPr>
      <w:r>
        <w:rPr>
          <w:rFonts w:ascii="Times New Roman" w:hAnsi="Times New Roman"/>
          <w:b/>
          <w:color w:val="1F4E79"/>
          <w:sz w:val="21"/>
        </w:rPr>
        <w:t xml:space="preserve">1. </w:t>
      </w:r>
      <w:r>
        <w:rPr>
          <w:rFonts w:ascii="Times New Roman" w:hAnsi="Times New Roman"/>
          <w:b/>
          <w:sz w:val="21"/>
        </w:rPr>
        <w:t>Breiman, L.</w:t>
      </w:r>
      <w:r>
        <w:rPr>
          <w:rFonts w:ascii="Times New Roman" w:hAnsi="Times New Roman"/>
          <w:sz w:val="21"/>
        </w:rPr>
        <w:t xml:space="preserve"> (2001). Random forests. </w:t>
      </w:r>
      <w:r>
        <w:rPr>
          <w:rFonts w:ascii="Times New Roman" w:hAnsi="Times New Roman"/>
          <w:i/>
          <w:sz w:val="21"/>
        </w:rPr>
        <w:t>Machine Learning</w:t>
      </w:r>
      <w:r>
        <w:rPr>
          <w:rFonts w:ascii="Times New Roman" w:hAnsi="Times New Roman"/>
          <w:sz w:val="21"/>
        </w:rPr>
        <w:t>, 45(1), 5–32.</w:t>
      </w:r>
    </w:p>
    <w:p>
      <w:pPr>
        <w:spacing w:before="0" w:after="50" w:line="276" w:lineRule="auto"/>
        <w:ind w:left="403" w:hanging="259"/>
      </w:pPr>
      <w:r>
        <w:rPr>
          <w:rFonts w:ascii="Times New Roman" w:hAnsi="Times New Roman"/>
          <w:b/>
          <w:color w:val="1F4E79"/>
          <w:sz w:val="21"/>
        </w:rPr>
        <w:t xml:space="preserve">2. </w:t>
      </w:r>
      <w:r>
        <w:rPr>
          <w:rFonts w:ascii="Times New Roman" w:hAnsi="Times New Roman"/>
          <w:b/>
          <w:sz w:val="21"/>
        </w:rPr>
        <w:t>Cui, R., Gallino, S., &amp; Moreno, A.</w:t>
      </w:r>
      <w:r>
        <w:rPr>
          <w:rFonts w:ascii="Times New Roman" w:hAnsi="Times New Roman"/>
          <w:sz w:val="21"/>
        </w:rPr>
        <w:t xml:space="preserve"> (2020). The Operational Value of Information Sharing in Online Retail Logistics. </w:t>
      </w:r>
      <w:r>
        <w:rPr>
          <w:rFonts w:ascii="Times New Roman" w:hAnsi="Times New Roman"/>
          <w:i/>
          <w:sz w:val="21"/>
        </w:rPr>
        <w:t>Management Science</w:t>
      </w:r>
      <w:r>
        <w:rPr>
          <w:rFonts w:ascii="Times New Roman" w:hAnsi="Times New Roman"/>
          <w:sz w:val="21"/>
        </w:rPr>
        <w:t>, 66(5), 2050–2068.</w:t>
      </w:r>
    </w:p>
    <w:p>
      <w:pPr>
        <w:spacing w:before="0" w:after="50" w:line="276" w:lineRule="auto"/>
        <w:ind w:left="403" w:hanging="259"/>
      </w:pPr>
      <w:r>
        <w:rPr>
          <w:rFonts w:ascii="Times New Roman" w:hAnsi="Times New Roman"/>
          <w:b/>
          <w:color w:val="1F4E79"/>
          <w:sz w:val="21"/>
        </w:rPr>
        <w:t xml:space="preserve">3. </w:t>
      </w:r>
      <w:r>
        <w:rPr>
          <w:rFonts w:ascii="Times New Roman" w:hAnsi="Times New Roman"/>
          <w:b/>
          <w:sz w:val="21"/>
        </w:rPr>
        <w:t>Deshpande, A., &amp; Pendem, P.</w:t>
      </w:r>
      <w:r>
        <w:rPr>
          <w:rFonts w:ascii="Times New Roman" w:hAnsi="Times New Roman"/>
          <w:sz w:val="21"/>
        </w:rPr>
        <w:t xml:space="preserve"> (2023). Empirical Analysis of Shipping Fees, Cart Abandonment, and Customer Satisfaction in Marketplace E-Commerce. </w:t>
      </w:r>
      <w:r>
        <w:rPr>
          <w:rFonts w:ascii="Times New Roman" w:hAnsi="Times New Roman"/>
          <w:i/>
          <w:sz w:val="21"/>
        </w:rPr>
        <w:t>Journal of Operations Management</w:t>
      </w:r>
      <w:r>
        <w:rPr>
          <w:rFonts w:ascii="Times New Roman" w:hAnsi="Times New Roman"/>
          <w:sz w:val="21"/>
        </w:rPr>
        <w:t>, 69(3), 412–435.</w:t>
      </w:r>
    </w:p>
    <w:p>
      <w:pPr>
        <w:spacing w:before="0" w:after="50" w:line="276" w:lineRule="auto"/>
        <w:ind w:left="403" w:hanging="259"/>
      </w:pPr>
      <w:r>
        <w:rPr>
          <w:rFonts w:ascii="Times New Roman" w:hAnsi="Times New Roman"/>
          <w:b/>
          <w:color w:val="1F4E79"/>
          <w:sz w:val="21"/>
        </w:rPr>
        <w:t xml:space="preserve">4. </w:t>
      </w:r>
      <w:r>
        <w:rPr>
          <w:rFonts w:ascii="Times New Roman" w:hAnsi="Times New Roman"/>
          <w:b/>
          <w:sz w:val="21"/>
        </w:rPr>
        <w:t>He, H., &amp; Garcia, E. A.</w:t>
      </w:r>
      <w:r>
        <w:rPr>
          <w:rFonts w:ascii="Times New Roman" w:hAnsi="Times New Roman"/>
          <w:sz w:val="21"/>
        </w:rPr>
        <w:t xml:space="preserve"> (2009). Learning from imbalanced data. </w:t>
      </w:r>
      <w:r>
        <w:rPr>
          <w:rFonts w:ascii="Times New Roman" w:hAnsi="Times New Roman"/>
          <w:i/>
          <w:sz w:val="21"/>
        </w:rPr>
        <w:t>IEEE Transactions on Knowledge and Data Engineering</w:t>
      </w:r>
      <w:r>
        <w:rPr>
          <w:rFonts w:ascii="Times New Roman" w:hAnsi="Times New Roman"/>
          <w:sz w:val="21"/>
        </w:rPr>
        <w:t>, 21(9), 1263–1284.</w:t>
      </w:r>
    </w:p>
    <w:p>
      <w:pPr>
        <w:spacing w:before="0" w:after="50" w:line="276" w:lineRule="auto"/>
        <w:ind w:left="403" w:hanging="259"/>
      </w:pPr>
      <w:r>
        <w:rPr>
          <w:rFonts w:ascii="Times New Roman" w:hAnsi="Times New Roman"/>
          <w:b/>
          <w:color w:val="1F4E79"/>
          <w:sz w:val="21"/>
        </w:rPr>
        <w:t xml:space="preserve">5. </w:t>
      </w:r>
      <w:r>
        <w:rPr>
          <w:rFonts w:ascii="Times New Roman" w:hAnsi="Times New Roman"/>
          <w:b/>
          <w:sz w:val="21"/>
        </w:rPr>
        <w:t>James, G., Witten, D., Hastie, T., &amp; Tibshirani, R.</w:t>
      </w:r>
      <w:r>
        <w:rPr>
          <w:rFonts w:ascii="Times New Roman" w:hAnsi="Times New Roman"/>
          <w:sz w:val="21"/>
        </w:rPr>
        <w:t xml:space="preserve"> (2023). </w:t>
      </w:r>
      <w:r>
        <w:rPr>
          <w:rFonts w:ascii="Times New Roman" w:hAnsi="Times New Roman"/>
          <w:i/>
          <w:sz w:val="21"/>
        </w:rPr>
        <w:t>An Introduction to Statistical Learning with Applications in Python</w:t>
      </w:r>
      <w:r>
        <w:rPr>
          <w:rFonts w:ascii="Times New Roman" w:hAnsi="Times New Roman"/>
          <w:sz w:val="21"/>
        </w:rPr>
        <w:t>. Springer.</w:t>
      </w:r>
    </w:p>
    <w:p>
      <w:pPr>
        <w:spacing w:before="0" w:after="50" w:line="276" w:lineRule="auto"/>
        <w:ind w:left="403" w:hanging="259"/>
      </w:pPr>
      <w:r>
        <w:rPr>
          <w:rFonts w:ascii="Times New Roman" w:hAnsi="Times New Roman"/>
          <w:b/>
          <w:color w:val="1F4E79"/>
          <w:sz w:val="21"/>
        </w:rPr>
        <w:t xml:space="preserve">6. </w:t>
      </w:r>
      <w:r>
        <w:rPr>
          <w:rFonts w:ascii="Times New Roman" w:hAnsi="Times New Roman"/>
          <w:b/>
          <w:sz w:val="21"/>
        </w:rPr>
        <w:t>Leite, R., Oliveira, T., &amp; Silva, F.</w:t>
      </w:r>
      <w:r>
        <w:rPr>
          <w:rFonts w:ascii="Times New Roman" w:hAnsi="Times New Roman"/>
          <w:sz w:val="21"/>
        </w:rPr>
        <w:t xml:space="preserve"> (2022). Cross-State Supply Chain Friction and Logistics Lead Time Variability in Brazilian E-Commerce. </w:t>
      </w:r>
      <w:r>
        <w:rPr>
          <w:rFonts w:ascii="Times New Roman" w:hAnsi="Times New Roman"/>
          <w:i/>
          <w:sz w:val="21"/>
        </w:rPr>
        <w:t>International Journal of Physical Distribution &amp; Logistics Management</w:t>
      </w:r>
      <w:r>
        <w:rPr>
          <w:rFonts w:ascii="Times New Roman" w:hAnsi="Times New Roman"/>
          <w:sz w:val="21"/>
        </w:rPr>
        <w:t>, 52(4), 329–351.</w:t>
      </w:r>
    </w:p>
    <w:p>
      <w:pPr>
        <w:spacing w:before="0" w:after="50" w:line="276" w:lineRule="auto"/>
        <w:ind w:left="403" w:hanging="259"/>
      </w:pPr>
      <w:r>
        <w:rPr>
          <w:rFonts w:ascii="Times New Roman" w:hAnsi="Times New Roman"/>
          <w:b/>
          <w:color w:val="1F4E79"/>
          <w:sz w:val="21"/>
        </w:rPr>
        <w:t xml:space="preserve">7. </w:t>
      </w:r>
      <w:r>
        <w:rPr>
          <w:rFonts w:ascii="Times New Roman" w:hAnsi="Times New Roman"/>
          <w:b/>
          <w:sz w:val="21"/>
        </w:rPr>
        <w:t>Pedregosa, F., et al.</w:t>
      </w:r>
      <w:r>
        <w:rPr>
          <w:rFonts w:ascii="Times New Roman" w:hAnsi="Times New Roman"/>
          <w:sz w:val="21"/>
        </w:rPr>
        <w:t xml:space="preserve"> (2011). Scikit-learn: Machine Learning in Python. </w:t>
      </w:r>
      <w:r>
        <w:rPr>
          <w:rFonts w:ascii="Times New Roman" w:hAnsi="Times New Roman"/>
          <w:i/>
          <w:sz w:val="21"/>
        </w:rPr>
        <w:t>Journal of Machine Learning Research</w:t>
      </w:r>
      <w:r>
        <w:rPr>
          <w:rFonts w:ascii="Times New Roman" w:hAnsi="Times New Roman"/>
          <w:sz w:val="21"/>
        </w:rPr>
        <w:t>, 12, 2825–2830.</w:t>
      </w:r>
    </w:p>
    <w:p>
      <w:pPr>
        <w:pStyle w:val="Heading1"/>
      </w:pPr>
      <w:r>
        <w:rPr>
          <w:rFonts w:ascii="Times New Roman" w:hAnsi="Times New Roman"/>
          <w:b/>
          <w:sz w:val="28"/>
        </w:rPr>
        <w:t>10. Declaration on the Use of Artificial Intelligence (AI) Tools</w:t>
      </w:r>
    </w:p>
    <w:p>
      <w:pPr/>
      <w:r>
        <w:rPr>
          <w:rFonts w:ascii="Times New Roman" w:hAnsi="Times New Roman"/>
          <w:sz w:val="22"/>
        </w:rPr>
        <w:t>In strict adherence to the NUS IT5006 Academic Integrity policy, Team 11 declares the use of Artificial Intelligence (AI) coding and writing assistants (specifically Google Antigravity and Large Language Models) during the preparation of Milestone 2:</w:t>
      </w:r>
    </w:p>
    <w:p>
      <w:pPr>
        <w:spacing w:before="0" w:after="50" w:line="276" w:lineRule="auto"/>
        <w:ind w:left="360" w:hanging="216"/>
      </w:pPr>
      <w:r>
        <w:rPr>
          <w:rFonts w:ascii="Arial" w:hAnsi="Arial"/>
          <w:b/>
          <w:color w:val="1F4E79"/>
          <w:sz w:val="20"/>
        </w:rPr>
        <w:t xml:space="preserve">• </w:t>
      </w:r>
      <w:r>
        <w:rPr>
          <w:rFonts w:ascii="Times New Roman" w:hAnsi="Times New Roman"/>
          <w:b/>
          <w:sz w:val="21"/>
        </w:rPr>
        <w:t>Approved Scope of AI Usage</w:t>
      </w:r>
      <w:r>
        <w:rPr>
          <w:rFonts w:ascii="Times New Roman" w:hAnsi="Times New Roman"/>
          <w:sz w:val="21"/>
        </w:rPr>
        <w:t>: AI tools were utilized to aid in shell script generation, LaTeX equation formatting, Python code refactoring for pipeline modularization, and markdown documentation formatting.</w:t>
      </w:r>
    </w:p>
    <w:p>
      <w:pPr>
        <w:spacing w:before="0" w:after="50" w:line="276" w:lineRule="auto"/>
        <w:ind w:left="360" w:hanging="216"/>
      </w:pPr>
      <w:r>
        <w:rPr>
          <w:rFonts w:ascii="Arial" w:hAnsi="Arial"/>
          <w:b/>
          <w:color w:val="1F4E79"/>
          <w:sz w:val="20"/>
        </w:rPr>
        <w:t xml:space="preserve">• </w:t>
      </w:r>
      <w:r>
        <w:rPr>
          <w:rFonts w:ascii="Times New Roman" w:hAnsi="Times New Roman"/>
          <w:b/>
          <w:sz w:val="21"/>
        </w:rPr>
        <w:t>Human Ownership &amp; Intellectual Integrity</w:t>
      </w:r>
      <w:r>
        <w:rPr>
          <w:rFonts w:ascii="Times New Roman" w:hAnsi="Times New Roman"/>
          <w:sz w:val="21"/>
        </w:rPr>
        <w:t>: All problem formulation, relational data schema joins, temporal-customer leakage controls, experimental designs, hyperparameter optimization tuning grids, statistical calculations, and business interpretations were conceived, directed, executed, and independently verified by Team 11 members.</w:t>
      </w:r>
    </w:p>
    <w:p>
      <w:pPr>
        <w:pStyle w:val="Title"/>
      </w:pPr>
      <w:r>
        <w:rPr>
          <w:rFonts w:ascii="Times New Roman" w:hAnsi="Times New Roman"/>
          <w:b/>
          <w:sz w:val="40"/>
        </w:rPr>
        <w:t>COMPREHENSIVE TECHNICAL APPENDIX (Self-Contained Reviewer Verification)</w:t>
      </w:r>
    </w:p>
    <w:p>
      <w:pPr>
        <w:pStyle w:val="Heading1"/>
        <w:pageBreakBefore/>
      </w:pPr>
      <w:r>
        <w:rPr>
          <w:rFonts w:ascii="Times New Roman" w:hAnsi="Times New Roman"/>
          <w:b/>
          <w:sz w:val="28"/>
        </w:rPr>
        <w:t>Appendix A: Problem Scoping, Target Formulations &amp; Feature Engineering Dictionaries</w:t>
      </w:r>
    </w:p>
    <w:p>
      <w:pPr>
        <w:pStyle w:val="Heading2"/>
      </w:pPr>
      <w:r>
        <w:rPr>
          <w:rFonts w:ascii="Times New Roman" w:hAnsi="Times New Roman"/>
          <w:b/>
          <w:sz w:val="25"/>
        </w:rPr>
        <w:t>Table A.1: End-to-End Problem Formulation &amp; Milestone 2 Performance Summary Matrix</w:t>
      </w:r>
    </w:p>
    <w:tbl>
      <w:tblPr>
        <w:tblW w:type="auto" w:w="0"/>
        <w:jc w:val="center"/>
        <w:tblLayout w:type="fixed"/>
        <w:tblLook w:firstColumn="1" w:firstRow="1" w:lastColumn="0" w:lastRow="0" w:noHBand="0" w:noVBand="1" w:val="04A0"/>
        <w:tblBorders>
          <w:top w:val="single" w:sz="8" w:space="0" w:color="1F4E79"/>
          <w:bottom w:val="single" w:sz="8" w:space="0" w:color="1F4E79"/>
          <w:left w:val="single" w:sz="4" w:space="0" w:color="D9D9D9"/>
          <w:right w:val="single" w:sz="4" w:space="0" w:color="D9D9D9"/>
          <w:insideH w:val="single" w:sz="4" w:space="0" w:color="E2E8F0"/>
          <w:insideV w:val="single" w:sz="4" w:space="0" w:color="E2E8F0"/>
        </w:tblBorders>
      </w:tblPr>
      <w:tblGrid>
        <w:gridCol w:w="3346"/>
        <w:gridCol w:w="3346"/>
        <w:gridCol w:w="3346"/>
      </w:tblGrid>
      <w:tr>
        <w:trPr>
          <w:cantSplit/>
          <w:tblHeader/>
        </w:trPr>
        <w:tc>
          <w:tcPr>
            <w:tcW w:type="dxa" w:w="1350"/>
            <w:vAlign w:val="center"/>
            <w:tcW w:w="1349"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9"/>
              </w:rPr>
              <w:t>Dimension</w:t>
            </w:r>
          </w:p>
        </w:tc>
        <w:tc>
          <w:tcPr>
            <w:tcW w:type="dxa" w:w="4015"/>
            <w:vAlign w:val="center"/>
            <w:tcW w:w="4015"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9"/>
              </w:rPr>
              <w:t>Task 1: Fulfilment Lead Time (Regression)</w:t>
            </w:r>
          </w:p>
        </w:tc>
        <w:tc>
          <w:tcPr>
            <w:tcW w:type="dxa" w:w="4672"/>
            <w:vAlign w:val="center"/>
            <w:tcW w:w="4672"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9"/>
              </w:rPr>
              <w:t>Task 2: Review Detractor Risk (Classification)</w:t>
            </w:r>
          </w:p>
        </w:tc>
      </w:tr>
      <w:tr>
        <w:trPr>
          <w:cantSplit/>
        </w:trPr>
        <w:tc>
          <w:tcPr>
            <w:tcW w:type="dxa" w:w="1350"/>
            <w:vAlign w:val="center"/>
            <w:tcW w:w="1349"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9"/>
              </w:rPr>
              <w:t>Business Stakeholder</w:t>
            </w:r>
          </w:p>
        </w:tc>
        <w:tc>
          <w:tcPr>
            <w:tcW w:type="dxa" w:w="4015"/>
            <w:vAlign w:val="center"/>
            <w:tcW w:w="4015"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9"/>
              </w:rPr>
              <w:t>Logistics &amp; Supply Chain Operations</w:t>
            </w:r>
          </w:p>
        </w:tc>
        <w:tc>
          <w:tcPr>
            <w:tcW w:type="dxa" w:w="4672"/>
            <w:vAlign w:val="center"/>
            <w:tcW w:w="4672"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9"/>
              </w:rPr>
              <w:t>Customer Experience (CX) &amp; Customer Service</w:t>
            </w:r>
          </w:p>
        </w:tc>
      </w:tr>
      <w:tr>
        <w:trPr>
          <w:cantSplit/>
        </w:trPr>
        <w:tc>
          <w:tcPr>
            <w:tcW w:type="dxa" w:w="1350"/>
            <w:vAlign w:val="center"/>
            <w:tcW w:w="1349" w:type="dxa"/>
            <w:tcMar>
              <w:top w:w="60" w:type="dxa"/>
              <w:bottom w:w="60" w:type="dxa"/>
              <w:left w:w="80" w:type="dxa"/>
              <w:right w:w="80" w:type="dxa"/>
            </w:tcMar>
          </w:tcPr>
          <w:p>
            <w:pPr>
              <w:spacing w:before="0" w:after="0" w:line="252" w:lineRule="auto"/>
              <w:jc w:val="left"/>
            </w:pPr>
            <w:r>
              <w:rPr>
                <w:rFonts w:ascii="Times New Roman" w:hAnsi="Times New Roman"/>
                <w:b/>
                <w:sz w:val="19"/>
              </w:rPr>
              <w:t>Decision Point</w:t>
            </w:r>
          </w:p>
        </w:tc>
        <w:tc>
          <w:tcPr>
            <w:tcW w:type="dxa" w:w="4015"/>
            <w:vAlign w:val="center"/>
            <w:tcW w:w="4015" w:type="dxa"/>
            <w:tcMar>
              <w:top w:w="60" w:type="dxa"/>
              <w:bottom w:w="60" w:type="dxa"/>
              <w:left w:w="80" w:type="dxa"/>
              <w:right w:w="80" w:type="dxa"/>
            </w:tcMar>
          </w:tcPr>
          <w:p>
            <w:pPr>
              <w:spacing w:before="0" w:after="0" w:line="252" w:lineRule="auto"/>
              <w:jc w:val="left"/>
            </w:pPr>
            <w:r>
              <w:rPr>
                <w:rFonts w:ascii="Times New Roman" w:hAnsi="Times New Roman"/>
                <w:sz w:val="19"/>
              </w:rPr>
              <w:t>Point of Cart Checkout (</w:t>
            </w:r>
            <w:r>
              <w:rPr>
                <w:rFonts w:ascii="Cambria Math" w:hAnsi="Cambria Math"/>
                <w:sz w:val="19"/>
              </w:rPr>
              <w:t>τ_checkout</w:t>
            </w:r>
            <w:r>
              <w:rPr>
                <w:rFonts w:ascii="Times New Roman" w:hAnsi="Times New Roman"/>
                <w:sz w:val="19"/>
              </w:rPr>
              <w:t>)</w:t>
            </w:r>
          </w:p>
        </w:tc>
        <w:tc>
          <w:tcPr>
            <w:tcW w:type="dxa" w:w="4672"/>
            <w:vAlign w:val="center"/>
            <w:tcW w:w="4672" w:type="dxa"/>
            <w:tcMar>
              <w:top w:w="60" w:type="dxa"/>
              <w:bottom w:w="60" w:type="dxa"/>
              <w:left w:w="80" w:type="dxa"/>
              <w:right w:w="80" w:type="dxa"/>
            </w:tcMar>
          </w:tcPr>
          <w:p>
            <w:pPr>
              <w:spacing w:before="0" w:after="0" w:line="252" w:lineRule="auto"/>
              <w:jc w:val="left"/>
            </w:pPr>
            <w:r>
              <w:rPr>
                <w:rFonts w:ascii="Times New Roman" w:hAnsi="Times New Roman"/>
                <w:sz w:val="19"/>
              </w:rPr>
              <w:t>Point of Cart Checkout (</w:t>
            </w:r>
            <w:r>
              <w:rPr>
                <w:rFonts w:ascii="Cambria Math" w:hAnsi="Cambria Math"/>
                <w:sz w:val="19"/>
              </w:rPr>
              <w:t>τ_checkout</w:t>
            </w:r>
            <w:r>
              <w:rPr>
                <w:rFonts w:ascii="Times New Roman" w:hAnsi="Times New Roman"/>
                <w:sz w:val="19"/>
              </w:rPr>
              <w:t>)</w:t>
            </w:r>
          </w:p>
        </w:tc>
      </w:tr>
      <w:tr>
        <w:trPr>
          <w:cantSplit/>
        </w:trPr>
        <w:tc>
          <w:tcPr>
            <w:tcW w:type="dxa" w:w="1350"/>
            <w:vAlign w:val="center"/>
            <w:tcW w:w="1349"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9"/>
              </w:rPr>
              <w:t>Target Variable</w:t>
            </w:r>
          </w:p>
        </w:tc>
        <w:tc>
          <w:tcPr>
            <w:tcW w:type="dxa" w:w="4015"/>
            <w:vAlign w:val="center"/>
            <w:tcW w:w="4015"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9"/>
              </w:rPr>
              <w:t>lead_days ∈ R⁺</w:t>
            </w:r>
            <w:r>
              <w:rPr>
                <w:rFonts w:ascii="Times New Roman" w:hAnsi="Times New Roman"/>
                <w:sz w:val="19"/>
              </w:rPr>
              <w:t xml:space="preserve"> (elapsed delivery days)</w:t>
            </w:r>
          </w:p>
        </w:tc>
        <w:tc>
          <w:tcPr>
            <w:tcW w:type="dxa" w:w="4672"/>
            <w:vAlign w:val="center"/>
            <w:tcW w:w="4672" w:type="dxa"/>
            <w:tcMar>
              <w:top w:w="60" w:type="dxa"/>
              <w:bottom w:w="60" w:type="dxa"/>
              <w:left w:w="80" w:type="dxa"/>
              <w:right w:w="80" w:type="dxa"/>
            </w:tcMar>
            <w:shd w:val="clear" w:color="auto" w:fill="F8FAFC"/>
          </w:tcPr>
          <w:p>
            <w:pPr>
              <w:spacing w:before="0" w:after="0" w:line="252" w:lineRule="auto"/>
              <w:jc w:val="left"/>
            </w:pPr>
            <w:r>
              <w:rPr>
                <w:rFonts w:ascii="Cambria Math" w:hAnsi="Cambria Math"/>
                <w:sz w:val="19"/>
              </w:rPr>
              <w:t>is_detractor ∈ {0, 1}</w:t>
            </w:r>
            <w:r>
              <w:rPr>
                <w:rFonts w:ascii="Times New Roman" w:hAnsi="Times New Roman"/>
                <w:sz w:val="19"/>
              </w:rPr>
              <w:t xml:space="preserve"> (review score </w:t>
            </w:r>
            <w:r>
              <w:rPr>
                <w:rFonts w:ascii="Cambria Math" w:hAnsi="Cambria Math"/>
                <w:sz w:val="19"/>
              </w:rPr>
              <w:t>≤ 2</w:t>
            </w:r>
            <w:r>
              <w:rPr>
                <w:rFonts w:ascii="Times New Roman" w:hAnsi="Times New Roman"/>
                <w:sz w:val="19"/>
              </w:rPr>
              <w:t>)</w:t>
            </w:r>
          </w:p>
        </w:tc>
      </w:tr>
      <w:tr>
        <w:trPr>
          <w:cantSplit/>
        </w:trPr>
        <w:tc>
          <w:tcPr>
            <w:tcW w:type="dxa" w:w="1350"/>
            <w:vAlign w:val="center"/>
            <w:tcW w:w="1349" w:type="dxa"/>
            <w:tcMar>
              <w:top w:w="60" w:type="dxa"/>
              <w:bottom w:w="60" w:type="dxa"/>
              <w:left w:w="80" w:type="dxa"/>
              <w:right w:w="80" w:type="dxa"/>
            </w:tcMar>
          </w:tcPr>
          <w:p>
            <w:pPr>
              <w:spacing w:before="0" w:after="0" w:line="252" w:lineRule="auto"/>
              <w:jc w:val="left"/>
            </w:pPr>
            <w:r>
              <w:rPr>
                <w:rFonts w:ascii="Times New Roman" w:hAnsi="Times New Roman"/>
                <w:b/>
                <w:sz w:val="19"/>
              </w:rPr>
              <w:t>Class Distribution / Target Range</w:t>
            </w:r>
          </w:p>
        </w:tc>
        <w:tc>
          <w:tcPr>
            <w:tcW w:type="dxa" w:w="4015"/>
            <w:vAlign w:val="center"/>
            <w:tcW w:w="4015" w:type="dxa"/>
            <w:tcMar>
              <w:top w:w="60" w:type="dxa"/>
              <w:bottom w:w="60" w:type="dxa"/>
              <w:left w:w="80" w:type="dxa"/>
              <w:right w:w="80" w:type="dxa"/>
            </w:tcMar>
          </w:tcPr>
          <w:p>
            <w:pPr>
              <w:spacing w:before="0" w:after="0" w:line="252" w:lineRule="auto"/>
              <w:jc w:val="center"/>
            </w:pPr>
            <w:r>
              <w:rPr>
                <w:rFonts w:ascii="Times New Roman" w:hAnsi="Times New Roman"/>
                <w:sz w:val="19"/>
              </w:rPr>
              <w:t xml:space="preserve">Mean: </w:t>
            </w:r>
            <w:r>
              <w:rPr>
                <w:rFonts w:ascii="Cambria Math" w:hAnsi="Cambria Math"/>
                <w:sz w:val="19"/>
              </w:rPr>
              <w:t>12.1</w:t>
            </w:r>
            <w:r>
              <w:rPr>
                <w:rFonts w:ascii="Times New Roman" w:hAnsi="Times New Roman"/>
                <w:sz w:val="19"/>
              </w:rPr>
              <w:t xml:space="preserve"> days (Range: </w:t>
            </w:r>
            <w:r>
              <w:rPr>
                <w:rFonts w:ascii="Cambria Math" w:hAnsi="Cambria Math"/>
                <w:sz w:val="19"/>
              </w:rPr>
              <w:t>0.5</w:t>
            </w:r>
            <w:r>
              <w:rPr>
                <w:rFonts w:ascii="Times New Roman" w:hAnsi="Times New Roman"/>
                <w:sz w:val="19"/>
              </w:rPr>
              <w:t xml:space="preserve"> to </w:t>
            </w:r>
            <w:r>
              <w:rPr>
                <w:rFonts w:ascii="Cambria Math" w:hAnsi="Cambria Math"/>
                <w:sz w:val="19"/>
              </w:rPr>
              <w:t>60.0</w:t>
            </w:r>
            <w:r>
              <w:rPr>
                <w:rFonts w:ascii="Times New Roman" w:hAnsi="Times New Roman"/>
                <w:sz w:val="19"/>
              </w:rPr>
              <w:t xml:space="preserve"> days, Skew: </w:t>
            </w:r>
            <w:r>
              <w:rPr>
                <w:rFonts w:ascii="Cambria Math" w:hAnsi="Cambria Math"/>
                <w:sz w:val="19"/>
              </w:rPr>
              <w:t>+3.24</w:t>
            </w:r>
            <w:r>
              <w:rPr>
                <w:rFonts w:ascii="Times New Roman" w:hAnsi="Times New Roman"/>
                <w:sz w:val="19"/>
              </w:rPr>
              <w:t>)</w:t>
            </w:r>
          </w:p>
        </w:tc>
        <w:tc>
          <w:tcPr>
            <w:tcW w:type="dxa" w:w="4672"/>
            <w:vAlign w:val="center"/>
            <w:tcW w:w="4672" w:type="dxa"/>
            <w:tcMar>
              <w:top w:w="60" w:type="dxa"/>
              <w:bottom w:w="60" w:type="dxa"/>
              <w:left w:w="80" w:type="dxa"/>
              <w:right w:w="80" w:type="dxa"/>
            </w:tcMar>
          </w:tcPr>
          <w:p>
            <w:pPr>
              <w:spacing w:before="0" w:after="0" w:line="252" w:lineRule="auto"/>
              <w:jc w:val="center"/>
            </w:pPr>
            <w:r>
              <w:rPr>
                <w:rFonts w:ascii="Times New Roman" w:hAnsi="Times New Roman"/>
                <w:sz w:val="19"/>
              </w:rPr>
              <w:t>Detractors (</w:t>
            </w:r>
            <w:r>
              <w:rPr>
                <w:rFonts w:ascii="Cambria Math" w:hAnsi="Cambria Math"/>
                <w:sz w:val="19"/>
              </w:rPr>
              <w:t>y=1</w:t>
            </w:r>
            <w:r>
              <w:rPr>
                <w:rFonts w:ascii="Times New Roman" w:hAnsi="Times New Roman"/>
                <w:sz w:val="19"/>
              </w:rPr>
              <w:t xml:space="preserve">): </w:t>
            </w:r>
            <w:r>
              <w:rPr>
                <w:rFonts w:ascii="Cambria Math" w:hAnsi="Cambria Math"/>
                <w:sz w:val="19"/>
              </w:rPr>
              <w:t>10.83\%</w:t>
            </w:r>
            <w:r>
              <w:rPr>
                <w:rFonts w:ascii="Times New Roman" w:hAnsi="Times New Roman"/>
                <w:sz w:val="19"/>
              </w:rPr>
              <w:t xml:space="preserve"> (</w:t>
            </w:r>
            <w:r>
              <w:rPr>
                <w:rFonts w:ascii="Cambria Math" w:hAnsi="Cambria Math"/>
                <w:sz w:val="19"/>
              </w:rPr>
              <w:t>1,707 / 15,769</w:t>
            </w:r>
            <w:r>
              <w:rPr>
                <w:rFonts w:ascii="Times New Roman" w:hAnsi="Times New Roman"/>
                <w:sz w:val="19"/>
              </w:rPr>
              <w:t>); Promoters/Neutrals (</w:t>
            </w:r>
            <w:r>
              <w:rPr>
                <w:rFonts w:ascii="Cambria Math" w:hAnsi="Cambria Math"/>
                <w:sz w:val="19"/>
              </w:rPr>
              <w:t>y=0</w:t>
            </w:r>
            <w:r>
              <w:rPr>
                <w:rFonts w:ascii="Times New Roman" w:hAnsi="Times New Roman"/>
                <w:sz w:val="19"/>
              </w:rPr>
              <w:t xml:space="preserve">): </w:t>
            </w:r>
            <w:r>
              <w:rPr>
                <w:rFonts w:ascii="Cambria Math" w:hAnsi="Cambria Math"/>
                <w:sz w:val="19"/>
              </w:rPr>
              <w:t>89.17\%</w:t>
            </w:r>
            <w:r>
              <w:rPr>
                <w:rFonts w:ascii="Times New Roman" w:hAnsi="Times New Roman"/>
                <w:sz w:val="19"/>
              </w:rPr>
              <w:t xml:space="preserve"> (</w:t>
            </w:r>
            <w:r>
              <w:rPr>
                <w:rFonts w:ascii="Cambria Math" w:hAnsi="Cambria Math"/>
                <w:sz w:val="19"/>
              </w:rPr>
              <w:t>14,062 / 15,769</w:t>
            </w:r>
            <w:r>
              <w:rPr>
                <w:rFonts w:ascii="Times New Roman" w:hAnsi="Times New Roman"/>
                <w:sz w:val="19"/>
              </w:rPr>
              <w:t>)</w:t>
            </w:r>
          </w:p>
        </w:tc>
      </w:tr>
      <w:tr>
        <w:trPr>
          <w:cantSplit/>
        </w:trPr>
        <w:tc>
          <w:tcPr>
            <w:tcW w:type="dxa" w:w="1350"/>
            <w:vAlign w:val="center"/>
            <w:tcW w:w="1349"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9"/>
              </w:rPr>
              <w:t>Evaluation Metrics</w:t>
            </w:r>
          </w:p>
        </w:tc>
        <w:tc>
          <w:tcPr>
            <w:tcW w:type="dxa" w:w="4015"/>
            <w:vAlign w:val="center"/>
            <w:tcW w:w="4015"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9"/>
              </w:rPr>
              <w:t xml:space="preserve">Primary: </w:t>
            </w:r>
            <w:r>
              <w:rPr>
                <w:rFonts w:ascii="Times New Roman" w:hAnsi="Times New Roman"/>
                <w:b/>
                <w:sz w:val="19"/>
              </w:rPr>
              <w:t>MAE</w:t>
            </w:r>
            <w:r>
              <w:rPr>
                <w:rFonts w:ascii="Times New Roman" w:hAnsi="Times New Roman"/>
                <w:sz w:val="19"/>
              </w:rPr>
              <w:t xml:space="preserve">; Secondary: </w:t>
            </w:r>
            <w:r>
              <w:rPr>
                <w:rFonts w:ascii="Times New Roman" w:hAnsi="Times New Roman"/>
                <w:b/>
                <w:sz w:val="19"/>
              </w:rPr>
              <w:t>RMSE</w:t>
            </w:r>
            <w:r>
              <w:rPr>
                <w:rFonts w:ascii="Times New Roman" w:hAnsi="Times New Roman"/>
                <w:sz w:val="19"/>
              </w:rPr>
              <w:t xml:space="preserve">, </w:t>
            </w:r>
            <w:r>
              <w:rPr>
                <w:rFonts w:ascii="Times New Roman" w:hAnsi="Times New Roman"/>
                <w:b/>
                <w:sz w:val="19"/>
              </w:rPr>
              <w:t>R²</w:t>
            </w:r>
          </w:p>
        </w:tc>
        <w:tc>
          <w:tcPr>
            <w:tcW w:type="dxa" w:w="4672"/>
            <w:vAlign w:val="center"/>
            <w:tcW w:w="4672"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9"/>
              </w:rPr>
              <w:t xml:space="preserve">Primary: </w:t>
            </w:r>
            <w:r>
              <w:rPr>
                <w:rFonts w:ascii="Times New Roman" w:hAnsi="Times New Roman"/>
                <w:b/>
                <w:sz w:val="19"/>
              </w:rPr>
              <w:t>Average Precision (AP)</w:t>
            </w:r>
            <w:r>
              <w:rPr>
                <w:rFonts w:ascii="Times New Roman" w:hAnsi="Times New Roman"/>
                <w:sz w:val="19"/>
              </w:rPr>
              <w:t xml:space="preserve">; Secondary: </w:t>
            </w:r>
            <w:r>
              <w:rPr>
                <w:rFonts w:ascii="Times New Roman" w:hAnsi="Times New Roman"/>
                <w:b/>
                <w:sz w:val="19"/>
              </w:rPr>
              <w:t>ROC-AUC, Brier, Business Loss</w:t>
            </w:r>
          </w:p>
        </w:tc>
      </w:tr>
      <w:tr>
        <w:trPr>
          <w:cantSplit/>
        </w:trPr>
        <w:tc>
          <w:tcPr>
            <w:tcW w:type="dxa" w:w="1350"/>
            <w:vAlign w:val="center"/>
            <w:tcW w:w="1349" w:type="dxa"/>
            <w:tcMar>
              <w:top w:w="60" w:type="dxa"/>
              <w:bottom w:w="60" w:type="dxa"/>
              <w:left w:w="80" w:type="dxa"/>
              <w:right w:w="80" w:type="dxa"/>
            </w:tcMar>
          </w:tcPr>
          <w:p>
            <w:pPr>
              <w:spacing w:before="0" w:after="0" w:line="252" w:lineRule="auto"/>
              <w:jc w:val="left"/>
            </w:pPr>
            <w:r>
              <w:rPr>
                <w:rFonts w:ascii="Times New Roman" w:hAnsi="Times New Roman"/>
                <w:b/>
                <w:sz w:val="19"/>
              </w:rPr>
              <w:t>Cycle 1 Baselines (Holdout)</w:t>
            </w:r>
          </w:p>
        </w:tc>
        <w:tc>
          <w:tcPr>
            <w:tcW w:type="dxa" w:w="4015"/>
            <w:vAlign w:val="center"/>
            <w:tcW w:w="4015" w:type="dxa"/>
            <w:tcMar>
              <w:top w:w="60" w:type="dxa"/>
              <w:bottom w:w="60" w:type="dxa"/>
              <w:left w:w="80" w:type="dxa"/>
              <w:right w:w="80" w:type="dxa"/>
            </w:tcMar>
          </w:tcPr>
          <w:p>
            <w:pPr>
              <w:spacing w:before="0" w:after="0" w:line="252" w:lineRule="auto"/>
              <w:jc w:val="center"/>
            </w:pPr>
            <w:r>
              <w:rPr>
                <w:rFonts w:ascii="Times New Roman" w:hAnsi="Times New Roman"/>
                <w:sz w:val="19"/>
              </w:rPr>
              <w:t xml:space="preserve">• Dummy Median: </w:t>
            </w:r>
            <w:r>
              <w:rPr>
                <w:rFonts w:ascii="Times New Roman" w:hAnsi="Times New Roman"/>
                <w:b/>
                <w:sz w:val="19"/>
              </w:rPr>
              <w:t>4.89d</w:t>
            </w:r>
            <w:r>
              <w:rPr>
                <w:rFonts w:ascii="Times New Roman" w:hAnsi="Times New Roman"/>
                <w:sz w:val="19"/>
              </w:rPr>
              <w:t xml:space="preserve"> (</w:t>
            </w:r>
            <w:r>
              <w:rPr>
                <w:rFonts w:ascii="Cambria Math" w:hAnsi="Cambria Math"/>
                <w:sz w:val="19"/>
              </w:rPr>
              <w:t>R² = -0.15</w:t>
            </w:r>
            <w:r>
              <w:rPr>
                <w:rFonts w:ascii="Times New Roman" w:hAnsi="Times New Roman"/>
                <w:sz w:val="19"/>
              </w:rPr>
              <w:t xml:space="preserve">)&lt;br&gt;• Ridge Linear: </w:t>
            </w:r>
            <w:r>
              <w:rPr>
                <w:rFonts w:ascii="Times New Roman" w:hAnsi="Times New Roman"/>
                <w:b/>
                <w:sz w:val="19"/>
              </w:rPr>
              <w:t>4.48d</w:t>
            </w:r>
            <w:r>
              <w:rPr>
                <w:rFonts w:ascii="Times New Roman" w:hAnsi="Times New Roman"/>
                <w:sz w:val="19"/>
              </w:rPr>
              <w:t xml:space="preserve"> (</w:t>
            </w:r>
            <w:r>
              <w:rPr>
                <w:rFonts w:ascii="Cambria Math" w:hAnsi="Cambria Math"/>
                <w:sz w:val="19"/>
              </w:rPr>
              <w:t>R² = +0.01</w:t>
            </w:r>
            <w:r>
              <w:rPr>
                <w:rFonts w:ascii="Times New Roman" w:hAnsi="Times New Roman"/>
                <w:sz w:val="19"/>
              </w:rPr>
              <w:t xml:space="preserve">)&lt;br&gt;• Decision Tree: </w:t>
            </w:r>
            <w:r>
              <w:rPr>
                <w:rFonts w:ascii="Times New Roman" w:hAnsi="Times New Roman"/>
                <w:b/>
                <w:sz w:val="19"/>
              </w:rPr>
              <w:t>5.54d</w:t>
            </w:r>
            <w:r>
              <w:rPr>
                <w:rFonts w:ascii="Times New Roman" w:hAnsi="Times New Roman"/>
                <w:sz w:val="19"/>
              </w:rPr>
              <w:t xml:space="preserve"> (</w:t>
            </w:r>
            <w:r>
              <w:rPr>
                <w:rFonts w:ascii="Cambria Math" w:hAnsi="Cambria Math"/>
                <w:sz w:val="19"/>
              </w:rPr>
              <w:t>R² = -0.36</w:t>
            </w:r>
            <w:r>
              <w:rPr>
                <w:rFonts w:ascii="Times New Roman" w:hAnsi="Times New Roman"/>
                <w:sz w:val="19"/>
              </w:rPr>
              <w:t>)</w:t>
            </w:r>
          </w:p>
        </w:tc>
        <w:tc>
          <w:tcPr>
            <w:tcW w:type="dxa" w:w="4672"/>
            <w:vAlign w:val="center"/>
            <w:tcW w:w="4672" w:type="dxa"/>
            <w:tcMar>
              <w:top w:w="60" w:type="dxa"/>
              <w:bottom w:w="60" w:type="dxa"/>
              <w:left w:w="80" w:type="dxa"/>
              <w:right w:w="80" w:type="dxa"/>
            </w:tcMar>
          </w:tcPr>
          <w:p>
            <w:pPr>
              <w:spacing w:before="0" w:after="0" w:line="252" w:lineRule="auto"/>
              <w:jc w:val="center"/>
            </w:pPr>
            <w:r>
              <w:rPr>
                <w:rFonts w:ascii="Times New Roman" w:hAnsi="Times New Roman"/>
                <w:sz w:val="19"/>
              </w:rPr>
              <w:t xml:space="preserve">• Dummy Base Rate: </w:t>
            </w:r>
            <w:r>
              <w:rPr>
                <w:rFonts w:ascii="Times New Roman" w:hAnsi="Times New Roman"/>
                <w:b/>
                <w:sz w:val="19"/>
              </w:rPr>
              <w:t>0.108 AP</w:t>
            </w:r>
            <w:r>
              <w:rPr>
                <w:rFonts w:ascii="Times New Roman" w:hAnsi="Times New Roman"/>
                <w:sz w:val="19"/>
              </w:rPr>
              <w:t xml:space="preserve"> (</w:t>
            </w:r>
            <w:r>
              <w:rPr>
                <w:rFonts w:ascii="Cambria Math" w:hAnsi="Cambria Math"/>
                <w:sz w:val="19"/>
              </w:rPr>
              <w:t>0.500</w:t>
            </w:r>
            <w:r>
              <w:rPr>
                <w:rFonts w:ascii="Times New Roman" w:hAnsi="Times New Roman"/>
                <w:sz w:val="19"/>
              </w:rPr>
              <w:t xml:space="preserve"> ROC)&lt;br&gt;• Decision Tree: </w:t>
            </w:r>
            <w:r>
              <w:rPr>
                <w:rFonts w:ascii="Times New Roman" w:hAnsi="Times New Roman"/>
                <w:b/>
                <w:sz w:val="19"/>
              </w:rPr>
              <w:t>0.163 AP</w:t>
            </w:r>
            <w:r>
              <w:rPr>
                <w:rFonts w:ascii="Times New Roman" w:hAnsi="Times New Roman"/>
                <w:sz w:val="19"/>
              </w:rPr>
              <w:t xml:space="preserve"> (</w:t>
            </w:r>
            <w:r>
              <w:rPr>
                <w:rFonts w:ascii="Cambria Math" w:hAnsi="Cambria Math"/>
                <w:sz w:val="19"/>
              </w:rPr>
              <w:t>0.568</w:t>
            </w:r>
            <w:r>
              <w:rPr>
                <w:rFonts w:ascii="Times New Roman" w:hAnsi="Times New Roman"/>
                <w:sz w:val="19"/>
              </w:rPr>
              <w:t xml:space="preserve"> ROC)&lt;br&gt;• Logistic Regression: </w:t>
            </w:r>
            <w:r>
              <w:rPr>
                <w:rFonts w:ascii="Times New Roman" w:hAnsi="Times New Roman"/>
                <w:b/>
                <w:sz w:val="19"/>
              </w:rPr>
              <w:t>0.175 AP</w:t>
            </w:r>
            <w:r>
              <w:rPr>
                <w:rFonts w:ascii="Times New Roman" w:hAnsi="Times New Roman"/>
                <w:sz w:val="19"/>
              </w:rPr>
              <w:t xml:space="preserve"> (</w:t>
            </w:r>
            <w:r>
              <w:rPr>
                <w:rFonts w:ascii="Cambria Math" w:hAnsi="Cambria Math"/>
                <w:sz w:val="19"/>
              </w:rPr>
              <w:t>0.572</w:t>
            </w:r>
            <w:r>
              <w:rPr>
                <w:rFonts w:ascii="Times New Roman" w:hAnsi="Times New Roman"/>
                <w:sz w:val="19"/>
              </w:rPr>
              <w:t xml:space="preserve"> ROC)</w:t>
            </w:r>
          </w:p>
        </w:tc>
      </w:tr>
      <w:tr>
        <w:trPr>
          <w:cantSplit/>
        </w:trPr>
        <w:tc>
          <w:tcPr>
            <w:tcW w:type="dxa" w:w="1350"/>
            <w:vAlign w:val="center"/>
            <w:tcW w:w="1349"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9"/>
              </w:rPr>
              <w:t>Cycle 2 Champion (Holdout)</w:t>
            </w:r>
          </w:p>
        </w:tc>
        <w:tc>
          <w:tcPr>
            <w:tcW w:type="dxa" w:w="4015"/>
            <w:vAlign w:val="center"/>
            <w:tcW w:w="4015"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b/>
                <w:sz w:val="19"/>
              </w:rPr>
              <w:t>Tuned Random Forest + Target Log1p: 3.72d MAE</w:t>
            </w:r>
            <w:r>
              <w:rPr>
                <w:rFonts w:ascii="Times New Roman" w:hAnsi="Times New Roman"/>
                <w:sz w:val="19"/>
              </w:rPr>
              <w:t xml:space="preserve"> (</w:t>
            </w:r>
            <w:r>
              <w:rPr>
                <w:rFonts w:ascii="Cambria Math" w:hAnsi="Cambria Math"/>
                <w:sz w:val="19"/>
              </w:rPr>
              <w:t>R² = +0.19</w:t>
            </w:r>
            <w:r>
              <w:rPr>
                <w:rFonts w:ascii="Times New Roman" w:hAnsi="Times New Roman"/>
                <w:sz w:val="19"/>
              </w:rPr>
              <w:t>)</w:t>
            </w:r>
          </w:p>
        </w:tc>
        <w:tc>
          <w:tcPr>
            <w:tcW w:type="dxa" w:w="4672"/>
            <w:vAlign w:val="center"/>
            <w:tcW w:w="4672"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i/>
                <w:sz w:val="19"/>
              </w:rPr>
            </w:r>
            <w:r>
              <w:rPr>
                <w:rFonts w:ascii="Times New Roman" w:hAnsi="Times New Roman"/>
                <w:i/>
                <w:sz w:val="19"/>
              </w:rPr>
              <w:t>Tuned Random Forest + Cost Policy (τ^</w:t>
            </w:r>
            <w:r>
              <w:rPr>
                <w:rFonts w:ascii="Times New Roman" w:hAnsi="Times New Roman"/>
                <w:sz w:val="19"/>
              </w:rPr>
              <w:t>=0.17</w:t>
            </w:r>
            <w:r>
              <w:rPr>
                <w:rFonts w:ascii="Cambria Math" w:hAnsi="Cambria Math"/>
                <w:sz w:val="19"/>
              </w:rPr>
              <w:t xml:space="preserve">): </w:t>
            </w:r>
            <w:r>
              <w:rPr>
                <w:rFonts w:ascii="Times New Roman" w:hAnsi="Times New Roman"/>
                <w:sz w:val="19"/>
              </w:rPr>
              <w:t>0.182</w:t>
            </w:r>
            <w:r>
              <w:rPr>
                <w:rFonts w:ascii="Cambria Math" w:hAnsi="Cambria Math"/>
                <w:sz w:val="19"/>
              </w:rPr>
              <w:t xml:space="preserve"> AP, Cost </w:t>
            </w:r>
            <w:r>
              <w:rPr>
                <w:rFonts w:ascii="Times New Roman" w:hAnsi="Times New Roman"/>
                <w:sz w:val="19"/>
              </w:rPr>
              <w:t>8,114**</w:t>
            </w:r>
          </w:p>
        </w:tc>
      </w:tr>
      <w:tr>
        <w:trPr>
          <w:cantSplit/>
        </w:trPr>
        <w:tc>
          <w:tcPr>
            <w:tcW w:type="dxa" w:w="1350"/>
            <w:vAlign w:val="center"/>
            <w:tcW w:w="1349" w:type="dxa"/>
            <w:tcMar>
              <w:top w:w="60" w:type="dxa"/>
              <w:bottom w:w="60" w:type="dxa"/>
              <w:left w:w="80" w:type="dxa"/>
              <w:right w:w="80" w:type="dxa"/>
            </w:tcMar>
          </w:tcPr>
          <w:p>
            <w:pPr>
              <w:spacing w:before="0" w:after="0" w:line="252" w:lineRule="auto"/>
              <w:jc w:val="left"/>
            </w:pPr>
            <w:r>
              <w:rPr>
                <w:rFonts w:ascii="Times New Roman" w:hAnsi="Times New Roman"/>
                <w:b/>
                <w:sz w:val="19"/>
              </w:rPr>
              <w:t>Evidence-Based Improvements</w:t>
            </w:r>
          </w:p>
        </w:tc>
        <w:tc>
          <w:tcPr>
            <w:tcW w:type="dxa" w:w="4015"/>
            <w:vAlign w:val="center"/>
            <w:tcW w:w="4015" w:type="dxa"/>
            <w:tcMar>
              <w:top w:w="60" w:type="dxa"/>
              <w:bottom w:w="60" w:type="dxa"/>
              <w:left w:w="80" w:type="dxa"/>
              <w:right w:w="80" w:type="dxa"/>
            </w:tcMar>
          </w:tcPr>
          <w:p>
            <w:pPr>
              <w:spacing w:before="0" w:after="0" w:line="252" w:lineRule="auto"/>
              <w:jc w:val="center"/>
            </w:pPr>
            <w:r>
              <w:rPr>
                <w:rFonts w:ascii="Times New Roman" w:hAnsi="Times New Roman"/>
                <w:sz w:val="19"/>
              </w:rPr>
              <w:t xml:space="preserve">• vs. Decision Tree: </w:t>
            </w:r>
            <w:r>
              <w:rPr>
                <w:rFonts w:ascii="Times New Roman" w:hAnsi="Times New Roman"/>
                <w:b/>
                <w:sz w:val="19"/>
              </w:rPr>
              <w:t>-32.9\% MAE</w:t>
            </w:r>
            <w:r>
              <w:rPr>
                <w:rFonts w:ascii="Times New Roman" w:hAnsi="Times New Roman"/>
                <w:sz w:val="19"/>
              </w:rPr>
              <w:t xml:space="preserve"> (</w:t>
            </w:r>
            <w:r>
              <w:rPr>
                <w:rFonts w:ascii="Cambria Math" w:hAnsi="Cambria Math"/>
                <w:sz w:val="19"/>
              </w:rPr>
              <w:t>-1.82</w:t>
            </w:r>
            <w:r>
              <w:rPr>
                <w:rFonts w:ascii="Times New Roman" w:hAnsi="Times New Roman"/>
                <w:sz w:val="19"/>
              </w:rPr>
              <w:t xml:space="preserve">d; </w:t>
            </w:r>
            <w:r>
              <w:rPr>
                <w:rFonts w:ascii="Cambria Math" w:hAnsi="Cambria Math"/>
                <w:sz w:val="19"/>
              </w:rPr>
              <w:t>R²</w:t>
            </w:r>
            <w:r>
              <w:rPr>
                <w:rFonts w:ascii="Times New Roman" w:hAnsi="Times New Roman"/>
                <w:sz w:val="19"/>
              </w:rPr>
              <w:t xml:space="preserve"> reversed from </w:t>
            </w:r>
            <w:r>
              <w:rPr>
                <w:rFonts w:ascii="Cambria Math" w:hAnsi="Cambria Math"/>
                <w:sz w:val="19"/>
              </w:rPr>
              <w:t>-0.36 → +0.19</w:t>
            </w:r>
            <w:r>
              <w:rPr>
                <w:rFonts w:ascii="Times New Roman" w:hAnsi="Times New Roman"/>
                <w:sz w:val="19"/>
              </w:rPr>
              <w:t xml:space="preserve">)&lt;br&gt;• vs. Ridge Linear: </w:t>
            </w:r>
            <w:r>
              <w:rPr>
                <w:rFonts w:ascii="Times New Roman" w:hAnsi="Times New Roman"/>
                <w:b/>
                <w:sz w:val="19"/>
              </w:rPr>
              <w:t>-17.0\% MAE</w:t>
            </w:r>
            <w:r>
              <w:rPr>
                <w:rFonts w:ascii="Times New Roman" w:hAnsi="Times New Roman"/>
                <w:sz w:val="19"/>
              </w:rPr>
              <w:t xml:space="preserve"> (</w:t>
            </w:r>
            <w:r>
              <w:rPr>
                <w:rFonts w:ascii="Cambria Math" w:hAnsi="Cambria Math"/>
                <w:sz w:val="19"/>
              </w:rPr>
              <w:t>-0.76</w:t>
            </w:r>
            <w:r>
              <w:rPr>
                <w:rFonts w:ascii="Times New Roman" w:hAnsi="Times New Roman"/>
                <w:sz w:val="19"/>
              </w:rPr>
              <w:t xml:space="preserve">d; </w:t>
            </w:r>
            <w:r>
              <w:rPr>
                <w:rFonts w:ascii="Cambria Math" w:hAnsi="Cambria Math"/>
                <w:sz w:val="19"/>
              </w:rPr>
              <w:t>R²</w:t>
            </w:r>
            <w:r>
              <w:rPr>
                <w:rFonts w:ascii="Times New Roman" w:hAnsi="Times New Roman"/>
                <w:sz w:val="19"/>
              </w:rPr>
              <w:t xml:space="preserve"> from </w:t>
            </w:r>
            <w:r>
              <w:rPr>
                <w:rFonts w:ascii="Cambria Math" w:hAnsi="Cambria Math"/>
                <w:sz w:val="19"/>
              </w:rPr>
              <w:t>+0.01 → +0.19</w:t>
            </w:r>
            <w:r>
              <w:rPr>
                <w:rFonts w:ascii="Times New Roman" w:hAnsi="Times New Roman"/>
                <w:sz w:val="19"/>
              </w:rPr>
              <w:t xml:space="preserve">)&lt;br&gt;• vs. Dummy Baseline: </w:t>
            </w:r>
            <w:r>
              <w:rPr>
                <w:rFonts w:ascii="Times New Roman" w:hAnsi="Times New Roman"/>
                <w:b/>
                <w:sz w:val="19"/>
              </w:rPr>
              <w:t>-23.9\% MAE</w:t>
            </w:r>
            <w:r>
              <w:rPr>
                <w:rFonts w:ascii="Times New Roman" w:hAnsi="Times New Roman"/>
                <w:sz w:val="19"/>
              </w:rPr>
              <w:t xml:space="preserve"> (</w:t>
            </w:r>
            <w:r>
              <w:rPr>
                <w:rFonts w:ascii="Cambria Math" w:hAnsi="Cambria Math"/>
                <w:sz w:val="19"/>
              </w:rPr>
              <w:t>-1.17</w:t>
            </w:r>
            <w:r>
              <w:rPr>
                <w:rFonts w:ascii="Times New Roman" w:hAnsi="Times New Roman"/>
                <w:sz w:val="19"/>
              </w:rPr>
              <w:t>d)</w:t>
            </w:r>
          </w:p>
        </w:tc>
        <w:tc>
          <w:tcPr>
            <w:tcW w:type="dxa" w:w="4672"/>
            <w:vAlign w:val="center"/>
            <w:tcW w:w="4672" w:type="dxa"/>
            <w:tcMar>
              <w:top w:w="60" w:type="dxa"/>
              <w:bottom w:w="60" w:type="dxa"/>
              <w:left w:w="80" w:type="dxa"/>
              <w:right w:w="80" w:type="dxa"/>
            </w:tcMar>
          </w:tcPr>
          <w:p>
            <w:pPr>
              <w:spacing w:before="0" w:after="0" w:line="252" w:lineRule="auto"/>
              <w:jc w:val="center"/>
            </w:pPr>
            <w:r>
              <w:rPr>
                <w:rFonts w:ascii="Times New Roman" w:hAnsi="Times New Roman"/>
                <w:sz w:val="19"/>
              </w:rPr>
              <w:t xml:space="preserve">• Detection Surge: </w:t>
            </w:r>
            <w:r>
              <w:rPr>
                <w:rFonts w:ascii="Times New Roman" w:hAnsi="Times New Roman"/>
                <w:b/>
                <w:sz w:val="19"/>
              </w:rPr>
              <w:t>456× increase in detected detractors</w:t>
            </w:r>
            <w:r>
              <w:rPr>
                <w:rFonts w:ascii="Times New Roman" w:hAnsi="Times New Roman"/>
                <w:sz w:val="19"/>
              </w:rPr>
              <w:t xml:space="preserve"> (</w:t>
            </w:r>
            <w:r>
              <w:rPr>
                <w:rFonts w:ascii="Cambria Math" w:hAnsi="Cambria Math"/>
                <w:sz w:val="19"/>
              </w:rPr>
              <w:t>1 → 456</w:t>
            </w:r>
            <w:r>
              <w:rPr>
                <w:rFonts w:ascii="Times New Roman" w:hAnsi="Times New Roman"/>
                <w:sz w:val="19"/>
              </w:rPr>
              <w:t xml:space="preserve"> at </w:t>
            </w:r>
            <w:r>
              <w:rPr>
                <w:rFonts w:ascii="Cambria Math" w:hAnsi="Cambria Math"/>
                <w:sz w:val="19"/>
              </w:rPr>
              <w:t>τ*=0.17</w:t>
            </w:r>
            <w:r>
              <w:rPr>
                <w:rFonts w:ascii="Times New Roman" w:hAnsi="Times New Roman"/>
                <w:sz w:val="19"/>
              </w:rPr>
              <w:t xml:space="preserve">)&lt;br&gt;• Net Cost Reduction: </w:t>
            </w:r>
            <w:r>
              <w:rPr>
                <w:rFonts w:ascii="Times New Roman" w:hAnsi="Times New Roman"/>
                <w:b/>
                <w:sz w:val="19"/>
              </w:rPr>
              <w:t>-4.90\% savings</w:t>
            </w:r>
            <w:r>
              <w:rPr>
                <w:rFonts w:ascii="Times New Roman" w:hAnsi="Times New Roman"/>
                <w:sz w:val="19"/>
              </w:rPr>
              <w:t xml:space="preserve"> (</w:t>
            </w:r>
            <w:r>
              <w:rPr>
                <w:rFonts w:ascii="Cambria Math" w:hAnsi="Cambria Math"/>
                <w:sz w:val="19"/>
              </w:rPr>
              <w:t>8,532 → 8,114</w:t>
            </w:r>
            <w:r>
              <w:rPr>
                <w:rFonts w:ascii="Times New Roman" w:hAnsi="Times New Roman"/>
                <w:sz w:val="19"/>
              </w:rPr>
              <w:t xml:space="preserve">; </w:t>
            </w:r>
            <w:r>
              <w:rPr>
                <w:rFonts w:ascii="Cambria Math" w:hAnsi="Cambria Math"/>
                <w:sz w:val="19"/>
              </w:rPr>
              <w:t>418</w:t>
            </w:r>
            <w:r>
              <w:rPr>
                <w:rFonts w:ascii="Times New Roman" w:hAnsi="Times New Roman"/>
                <w:sz w:val="19"/>
              </w:rPr>
              <w:t xml:space="preserve"> cost units saved)&lt;br&gt;• vs. No-Alert Policy (</w:t>
            </w:r>
            <w:r>
              <w:rPr>
                <w:rFonts w:ascii="Cambria Math" w:hAnsi="Cambria Math"/>
                <w:sz w:val="19"/>
              </w:rPr>
              <w:t>8,535</w:t>
            </w:r>
            <w:r>
              <w:rPr>
                <w:rFonts w:ascii="Times New Roman" w:hAnsi="Times New Roman"/>
                <w:sz w:val="19"/>
              </w:rPr>
              <w:t xml:space="preserve"> cost): </w:t>
            </w:r>
            <w:r>
              <w:rPr>
                <w:rFonts w:ascii="Times New Roman" w:hAnsi="Times New Roman"/>
                <w:b/>
                <w:sz w:val="19"/>
              </w:rPr>
              <w:t>-4.93\% cost savings (421 cost units saved)</w:t>
            </w:r>
          </w:p>
        </w:tc>
      </w:tr>
    </w:tbl>
    <w:p>
      <w:pPr>
        <w:spacing w:before="40" w:after="40" w:line="40" w:lineRule="exact"/>
      </w:pPr>
    </w:p>
    <w:p>
      <w:pPr>
        <w:pStyle w:val="Heading2"/>
      </w:pPr>
      <w:r>
        <w:rPr>
          <w:rFonts w:ascii="Times New Roman" w:hAnsi="Times New Roman"/>
          <w:b/>
          <w:sz w:val="25"/>
        </w:rPr>
        <w:t>Table A.2: Canonical 9 Core Checkout Predictors</w:t>
      </w:r>
    </w:p>
    <w:p>
      <w:pPr/>
      <w:r>
        <w:rPr>
          <w:rFonts w:ascii="Times New Roman" w:hAnsi="Times New Roman"/>
          <w:i/>
          <w:sz w:val="22"/>
        </w:rPr>
        <w:t>Source</w:t>
      </w:r>
      <w:r>
        <w:rPr>
          <w:rFonts w:ascii="Times New Roman" w:hAnsi="Times New Roman"/>
          <w:sz w:val="22"/>
        </w:rPr>
        <w:t xml:space="preserve">: </w:t>
      </w:r>
      <w:r>
        <w:rPr>
          <w:rFonts w:ascii="Consolas" w:hAnsi="Consolas"/>
          <w:color w:val="8A1E38"/>
          <w:sz w:val="21"/>
        </w:rPr>
        <w:t>src/models/refinement_core.py</w:t>
      </w:r>
      <w:r>
        <w:rPr>
          <w:rFonts w:ascii="Times New Roman" w:hAnsi="Times New Roman"/>
          <w:sz w:val="22"/>
        </w:rPr>
        <w:t xml:space="preserve"> (Version: </w:t>
      </w:r>
      <w:r>
        <w:rPr>
          <w:rFonts w:ascii="Consolas" w:hAnsi="Consolas"/>
          <w:color w:val="8A1E38"/>
          <w:sz w:val="21"/>
        </w:rPr>
        <w:t>transaction-core-v3</w:t>
      </w:r>
      <w:r>
        <w:rPr>
          <w:rFonts w:ascii="Times New Roman" w:hAnsi="Times New Roman"/>
          <w:sz w:val="22"/>
        </w:rPr>
        <w:t xml:space="preserve">; pruned </w:t>
      </w:r>
      <w:r>
        <w:rPr>
          <w:rFonts w:ascii="Consolas" w:hAnsi="Consolas"/>
          <w:color w:val="8A1E38"/>
          <w:sz w:val="21"/>
        </w:rPr>
        <w:t>has_items</w:t>
      </w:r>
      <w:r>
        <w:rPr>
          <w:rFonts w:ascii="Times New Roman" w:hAnsi="Times New Roman"/>
          <w:sz w:val="22"/>
        </w:rPr>
        <w:t xml:space="preserve"> and </w:t>
      </w:r>
      <w:r>
        <w:rPr>
          <w:rFonts w:ascii="Consolas" w:hAnsi="Consolas"/>
          <w:color w:val="8A1E38"/>
          <w:sz w:val="21"/>
        </w:rPr>
        <w:t>freight_ratio_missing</w:t>
      </w:r>
      <w:r>
        <w:rPr>
          <w:rFonts w:ascii="Times New Roman" w:hAnsi="Times New Roman"/>
          <w:sz w:val="22"/>
        </w:rPr>
        <w:t xml:space="preserve"> under Option 1 checkout scoping)</w:t>
      </w:r>
    </w:p>
    <w:tbl>
      <w:tblPr>
        <w:tblW w:type="auto" w:w="0"/>
        <w:jc w:val="center"/>
        <w:tblLayout w:type="fixed"/>
        <w:tblLook w:firstColumn="1" w:firstRow="1" w:lastColumn="0" w:lastRow="0" w:noHBand="0" w:noVBand="1" w:val="04A0"/>
        <w:tblBorders>
          <w:top w:val="single" w:sz="8" w:space="0" w:color="1F4E79"/>
          <w:bottom w:val="single" w:sz="8" w:space="0" w:color="1F4E79"/>
          <w:left w:val="single" w:sz="4" w:space="0" w:color="D9D9D9"/>
          <w:right w:val="single" w:sz="4" w:space="0" w:color="D9D9D9"/>
          <w:insideH w:val="single" w:sz="4" w:space="0" w:color="E2E8F0"/>
          <w:insideV w:val="single" w:sz="4" w:space="0" w:color="E2E8F0"/>
        </w:tblBorders>
      </w:tblPr>
      <w:tblGrid>
        <w:gridCol w:w="2007"/>
        <w:gridCol w:w="2007"/>
        <w:gridCol w:w="2007"/>
        <w:gridCol w:w="2007"/>
        <w:gridCol w:w="2007"/>
      </w:tblGrid>
      <w:tr>
        <w:trPr>
          <w:cantSplit/>
          <w:tblHeader/>
        </w:trPr>
        <w:tc>
          <w:tcPr>
            <w:tcW w:type="dxa" w:w="1499"/>
            <w:vAlign w:val="center"/>
            <w:tcW w:w="1498"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7"/>
              </w:rPr>
              <w:t>Feature Name</w:t>
            </w:r>
          </w:p>
        </w:tc>
        <w:tc>
          <w:tcPr>
            <w:tcW w:type="dxa" w:w="1348"/>
            <w:vAlign w:val="center"/>
            <w:tcW w:w="1348"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7"/>
              </w:rPr>
              <w:t>Data Type</w:t>
            </w:r>
          </w:p>
        </w:tc>
        <w:tc>
          <w:tcPr>
            <w:tcW w:type="dxa" w:w="2539"/>
            <w:vAlign w:val="center"/>
            <w:tcW w:w="2538"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7"/>
              </w:rPr>
              <w:t>Formula / Source</w:t>
            </w:r>
          </w:p>
        </w:tc>
        <w:tc>
          <w:tcPr>
            <w:tcW w:type="dxa" w:w="2575"/>
            <w:vAlign w:val="center"/>
            <w:tcW w:w="2575"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7"/>
              </w:rPr>
              <w:t>Operational Rationale</w:t>
            </w:r>
          </w:p>
        </w:tc>
        <w:tc>
          <w:tcPr>
            <w:tcW w:type="dxa" w:w="2075"/>
            <w:vAlign w:val="center"/>
            <w:tcW w:w="2075"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7"/>
              </w:rPr>
              <w:t>Missingness Handling</w:t>
            </w:r>
          </w:p>
        </w:tc>
      </w:tr>
      <w:tr>
        <w:trPr>
          <w:cantSplit/>
        </w:trPr>
        <w:tc>
          <w:tcPr>
            <w:tcW w:type="dxa" w:w="1499"/>
            <w:vAlign w:val="center"/>
            <w:tcW w:w="1498" w:type="dxa"/>
            <w:tcMar>
              <w:top w:w="60" w:type="dxa"/>
              <w:bottom w:w="60" w:type="dxa"/>
              <w:left w:w="80" w:type="dxa"/>
              <w:right w:w="80" w:type="dxa"/>
            </w:tcMar>
            <w:shd w:val="clear" w:color="auto" w:fill="F8FAFC"/>
          </w:tcPr>
          <w:p>
            <w:pPr>
              <w:spacing w:before="0" w:after="0" w:line="252" w:lineRule="auto"/>
              <w:jc w:val="left"/>
            </w:pPr>
            <w:r>
              <w:rPr>
                <w:rFonts w:ascii="Consolas" w:hAnsi="Consolas"/>
                <w:color w:val="8A1E38"/>
                <w:sz w:val="16"/>
              </w:rPr>
              <w:t>n_items</w:t>
            </w:r>
          </w:p>
        </w:tc>
        <w:tc>
          <w:tcPr>
            <w:tcW w:type="dxa" w:w="1348"/>
            <w:vAlign w:val="center"/>
            <w:tcW w:w="1348"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Integer</w:t>
            </w:r>
          </w:p>
        </w:tc>
        <w:tc>
          <w:tcPr>
            <w:tcW w:type="dxa" w:w="2539"/>
            <w:vAlign w:val="center"/>
            <w:tcW w:w="2538"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Total item count in order cart</w:t>
            </w:r>
          </w:p>
        </w:tc>
        <w:tc>
          <w:tcPr>
            <w:tcW w:type="dxa" w:w="2575"/>
            <w:vAlign w:val="center"/>
            <w:tcW w:w="2575"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Pick-and-pack warehouse consolidation delay</w:t>
            </w:r>
          </w:p>
        </w:tc>
        <w:tc>
          <w:tcPr>
            <w:tcW w:type="dxa" w:w="2075"/>
            <w:vAlign w:val="center"/>
            <w:tcW w:w="2075"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 xml:space="preserve">Default </w:t>
            </w:r>
            <w:r>
              <w:rPr>
                <w:rFonts w:ascii="Cambria Math" w:hAnsi="Cambria Math"/>
                <w:sz w:val="17"/>
              </w:rPr>
              <w:t>1</w:t>
            </w:r>
          </w:p>
        </w:tc>
      </w:tr>
      <w:tr>
        <w:trPr>
          <w:cantSplit/>
        </w:trPr>
        <w:tc>
          <w:tcPr>
            <w:tcW w:type="dxa" w:w="1499"/>
            <w:vAlign w:val="center"/>
            <w:tcW w:w="1498" w:type="dxa"/>
            <w:tcMar>
              <w:top w:w="60" w:type="dxa"/>
              <w:bottom w:w="60" w:type="dxa"/>
              <w:left w:w="80" w:type="dxa"/>
              <w:right w:w="80" w:type="dxa"/>
            </w:tcMar>
          </w:tcPr>
          <w:p>
            <w:pPr>
              <w:spacing w:before="0" w:after="0" w:line="252" w:lineRule="auto"/>
              <w:jc w:val="left"/>
            </w:pPr>
            <w:r>
              <w:rPr>
                <w:rFonts w:ascii="Consolas" w:hAnsi="Consolas"/>
                <w:color w:val="8A1E38"/>
                <w:sz w:val="16"/>
              </w:rPr>
              <w:t>n_products</w:t>
            </w:r>
          </w:p>
        </w:tc>
        <w:tc>
          <w:tcPr>
            <w:tcW w:type="dxa" w:w="1348"/>
            <w:vAlign w:val="center"/>
            <w:tcW w:w="1348" w:type="dxa"/>
            <w:tcMar>
              <w:top w:w="60" w:type="dxa"/>
              <w:bottom w:w="60" w:type="dxa"/>
              <w:left w:w="80" w:type="dxa"/>
              <w:right w:w="80" w:type="dxa"/>
            </w:tcMar>
          </w:tcPr>
          <w:p>
            <w:pPr>
              <w:spacing w:before="0" w:after="0" w:line="252" w:lineRule="auto"/>
              <w:jc w:val="left"/>
            </w:pPr>
            <w:r>
              <w:rPr>
                <w:rFonts w:ascii="Times New Roman" w:hAnsi="Times New Roman"/>
                <w:sz w:val="17"/>
              </w:rPr>
              <w:t>Integer</w:t>
            </w:r>
          </w:p>
        </w:tc>
        <w:tc>
          <w:tcPr>
            <w:tcW w:type="dxa" w:w="2539"/>
            <w:vAlign w:val="center"/>
            <w:tcW w:w="2538" w:type="dxa"/>
            <w:tcMar>
              <w:top w:w="60" w:type="dxa"/>
              <w:bottom w:w="60" w:type="dxa"/>
              <w:left w:w="80" w:type="dxa"/>
              <w:right w:w="80" w:type="dxa"/>
            </w:tcMar>
          </w:tcPr>
          <w:p>
            <w:pPr>
              <w:spacing w:before="0" w:after="0" w:line="252" w:lineRule="auto"/>
              <w:jc w:val="left"/>
            </w:pPr>
            <w:r>
              <w:rPr>
                <w:rFonts w:ascii="Times New Roman" w:hAnsi="Times New Roman"/>
                <w:sz w:val="17"/>
              </w:rPr>
              <w:t>Count of distinct product IDs</w:t>
            </w:r>
          </w:p>
        </w:tc>
        <w:tc>
          <w:tcPr>
            <w:tcW w:type="dxa" w:w="2575"/>
            <w:vAlign w:val="center"/>
            <w:tcW w:w="2575" w:type="dxa"/>
            <w:tcMar>
              <w:top w:w="60" w:type="dxa"/>
              <w:bottom w:w="60" w:type="dxa"/>
              <w:left w:w="80" w:type="dxa"/>
              <w:right w:w="80" w:type="dxa"/>
            </w:tcMar>
          </w:tcPr>
          <w:p>
            <w:pPr>
              <w:spacing w:before="0" w:after="0" w:line="252" w:lineRule="auto"/>
              <w:jc w:val="left"/>
            </w:pPr>
            <w:r>
              <w:rPr>
                <w:rFonts w:ascii="Times New Roman" w:hAnsi="Times New Roman"/>
                <w:sz w:val="17"/>
              </w:rPr>
              <w:t>Multi-SKU handling complexity</w:t>
            </w:r>
          </w:p>
        </w:tc>
        <w:tc>
          <w:tcPr>
            <w:tcW w:type="dxa" w:w="2075"/>
            <w:vAlign w:val="center"/>
            <w:tcW w:w="2075" w:type="dxa"/>
            <w:tcMar>
              <w:top w:w="60" w:type="dxa"/>
              <w:bottom w:w="60" w:type="dxa"/>
              <w:left w:w="80" w:type="dxa"/>
              <w:right w:w="80" w:type="dxa"/>
            </w:tcMar>
          </w:tcPr>
          <w:p>
            <w:pPr>
              <w:spacing w:before="0" w:after="0" w:line="252" w:lineRule="auto"/>
              <w:jc w:val="left"/>
            </w:pPr>
            <w:r>
              <w:rPr>
                <w:rFonts w:ascii="Times New Roman" w:hAnsi="Times New Roman"/>
                <w:sz w:val="17"/>
              </w:rPr>
              <w:t xml:space="preserve">Default </w:t>
            </w:r>
            <w:r>
              <w:rPr>
                <w:rFonts w:ascii="Cambria Math" w:hAnsi="Cambria Math"/>
                <w:sz w:val="17"/>
              </w:rPr>
              <w:t>1</w:t>
            </w:r>
          </w:p>
        </w:tc>
      </w:tr>
      <w:tr>
        <w:trPr>
          <w:cantSplit/>
        </w:trPr>
        <w:tc>
          <w:tcPr>
            <w:tcW w:type="dxa" w:w="1499"/>
            <w:vAlign w:val="center"/>
            <w:tcW w:w="1498" w:type="dxa"/>
            <w:tcMar>
              <w:top w:w="60" w:type="dxa"/>
              <w:bottom w:w="60" w:type="dxa"/>
              <w:left w:w="80" w:type="dxa"/>
              <w:right w:w="80" w:type="dxa"/>
            </w:tcMar>
            <w:shd w:val="clear" w:color="auto" w:fill="F8FAFC"/>
          </w:tcPr>
          <w:p>
            <w:pPr>
              <w:spacing w:before="0" w:after="0" w:line="252" w:lineRule="auto"/>
              <w:jc w:val="left"/>
            </w:pPr>
            <w:r>
              <w:rPr>
                <w:rFonts w:ascii="Consolas" w:hAnsi="Consolas"/>
                <w:color w:val="8A1E38"/>
                <w:sz w:val="16"/>
              </w:rPr>
              <w:t>total_price</w:t>
            </w:r>
          </w:p>
        </w:tc>
        <w:tc>
          <w:tcPr>
            <w:tcW w:type="dxa" w:w="1348"/>
            <w:vAlign w:val="center"/>
            <w:tcW w:w="1348"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Numeric (BRL)</w:t>
            </w:r>
          </w:p>
        </w:tc>
        <w:tc>
          <w:tcPr>
            <w:tcW w:type="dxa" w:w="2539"/>
            <w:vAlign w:val="center"/>
            <w:tcW w:w="2538" w:type="dxa"/>
            <w:tcMar>
              <w:top w:w="60" w:type="dxa"/>
              <w:bottom w:w="60" w:type="dxa"/>
              <w:left w:w="80" w:type="dxa"/>
              <w:right w:w="80" w:type="dxa"/>
            </w:tcMar>
            <w:shd w:val="clear" w:color="auto" w:fill="F8FAFC"/>
          </w:tcPr>
          <w:p>
            <w:pPr>
              <w:spacing w:before="0" w:after="0" w:line="252" w:lineRule="auto"/>
              <w:jc w:val="left"/>
            </w:pPr>
            <w:r>
              <w:rPr>
                <w:rFonts w:ascii="Cambria Math" w:hAnsi="Cambria Math"/>
                <w:sz w:val="17"/>
              </w:rPr>
              <w:t>\sum item price</w:t>
            </w:r>
          </w:p>
        </w:tc>
        <w:tc>
          <w:tcPr>
            <w:tcW w:type="dxa" w:w="2575"/>
            <w:vAlign w:val="center"/>
            <w:tcW w:w="2575"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Cart value; consumer expectation anchor</w:t>
            </w:r>
          </w:p>
        </w:tc>
        <w:tc>
          <w:tcPr>
            <w:tcW w:type="dxa" w:w="2075"/>
            <w:vAlign w:val="center"/>
            <w:tcW w:w="2075"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Zero fill</w:t>
            </w:r>
          </w:p>
        </w:tc>
      </w:tr>
      <w:tr>
        <w:trPr>
          <w:cantSplit/>
        </w:trPr>
        <w:tc>
          <w:tcPr>
            <w:tcW w:type="dxa" w:w="1499"/>
            <w:vAlign w:val="center"/>
            <w:tcW w:w="1498" w:type="dxa"/>
            <w:tcMar>
              <w:top w:w="60" w:type="dxa"/>
              <w:bottom w:w="60" w:type="dxa"/>
              <w:left w:w="80" w:type="dxa"/>
              <w:right w:w="80" w:type="dxa"/>
            </w:tcMar>
          </w:tcPr>
          <w:p>
            <w:pPr>
              <w:spacing w:before="0" w:after="0" w:line="252" w:lineRule="auto"/>
              <w:jc w:val="left"/>
            </w:pPr>
            <w:r>
              <w:rPr>
                <w:rFonts w:ascii="Consolas" w:hAnsi="Consolas"/>
                <w:color w:val="8A1E38"/>
                <w:sz w:val="16"/>
              </w:rPr>
              <w:t>total_freight</w:t>
            </w:r>
          </w:p>
        </w:tc>
        <w:tc>
          <w:tcPr>
            <w:tcW w:type="dxa" w:w="1348"/>
            <w:vAlign w:val="center"/>
            <w:tcW w:w="1348" w:type="dxa"/>
            <w:tcMar>
              <w:top w:w="60" w:type="dxa"/>
              <w:bottom w:w="60" w:type="dxa"/>
              <w:left w:w="80" w:type="dxa"/>
              <w:right w:w="80" w:type="dxa"/>
            </w:tcMar>
          </w:tcPr>
          <w:p>
            <w:pPr>
              <w:spacing w:before="0" w:after="0" w:line="252" w:lineRule="auto"/>
              <w:jc w:val="left"/>
            </w:pPr>
            <w:r>
              <w:rPr>
                <w:rFonts w:ascii="Times New Roman" w:hAnsi="Times New Roman"/>
                <w:sz w:val="17"/>
              </w:rPr>
              <w:t>Numeric (BRL)</w:t>
            </w:r>
          </w:p>
        </w:tc>
        <w:tc>
          <w:tcPr>
            <w:tcW w:type="dxa" w:w="2539"/>
            <w:vAlign w:val="center"/>
            <w:tcW w:w="2538" w:type="dxa"/>
            <w:tcMar>
              <w:top w:w="60" w:type="dxa"/>
              <w:bottom w:w="60" w:type="dxa"/>
              <w:left w:w="80" w:type="dxa"/>
              <w:right w:w="80" w:type="dxa"/>
            </w:tcMar>
          </w:tcPr>
          <w:p>
            <w:pPr>
              <w:spacing w:before="0" w:after="0" w:line="252" w:lineRule="auto"/>
              <w:jc w:val="left"/>
            </w:pPr>
            <w:r>
              <w:rPr>
                <w:rFonts w:ascii="Cambria Math" w:hAnsi="Cambria Math"/>
                <w:sz w:val="17"/>
              </w:rPr>
              <w:t>\sum freight value</w:t>
            </w:r>
          </w:p>
        </w:tc>
        <w:tc>
          <w:tcPr>
            <w:tcW w:type="dxa" w:w="2575"/>
            <w:vAlign w:val="center"/>
            <w:tcW w:w="2575" w:type="dxa"/>
            <w:tcMar>
              <w:top w:w="60" w:type="dxa"/>
              <w:bottom w:w="60" w:type="dxa"/>
              <w:left w:w="80" w:type="dxa"/>
              <w:right w:w="80" w:type="dxa"/>
            </w:tcMar>
          </w:tcPr>
          <w:p>
            <w:pPr>
              <w:spacing w:before="0" w:after="0" w:line="252" w:lineRule="auto"/>
              <w:jc w:val="left"/>
            </w:pPr>
            <w:r>
              <w:rPr>
                <w:rFonts w:ascii="Times New Roman" w:hAnsi="Times New Roman"/>
                <w:sz w:val="17"/>
              </w:rPr>
              <w:t>Direct shipping fee paid by buyer</w:t>
            </w:r>
          </w:p>
        </w:tc>
        <w:tc>
          <w:tcPr>
            <w:tcW w:type="dxa" w:w="2075"/>
            <w:vAlign w:val="center"/>
            <w:tcW w:w="2075" w:type="dxa"/>
            <w:tcMar>
              <w:top w:w="60" w:type="dxa"/>
              <w:bottom w:w="60" w:type="dxa"/>
              <w:left w:w="80" w:type="dxa"/>
              <w:right w:w="80" w:type="dxa"/>
            </w:tcMar>
          </w:tcPr>
          <w:p>
            <w:pPr>
              <w:spacing w:before="0" w:after="0" w:line="252" w:lineRule="auto"/>
              <w:jc w:val="left"/>
            </w:pPr>
            <w:r>
              <w:rPr>
                <w:rFonts w:ascii="Times New Roman" w:hAnsi="Times New Roman"/>
                <w:sz w:val="17"/>
              </w:rPr>
              <w:t>Zero fill</w:t>
            </w:r>
          </w:p>
        </w:tc>
      </w:tr>
      <w:tr>
        <w:trPr>
          <w:cantSplit/>
        </w:trPr>
        <w:tc>
          <w:tcPr>
            <w:tcW w:type="dxa" w:w="1499"/>
            <w:vAlign w:val="center"/>
            <w:tcW w:w="1498" w:type="dxa"/>
            <w:tcMar>
              <w:top w:w="60" w:type="dxa"/>
              <w:bottom w:w="60" w:type="dxa"/>
              <w:left w:w="80" w:type="dxa"/>
              <w:right w:w="80" w:type="dxa"/>
            </w:tcMar>
            <w:shd w:val="clear" w:color="auto" w:fill="F8FAFC"/>
          </w:tcPr>
          <w:p>
            <w:pPr>
              <w:spacing w:before="0" w:after="0" w:line="252" w:lineRule="auto"/>
              <w:jc w:val="left"/>
            </w:pPr>
            <w:r>
              <w:rPr>
                <w:rFonts w:ascii="Consolas" w:hAnsi="Consolas"/>
                <w:color w:val="8A1E38"/>
                <w:sz w:val="16"/>
              </w:rPr>
              <w:t>freight_ratio</w:t>
            </w:r>
          </w:p>
        </w:tc>
        <w:tc>
          <w:tcPr>
            <w:tcW w:type="dxa" w:w="1348"/>
            <w:vAlign w:val="center"/>
            <w:tcW w:w="1348"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 xml:space="preserve">Ratio </w:t>
            </w:r>
            <w:r>
              <w:rPr>
                <w:rFonts w:ascii="Cambria Math" w:hAnsi="Cambria Math"/>
                <w:sz w:val="17"/>
              </w:rPr>
              <w:t>[0, 1]</w:t>
            </w:r>
          </w:p>
        </w:tc>
        <w:tc>
          <w:tcPr>
            <w:tcW w:type="dxa" w:w="2539"/>
            <w:vAlign w:val="center"/>
            <w:tcW w:w="2538" w:type="dxa"/>
            <w:tcMar>
              <w:top w:w="60" w:type="dxa"/>
              <w:bottom w:w="60" w:type="dxa"/>
              <w:left w:w="80" w:type="dxa"/>
              <w:right w:w="80" w:type="dxa"/>
            </w:tcMar>
            <w:shd w:val="clear" w:color="auto" w:fill="F8FAFC"/>
          </w:tcPr>
          <w:p>
            <w:pPr>
              <w:spacing w:before="0" w:after="0" w:line="252" w:lineRule="auto"/>
              <w:jc w:val="left"/>
            </w:pPr>
            <w:r>
              <w:rPr>
                <w:rFonts w:ascii="Cambria Math" w:hAnsi="Cambria Math"/>
                <w:sz w:val="17"/>
              </w:rPr>
              <w:t>(total_freight / total_price + total_freight)</w:t>
            </w:r>
          </w:p>
        </w:tc>
        <w:tc>
          <w:tcPr>
            <w:tcW w:type="dxa" w:w="2575"/>
            <w:vAlign w:val="center"/>
            <w:tcW w:w="2575"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Relative shipping burden; sensitivity driver</w:t>
            </w:r>
          </w:p>
        </w:tc>
        <w:tc>
          <w:tcPr>
            <w:tcW w:type="dxa" w:w="2075"/>
            <w:vAlign w:val="center"/>
            <w:tcW w:w="2075"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Computed ratio; median fill</w:t>
            </w:r>
          </w:p>
        </w:tc>
      </w:tr>
      <w:tr>
        <w:trPr>
          <w:cantSplit/>
        </w:trPr>
        <w:tc>
          <w:tcPr>
            <w:tcW w:type="dxa" w:w="1499"/>
            <w:vAlign w:val="center"/>
            <w:tcW w:w="1498" w:type="dxa"/>
            <w:tcMar>
              <w:top w:w="60" w:type="dxa"/>
              <w:bottom w:w="60" w:type="dxa"/>
              <w:left w:w="80" w:type="dxa"/>
              <w:right w:w="80" w:type="dxa"/>
            </w:tcMar>
          </w:tcPr>
          <w:p>
            <w:pPr>
              <w:spacing w:before="0" w:after="0" w:line="252" w:lineRule="auto"/>
              <w:jc w:val="left"/>
            </w:pPr>
            <w:r>
              <w:rPr>
                <w:rFonts w:ascii="Consolas" w:hAnsi="Consolas"/>
                <w:color w:val="8A1E38"/>
                <w:sz w:val="16"/>
              </w:rPr>
              <w:t>customer_state</w:t>
            </w:r>
          </w:p>
        </w:tc>
        <w:tc>
          <w:tcPr>
            <w:tcW w:type="dxa" w:w="1348"/>
            <w:vAlign w:val="center"/>
            <w:tcW w:w="1348" w:type="dxa"/>
            <w:tcMar>
              <w:top w:w="60" w:type="dxa"/>
              <w:bottom w:w="60" w:type="dxa"/>
              <w:left w:w="80" w:type="dxa"/>
              <w:right w:w="80" w:type="dxa"/>
            </w:tcMar>
          </w:tcPr>
          <w:p>
            <w:pPr>
              <w:spacing w:before="0" w:after="0" w:line="252" w:lineRule="auto"/>
              <w:jc w:val="left"/>
            </w:pPr>
            <w:r>
              <w:rPr>
                <w:rFonts w:ascii="Times New Roman" w:hAnsi="Times New Roman"/>
                <w:sz w:val="17"/>
              </w:rPr>
              <w:t>Categorical</w:t>
            </w:r>
          </w:p>
        </w:tc>
        <w:tc>
          <w:tcPr>
            <w:tcW w:type="dxa" w:w="2539"/>
            <w:vAlign w:val="center"/>
            <w:tcW w:w="2538" w:type="dxa"/>
            <w:tcMar>
              <w:top w:w="60" w:type="dxa"/>
              <w:bottom w:w="60" w:type="dxa"/>
              <w:left w:w="80" w:type="dxa"/>
              <w:right w:w="80" w:type="dxa"/>
            </w:tcMar>
          </w:tcPr>
          <w:p>
            <w:pPr>
              <w:spacing w:before="0" w:after="0" w:line="252" w:lineRule="auto"/>
              <w:jc w:val="left"/>
            </w:pPr>
            <w:r>
              <w:rPr>
                <w:rFonts w:ascii="Times New Roman" w:hAnsi="Times New Roman"/>
                <w:sz w:val="17"/>
              </w:rPr>
              <w:t>27 Brazilian State Codes (UF)</w:t>
            </w:r>
          </w:p>
        </w:tc>
        <w:tc>
          <w:tcPr>
            <w:tcW w:type="dxa" w:w="2575"/>
            <w:vAlign w:val="center"/>
            <w:tcW w:w="2575" w:type="dxa"/>
            <w:tcMar>
              <w:top w:w="60" w:type="dxa"/>
              <w:bottom w:w="60" w:type="dxa"/>
              <w:left w:w="80" w:type="dxa"/>
              <w:right w:w="80" w:type="dxa"/>
            </w:tcMar>
          </w:tcPr>
          <w:p>
            <w:pPr>
              <w:spacing w:before="0" w:after="0" w:line="252" w:lineRule="auto"/>
              <w:jc w:val="left"/>
            </w:pPr>
            <w:r>
              <w:rPr>
                <w:rFonts w:ascii="Times New Roman" w:hAnsi="Times New Roman"/>
                <w:sz w:val="17"/>
              </w:rPr>
              <w:t>Regional logistics hub access &amp; infrastructure</w:t>
            </w:r>
          </w:p>
        </w:tc>
        <w:tc>
          <w:tcPr>
            <w:tcW w:type="dxa" w:w="2075"/>
            <w:vAlign w:val="center"/>
            <w:tcW w:w="2075" w:type="dxa"/>
            <w:tcMar>
              <w:top w:w="60" w:type="dxa"/>
              <w:bottom w:w="60" w:type="dxa"/>
              <w:left w:w="80" w:type="dxa"/>
              <w:right w:w="80" w:type="dxa"/>
            </w:tcMar>
          </w:tcPr>
          <w:p>
            <w:pPr>
              <w:spacing w:before="0" w:after="0" w:line="252" w:lineRule="auto"/>
              <w:jc w:val="left"/>
            </w:pPr>
            <w:r>
              <w:rPr>
                <w:rFonts w:ascii="Times New Roman" w:hAnsi="Times New Roman"/>
                <w:sz w:val="17"/>
              </w:rPr>
              <w:t>One-Hot Encoding (</w:t>
            </w:r>
            <w:r>
              <w:rPr>
                <w:rFonts w:ascii="Consolas" w:hAnsi="Consolas"/>
                <w:color w:val="8A1E38"/>
                <w:sz w:val="16"/>
              </w:rPr>
              <w:t>drop='first'</w:t>
            </w:r>
            <w:r>
              <w:rPr>
                <w:rFonts w:ascii="Times New Roman" w:hAnsi="Times New Roman"/>
                <w:sz w:val="17"/>
              </w:rPr>
              <w:t>)</w:t>
            </w:r>
          </w:p>
        </w:tc>
      </w:tr>
      <w:tr>
        <w:trPr>
          <w:cantSplit/>
        </w:trPr>
        <w:tc>
          <w:tcPr>
            <w:tcW w:type="dxa" w:w="1499"/>
            <w:vAlign w:val="center"/>
            <w:tcW w:w="1498" w:type="dxa"/>
            <w:tcMar>
              <w:top w:w="60" w:type="dxa"/>
              <w:bottom w:w="60" w:type="dxa"/>
              <w:left w:w="80" w:type="dxa"/>
              <w:right w:w="80" w:type="dxa"/>
            </w:tcMar>
            <w:shd w:val="clear" w:color="auto" w:fill="F8FAFC"/>
          </w:tcPr>
          <w:p>
            <w:pPr>
              <w:spacing w:before="0" w:after="0" w:line="252" w:lineRule="auto"/>
              <w:jc w:val="left"/>
            </w:pPr>
            <w:r>
              <w:rPr>
                <w:rFonts w:ascii="Consolas" w:hAnsi="Consolas"/>
                <w:color w:val="8A1E38"/>
                <w:sz w:val="16"/>
              </w:rPr>
              <w:t>purchase_month</w:t>
            </w:r>
          </w:p>
        </w:tc>
        <w:tc>
          <w:tcPr>
            <w:tcW w:type="dxa" w:w="1348"/>
            <w:vAlign w:val="center"/>
            <w:tcW w:w="1348"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Categorical / Int</w:t>
            </w:r>
          </w:p>
        </w:tc>
        <w:tc>
          <w:tcPr>
            <w:tcW w:type="dxa" w:w="2539"/>
            <w:vAlign w:val="center"/>
            <w:tcW w:w="2538"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 xml:space="preserve">Calendar month </w:t>
            </w:r>
            <w:r>
              <w:rPr>
                <w:rFonts w:ascii="Cambria Math" w:hAnsi="Cambria Math"/>
                <w:sz w:val="17"/>
              </w:rPr>
              <w:t>[1, 12]</w:t>
            </w:r>
            <w:r>
              <w:rPr>
                <w:rFonts w:ascii="Times New Roman" w:hAnsi="Times New Roman"/>
                <w:sz w:val="17"/>
              </w:rPr>
              <w:t xml:space="preserve"> from </w:t>
            </w:r>
            <w:r>
              <w:rPr>
                <w:rFonts w:ascii="Cambria Math" w:hAnsi="Cambria Math"/>
                <w:sz w:val="17"/>
              </w:rPr>
              <w:t>τ_checkout</w:t>
            </w:r>
          </w:p>
        </w:tc>
        <w:tc>
          <w:tcPr>
            <w:tcW w:type="dxa" w:w="2575"/>
            <w:vAlign w:val="center"/>
            <w:tcW w:w="2575"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Macro seasonality &amp; holiday volume shifts</w:t>
            </w:r>
          </w:p>
        </w:tc>
        <w:tc>
          <w:tcPr>
            <w:tcW w:type="dxa" w:w="2075"/>
            <w:vAlign w:val="center"/>
            <w:tcW w:w="2075"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Deterministic</w:t>
            </w:r>
          </w:p>
        </w:tc>
      </w:tr>
      <w:tr>
        <w:trPr>
          <w:cantSplit/>
        </w:trPr>
        <w:tc>
          <w:tcPr>
            <w:tcW w:type="dxa" w:w="1499"/>
            <w:vAlign w:val="center"/>
            <w:tcW w:w="1498" w:type="dxa"/>
            <w:tcMar>
              <w:top w:w="60" w:type="dxa"/>
              <w:bottom w:w="60" w:type="dxa"/>
              <w:left w:w="80" w:type="dxa"/>
              <w:right w:w="80" w:type="dxa"/>
            </w:tcMar>
          </w:tcPr>
          <w:p>
            <w:pPr>
              <w:spacing w:before="0" w:after="0" w:line="252" w:lineRule="auto"/>
              <w:jc w:val="left"/>
            </w:pPr>
            <w:r>
              <w:rPr>
                <w:rFonts w:ascii="Consolas" w:hAnsi="Consolas"/>
                <w:color w:val="8A1E38"/>
                <w:sz w:val="16"/>
              </w:rPr>
              <w:t>purchase_dayofweek</w:t>
            </w:r>
          </w:p>
        </w:tc>
        <w:tc>
          <w:tcPr>
            <w:tcW w:type="dxa" w:w="1348"/>
            <w:vAlign w:val="center"/>
            <w:tcW w:w="1348" w:type="dxa"/>
            <w:tcMar>
              <w:top w:w="60" w:type="dxa"/>
              <w:bottom w:w="60" w:type="dxa"/>
              <w:left w:w="80" w:type="dxa"/>
              <w:right w:w="80" w:type="dxa"/>
            </w:tcMar>
          </w:tcPr>
          <w:p>
            <w:pPr>
              <w:spacing w:before="0" w:after="0" w:line="252" w:lineRule="auto"/>
              <w:jc w:val="left"/>
            </w:pPr>
            <w:r>
              <w:rPr>
                <w:rFonts w:ascii="Times New Roman" w:hAnsi="Times New Roman"/>
                <w:sz w:val="17"/>
              </w:rPr>
              <w:t>Categorical / Int</w:t>
            </w:r>
          </w:p>
        </w:tc>
        <w:tc>
          <w:tcPr>
            <w:tcW w:type="dxa" w:w="2539"/>
            <w:vAlign w:val="center"/>
            <w:tcW w:w="2538" w:type="dxa"/>
            <w:tcMar>
              <w:top w:w="60" w:type="dxa"/>
              <w:bottom w:w="60" w:type="dxa"/>
              <w:left w:w="80" w:type="dxa"/>
              <w:right w:w="80" w:type="dxa"/>
            </w:tcMar>
          </w:tcPr>
          <w:p>
            <w:pPr>
              <w:spacing w:before="0" w:after="0" w:line="252" w:lineRule="auto"/>
              <w:jc w:val="left"/>
            </w:pPr>
            <w:r>
              <w:rPr>
                <w:rFonts w:ascii="Times New Roman" w:hAnsi="Times New Roman"/>
                <w:sz w:val="17"/>
              </w:rPr>
              <w:t xml:space="preserve">Day of week </w:t>
            </w:r>
            <w:r>
              <w:rPr>
                <w:rFonts w:ascii="Cambria Math" w:hAnsi="Cambria Math"/>
                <w:sz w:val="17"/>
              </w:rPr>
              <w:t>[0, 6]</w:t>
            </w:r>
            <w:r>
              <w:rPr>
                <w:rFonts w:ascii="Times New Roman" w:hAnsi="Times New Roman"/>
                <w:sz w:val="17"/>
              </w:rPr>
              <w:t xml:space="preserve"> from </w:t>
            </w:r>
            <w:r>
              <w:rPr>
                <w:rFonts w:ascii="Cambria Math" w:hAnsi="Cambria Math"/>
                <w:sz w:val="17"/>
              </w:rPr>
              <w:t>τ_checkout</w:t>
            </w:r>
          </w:p>
        </w:tc>
        <w:tc>
          <w:tcPr>
            <w:tcW w:type="dxa" w:w="2575"/>
            <w:vAlign w:val="center"/>
            <w:tcW w:w="2575" w:type="dxa"/>
            <w:tcMar>
              <w:top w:w="60" w:type="dxa"/>
              <w:bottom w:w="60" w:type="dxa"/>
              <w:left w:w="80" w:type="dxa"/>
              <w:right w:w="80" w:type="dxa"/>
            </w:tcMar>
          </w:tcPr>
          <w:p>
            <w:pPr>
              <w:spacing w:before="0" w:after="0" w:line="252" w:lineRule="auto"/>
              <w:jc w:val="left"/>
            </w:pPr>
            <w:r>
              <w:rPr>
                <w:rFonts w:ascii="Times New Roman" w:hAnsi="Times New Roman"/>
                <w:sz w:val="17"/>
              </w:rPr>
              <w:t>Weekend carrier dispatch cutoff delays</w:t>
            </w:r>
          </w:p>
        </w:tc>
        <w:tc>
          <w:tcPr>
            <w:tcW w:type="dxa" w:w="2075"/>
            <w:vAlign w:val="center"/>
            <w:tcW w:w="2075" w:type="dxa"/>
            <w:tcMar>
              <w:top w:w="60" w:type="dxa"/>
              <w:bottom w:w="60" w:type="dxa"/>
              <w:left w:w="80" w:type="dxa"/>
              <w:right w:w="80" w:type="dxa"/>
            </w:tcMar>
          </w:tcPr>
          <w:p>
            <w:pPr>
              <w:spacing w:before="0" w:after="0" w:line="252" w:lineRule="auto"/>
              <w:jc w:val="left"/>
            </w:pPr>
            <w:r>
              <w:rPr>
                <w:rFonts w:ascii="Times New Roman" w:hAnsi="Times New Roman"/>
                <w:sz w:val="17"/>
              </w:rPr>
              <w:t>Deterministic</w:t>
            </w:r>
          </w:p>
        </w:tc>
      </w:tr>
      <w:tr>
        <w:trPr>
          <w:cantSplit/>
        </w:trPr>
        <w:tc>
          <w:tcPr>
            <w:tcW w:type="dxa" w:w="1499"/>
            <w:vAlign w:val="center"/>
            <w:tcW w:w="1498" w:type="dxa"/>
            <w:tcMar>
              <w:top w:w="60" w:type="dxa"/>
              <w:bottom w:w="60" w:type="dxa"/>
              <w:left w:w="80" w:type="dxa"/>
              <w:right w:w="80" w:type="dxa"/>
            </w:tcMar>
            <w:shd w:val="clear" w:color="auto" w:fill="F8FAFC"/>
          </w:tcPr>
          <w:p>
            <w:pPr>
              <w:spacing w:before="0" w:after="0" w:line="252" w:lineRule="auto"/>
              <w:jc w:val="left"/>
            </w:pPr>
            <w:r>
              <w:rPr>
                <w:rFonts w:ascii="Consolas" w:hAnsi="Consolas"/>
                <w:color w:val="8A1E38"/>
                <w:sz w:val="16"/>
              </w:rPr>
              <w:t>purchase_hour</w:t>
            </w:r>
          </w:p>
        </w:tc>
        <w:tc>
          <w:tcPr>
            <w:tcW w:type="dxa" w:w="1348"/>
            <w:vAlign w:val="center"/>
            <w:tcW w:w="1348"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Categorical / Int</w:t>
            </w:r>
          </w:p>
        </w:tc>
        <w:tc>
          <w:tcPr>
            <w:tcW w:type="dxa" w:w="2539"/>
            <w:vAlign w:val="center"/>
            <w:tcW w:w="2538"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 xml:space="preserve">Hour of day </w:t>
            </w:r>
            <w:r>
              <w:rPr>
                <w:rFonts w:ascii="Cambria Math" w:hAnsi="Cambria Math"/>
                <w:sz w:val="17"/>
              </w:rPr>
              <w:t>[0, 23]</w:t>
            </w:r>
            <w:r>
              <w:rPr>
                <w:rFonts w:ascii="Times New Roman" w:hAnsi="Times New Roman"/>
                <w:sz w:val="17"/>
              </w:rPr>
              <w:t xml:space="preserve"> from </w:t>
            </w:r>
            <w:r>
              <w:rPr>
                <w:rFonts w:ascii="Cambria Math" w:hAnsi="Cambria Math"/>
                <w:sz w:val="17"/>
              </w:rPr>
              <w:t>τ_checkout</w:t>
            </w:r>
          </w:p>
        </w:tc>
        <w:tc>
          <w:tcPr>
            <w:tcW w:type="dxa" w:w="2575"/>
            <w:vAlign w:val="center"/>
            <w:tcW w:w="2575"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Diurnal same-day warehouse dispatch cutoffs</w:t>
            </w:r>
          </w:p>
        </w:tc>
        <w:tc>
          <w:tcPr>
            <w:tcW w:type="dxa" w:w="2075"/>
            <w:vAlign w:val="center"/>
            <w:tcW w:w="2075"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Deterministic</w:t>
            </w:r>
          </w:p>
        </w:tc>
      </w:tr>
    </w:tbl>
    <w:p>
      <w:pPr>
        <w:spacing w:before="40" w:after="40" w:line="40" w:lineRule="exact"/>
      </w:pPr>
    </w:p>
    <w:p>
      <w:pPr>
        <w:pStyle w:val="Heading2"/>
      </w:pPr>
      <w:r>
        <w:rPr>
          <w:rFonts w:ascii="Times New Roman" w:hAnsi="Times New Roman"/>
          <w:b/>
          <w:sz w:val="25"/>
        </w:rPr>
        <w:t>Table A.3: Complete Feature Engineering Dictionary &amp; Canonical Mapping</w:t>
      </w:r>
    </w:p>
    <w:p>
      <w:pPr/>
      <w:r>
        <w:rPr>
          <w:rFonts w:ascii="Times New Roman" w:hAnsi="Times New Roman"/>
          <w:i/>
          <w:sz w:val="22"/>
        </w:rPr>
        <w:t>Source</w:t>
      </w:r>
      <w:r>
        <w:rPr>
          <w:rFonts w:ascii="Times New Roman" w:hAnsi="Times New Roman"/>
          <w:sz w:val="22"/>
        </w:rPr>
        <w:t xml:space="preserve">: </w:t>
      </w:r>
      <w:r>
        <w:rPr>
          <w:rFonts w:ascii="Consolas" w:hAnsi="Consolas"/>
          <w:color w:val="8A1E38"/>
          <w:sz w:val="21"/>
        </w:rPr>
        <w:t>src/models/refinement_core.py</w:t>
      </w:r>
      <w:r>
        <w:rPr>
          <w:rFonts w:ascii="Times New Roman" w:hAnsi="Times New Roman"/>
          <w:sz w:val="22"/>
        </w:rPr>
        <w:t xml:space="preserve"> (Core 9) and </w:t>
      </w:r>
      <w:r>
        <w:rPr>
          <w:rFonts w:ascii="Consolas" w:hAnsi="Consolas"/>
          <w:color w:val="8A1E38"/>
          <w:sz w:val="21"/>
        </w:rPr>
        <w:t>src/models/configs/refinement_selected_v4.json</w:t>
      </w:r>
      <w:r>
        <w:rPr>
          <w:rFonts w:ascii="Times New Roman" w:hAnsi="Times New Roman"/>
          <w:sz w:val="22"/>
        </w:rPr>
        <w:t xml:space="preserve"> (Refined 11/12).</w:t>
      </w:r>
    </w:p>
    <w:tbl>
      <w:tblPr>
        <w:tblW w:type="auto" w:w="0"/>
        <w:jc w:val="center"/>
        <w:tblLayout w:type="fixed"/>
        <w:tblLook w:firstColumn="1" w:firstRow="1" w:lastColumn="0" w:lastRow="0" w:noHBand="0" w:noVBand="1" w:val="04A0"/>
        <w:tblBorders>
          <w:top w:val="single" w:sz="8" w:space="0" w:color="1F4E79"/>
          <w:bottom w:val="single" w:sz="8" w:space="0" w:color="1F4E79"/>
          <w:left w:val="single" w:sz="4" w:space="0" w:color="D9D9D9"/>
          <w:right w:val="single" w:sz="4" w:space="0" w:color="D9D9D9"/>
          <w:insideH w:val="single" w:sz="4" w:space="0" w:color="E2E8F0"/>
          <w:insideV w:val="single" w:sz="4" w:space="0" w:color="E2E8F0"/>
        </w:tblBorders>
      </w:tblPr>
      <w:tblGrid>
        <w:gridCol w:w="2007"/>
        <w:gridCol w:w="2007"/>
        <w:gridCol w:w="2007"/>
        <w:gridCol w:w="2007"/>
        <w:gridCol w:w="2007"/>
      </w:tblGrid>
      <w:tr>
        <w:trPr>
          <w:cantSplit/>
          <w:tblHeader/>
        </w:trPr>
        <w:tc>
          <w:tcPr>
            <w:tcW w:type="dxa" w:w="1647"/>
            <w:vAlign w:val="center"/>
            <w:tcW w:w="1647"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7"/>
              </w:rPr>
              <w:t>Feature Name</w:t>
            </w:r>
          </w:p>
        </w:tc>
        <w:tc>
          <w:tcPr>
            <w:tcW w:type="dxa" w:w="807"/>
            <w:vAlign w:val="center"/>
            <w:tcW w:w="806"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7"/>
              </w:rPr>
              <w:t>Data Type</w:t>
            </w:r>
          </w:p>
        </w:tc>
        <w:tc>
          <w:tcPr>
            <w:tcW w:type="dxa" w:w="1484"/>
            <w:vAlign w:val="center"/>
            <w:tcW w:w="1484"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7"/>
              </w:rPr>
              <w:t>Task Allocation</w:t>
            </w:r>
          </w:p>
        </w:tc>
        <w:tc>
          <w:tcPr>
            <w:tcW w:type="dxa" w:w="2522"/>
            <w:vAlign w:val="center"/>
            <w:tcW w:w="2522"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7"/>
              </w:rPr>
              <w:t>Pipeline Preprocessing</w:t>
            </w:r>
          </w:p>
        </w:tc>
        <w:tc>
          <w:tcPr>
            <w:tcW w:type="dxa" w:w="3577"/>
            <w:vAlign w:val="center"/>
            <w:tcW w:w="3576"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7"/>
              </w:rPr>
              <w:t>Operational Description &amp; Mathematical Formula</w:t>
            </w:r>
          </w:p>
        </w:tc>
      </w:tr>
      <w:tr>
        <w:trPr>
          <w:cantSplit/>
        </w:trPr>
        <w:tc>
          <w:tcPr>
            <w:tcW w:type="dxa" w:w="1647"/>
            <w:vAlign w:val="center"/>
            <w:tcW w:w="1647" w:type="dxa"/>
            <w:tcMar>
              <w:top w:w="60" w:type="dxa"/>
              <w:bottom w:w="60" w:type="dxa"/>
              <w:left w:w="80" w:type="dxa"/>
              <w:right w:w="80" w:type="dxa"/>
            </w:tcMar>
            <w:shd w:val="clear" w:color="auto" w:fill="F8FAFC"/>
          </w:tcPr>
          <w:p>
            <w:pPr>
              <w:spacing w:before="0" w:after="0" w:line="252" w:lineRule="auto"/>
              <w:jc w:val="left"/>
            </w:pPr>
            <w:r>
              <w:rPr>
                <w:rFonts w:ascii="Consolas" w:hAnsi="Consolas"/>
                <w:color w:val="8A1E38"/>
                <w:sz w:val="16"/>
              </w:rPr>
              <w:t>n_items</w:t>
            </w:r>
          </w:p>
        </w:tc>
        <w:tc>
          <w:tcPr>
            <w:tcW w:type="dxa" w:w="807"/>
            <w:vAlign w:val="center"/>
            <w:tcW w:w="806"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int64</w:t>
            </w:r>
          </w:p>
        </w:tc>
        <w:tc>
          <w:tcPr>
            <w:tcW w:type="dxa" w:w="1484"/>
            <w:vAlign w:val="center"/>
            <w:tcW w:w="1484"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Shared (Core)</w:t>
            </w:r>
          </w:p>
        </w:tc>
        <w:tc>
          <w:tcPr>
            <w:tcW w:type="dxa" w:w="2522"/>
            <w:vAlign w:val="center"/>
            <w:tcW w:w="2522"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SimpleImputer(median) + StandardScaler</w:t>
            </w:r>
          </w:p>
        </w:tc>
        <w:tc>
          <w:tcPr>
            <w:tcW w:type="dxa" w:w="3577"/>
            <w:vAlign w:val="center"/>
            <w:tcW w:w="3576"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Total number of line items purchased in the order cart.</w:t>
            </w:r>
          </w:p>
        </w:tc>
      </w:tr>
      <w:tr>
        <w:trPr>
          <w:cantSplit/>
        </w:trPr>
        <w:tc>
          <w:tcPr>
            <w:tcW w:type="dxa" w:w="1647"/>
            <w:vAlign w:val="center"/>
            <w:tcW w:w="1647" w:type="dxa"/>
            <w:tcMar>
              <w:top w:w="60" w:type="dxa"/>
              <w:bottom w:w="60" w:type="dxa"/>
              <w:left w:w="80" w:type="dxa"/>
              <w:right w:w="80" w:type="dxa"/>
            </w:tcMar>
          </w:tcPr>
          <w:p>
            <w:pPr>
              <w:spacing w:before="0" w:after="0" w:line="252" w:lineRule="auto"/>
              <w:jc w:val="left"/>
            </w:pPr>
            <w:r>
              <w:rPr>
                <w:rFonts w:ascii="Consolas" w:hAnsi="Consolas"/>
                <w:color w:val="8A1E38"/>
                <w:sz w:val="16"/>
              </w:rPr>
              <w:t>n_products</w:t>
            </w:r>
          </w:p>
        </w:tc>
        <w:tc>
          <w:tcPr>
            <w:tcW w:type="dxa" w:w="807"/>
            <w:vAlign w:val="center"/>
            <w:tcW w:w="806" w:type="dxa"/>
            <w:tcMar>
              <w:top w:w="60" w:type="dxa"/>
              <w:bottom w:w="60" w:type="dxa"/>
              <w:left w:w="80" w:type="dxa"/>
              <w:right w:w="80" w:type="dxa"/>
            </w:tcMar>
          </w:tcPr>
          <w:p>
            <w:pPr>
              <w:spacing w:before="0" w:after="0" w:line="252" w:lineRule="auto"/>
              <w:jc w:val="left"/>
            </w:pPr>
            <w:r>
              <w:rPr>
                <w:rFonts w:ascii="Times New Roman" w:hAnsi="Times New Roman"/>
                <w:sz w:val="17"/>
              </w:rPr>
              <w:t>int64</w:t>
            </w:r>
          </w:p>
        </w:tc>
        <w:tc>
          <w:tcPr>
            <w:tcW w:type="dxa" w:w="1484"/>
            <w:vAlign w:val="center"/>
            <w:tcW w:w="1484" w:type="dxa"/>
            <w:tcMar>
              <w:top w:w="60" w:type="dxa"/>
              <w:bottom w:w="60" w:type="dxa"/>
              <w:left w:w="80" w:type="dxa"/>
              <w:right w:w="80" w:type="dxa"/>
            </w:tcMar>
          </w:tcPr>
          <w:p>
            <w:pPr>
              <w:spacing w:before="0" w:after="0" w:line="252" w:lineRule="auto"/>
              <w:jc w:val="left"/>
            </w:pPr>
            <w:r>
              <w:rPr>
                <w:rFonts w:ascii="Times New Roman" w:hAnsi="Times New Roman"/>
                <w:sz w:val="17"/>
              </w:rPr>
              <w:t>Shared (Core)</w:t>
            </w:r>
          </w:p>
        </w:tc>
        <w:tc>
          <w:tcPr>
            <w:tcW w:type="dxa" w:w="2522"/>
            <w:vAlign w:val="center"/>
            <w:tcW w:w="2522" w:type="dxa"/>
            <w:tcMar>
              <w:top w:w="60" w:type="dxa"/>
              <w:bottom w:w="60" w:type="dxa"/>
              <w:left w:w="80" w:type="dxa"/>
              <w:right w:w="80" w:type="dxa"/>
            </w:tcMar>
          </w:tcPr>
          <w:p>
            <w:pPr>
              <w:spacing w:before="0" w:after="0" w:line="252" w:lineRule="auto"/>
              <w:jc w:val="left"/>
            </w:pPr>
            <w:r>
              <w:rPr>
                <w:rFonts w:ascii="Times New Roman" w:hAnsi="Times New Roman"/>
                <w:sz w:val="17"/>
              </w:rPr>
              <w:t>SimpleImputer(median) + StandardScaler</w:t>
            </w:r>
          </w:p>
        </w:tc>
        <w:tc>
          <w:tcPr>
            <w:tcW w:type="dxa" w:w="3577"/>
            <w:vAlign w:val="center"/>
            <w:tcW w:w="3576" w:type="dxa"/>
            <w:tcMar>
              <w:top w:w="60" w:type="dxa"/>
              <w:bottom w:w="60" w:type="dxa"/>
              <w:left w:w="80" w:type="dxa"/>
              <w:right w:w="80" w:type="dxa"/>
            </w:tcMar>
          </w:tcPr>
          <w:p>
            <w:pPr>
              <w:spacing w:before="0" w:after="0" w:line="252" w:lineRule="auto"/>
              <w:jc w:val="left"/>
            </w:pPr>
            <w:r>
              <w:rPr>
                <w:rFonts w:ascii="Times New Roman" w:hAnsi="Times New Roman"/>
                <w:sz w:val="17"/>
              </w:rPr>
              <w:t>Number of distinct product identifiers in the order.</w:t>
            </w:r>
          </w:p>
        </w:tc>
      </w:tr>
      <w:tr>
        <w:trPr>
          <w:cantSplit/>
        </w:trPr>
        <w:tc>
          <w:tcPr>
            <w:tcW w:type="dxa" w:w="1647"/>
            <w:vAlign w:val="center"/>
            <w:tcW w:w="1647" w:type="dxa"/>
            <w:tcMar>
              <w:top w:w="60" w:type="dxa"/>
              <w:bottom w:w="60" w:type="dxa"/>
              <w:left w:w="80" w:type="dxa"/>
              <w:right w:w="80" w:type="dxa"/>
            </w:tcMar>
            <w:shd w:val="clear" w:color="auto" w:fill="F8FAFC"/>
          </w:tcPr>
          <w:p>
            <w:pPr>
              <w:spacing w:before="0" w:after="0" w:line="252" w:lineRule="auto"/>
              <w:jc w:val="left"/>
            </w:pPr>
            <w:r>
              <w:rPr>
                <w:rFonts w:ascii="Consolas" w:hAnsi="Consolas"/>
                <w:color w:val="8A1E38"/>
                <w:sz w:val="16"/>
              </w:rPr>
              <w:t>total_price</w:t>
            </w:r>
          </w:p>
        </w:tc>
        <w:tc>
          <w:tcPr>
            <w:tcW w:type="dxa" w:w="807"/>
            <w:vAlign w:val="center"/>
            <w:tcW w:w="806"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float64</w:t>
            </w:r>
          </w:p>
        </w:tc>
        <w:tc>
          <w:tcPr>
            <w:tcW w:type="dxa" w:w="1484"/>
            <w:vAlign w:val="center"/>
            <w:tcW w:w="1484"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Shared (Core)</w:t>
            </w:r>
          </w:p>
        </w:tc>
        <w:tc>
          <w:tcPr>
            <w:tcW w:type="dxa" w:w="2522"/>
            <w:vAlign w:val="center"/>
            <w:tcW w:w="2522"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Log1p + SimpleImputer(median) + StandardScaler</w:t>
            </w:r>
          </w:p>
        </w:tc>
        <w:tc>
          <w:tcPr>
            <w:tcW w:type="dxa" w:w="3577"/>
            <w:vAlign w:val="center"/>
            <w:tcW w:w="3576"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Sum of individual item purchase prices (in Brazilian Reais, BRL).</w:t>
            </w:r>
          </w:p>
        </w:tc>
      </w:tr>
      <w:tr>
        <w:trPr>
          <w:cantSplit/>
        </w:trPr>
        <w:tc>
          <w:tcPr>
            <w:tcW w:type="dxa" w:w="1647"/>
            <w:vAlign w:val="center"/>
            <w:tcW w:w="1647" w:type="dxa"/>
            <w:tcMar>
              <w:top w:w="60" w:type="dxa"/>
              <w:bottom w:w="60" w:type="dxa"/>
              <w:left w:w="80" w:type="dxa"/>
              <w:right w:w="80" w:type="dxa"/>
            </w:tcMar>
          </w:tcPr>
          <w:p>
            <w:pPr>
              <w:spacing w:before="0" w:after="0" w:line="252" w:lineRule="auto"/>
              <w:jc w:val="left"/>
            </w:pPr>
            <w:r>
              <w:rPr>
                <w:rFonts w:ascii="Consolas" w:hAnsi="Consolas"/>
                <w:color w:val="8A1E38"/>
                <w:sz w:val="16"/>
              </w:rPr>
              <w:t>total_freight</w:t>
            </w:r>
          </w:p>
        </w:tc>
        <w:tc>
          <w:tcPr>
            <w:tcW w:type="dxa" w:w="807"/>
            <w:vAlign w:val="center"/>
            <w:tcW w:w="806" w:type="dxa"/>
            <w:tcMar>
              <w:top w:w="60" w:type="dxa"/>
              <w:bottom w:w="60" w:type="dxa"/>
              <w:left w:w="80" w:type="dxa"/>
              <w:right w:w="80" w:type="dxa"/>
            </w:tcMar>
          </w:tcPr>
          <w:p>
            <w:pPr>
              <w:spacing w:before="0" w:after="0" w:line="252" w:lineRule="auto"/>
              <w:jc w:val="left"/>
            </w:pPr>
            <w:r>
              <w:rPr>
                <w:rFonts w:ascii="Times New Roman" w:hAnsi="Times New Roman"/>
                <w:sz w:val="17"/>
              </w:rPr>
              <w:t>float64</w:t>
            </w:r>
          </w:p>
        </w:tc>
        <w:tc>
          <w:tcPr>
            <w:tcW w:type="dxa" w:w="1484"/>
            <w:vAlign w:val="center"/>
            <w:tcW w:w="1484" w:type="dxa"/>
            <w:tcMar>
              <w:top w:w="60" w:type="dxa"/>
              <w:bottom w:w="60" w:type="dxa"/>
              <w:left w:w="80" w:type="dxa"/>
              <w:right w:w="80" w:type="dxa"/>
            </w:tcMar>
          </w:tcPr>
          <w:p>
            <w:pPr>
              <w:spacing w:before="0" w:after="0" w:line="252" w:lineRule="auto"/>
              <w:jc w:val="left"/>
            </w:pPr>
            <w:r>
              <w:rPr>
                <w:rFonts w:ascii="Times New Roman" w:hAnsi="Times New Roman"/>
                <w:sz w:val="17"/>
              </w:rPr>
              <w:t>Shared (Core)</w:t>
            </w:r>
          </w:p>
        </w:tc>
        <w:tc>
          <w:tcPr>
            <w:tcW w:type="dxa" w:w="2522"/>
            <w:vAlign w:val="center"/>
            <w:tcW w:w="2522" w:type="dxa"/>
            <w:tcMar>
              <w:top w:w="60" w:type="dxa"/>
              <w:bottom w:w="60" w:type="dxa"/>
              <w:left w:w="80" w:type="dxa"/>
              <w:right w:w="80" w:type="dxa"/>
            </w:tcMar>
          </w:tcPr>
          <w:p>
            <w:pPr>
              <w:spacing w:before="0" w:after="0" w:line="252" w:lineRule="auto"/>
              <w:jc w:val="left"/>
            </w:pPr>
            <w:r>
              <w:rPr>
                <w:rFonts w:ascii="Times New Roman" w:hAnsi="Times New Roman"/>
                <w:sz w:val="17"/>
              </w:rPr>
              <w:t>Log1p + SimpleImputer(median) + StandardScaler</w:t>
            </w:r>
          </w:p>
        </w:tc>
        <w:tc>
          <w:tcPr>
            <w:tcW w:type="dxa" w:w="3577"/>
            <w:vAlign w:val="center"/>
            <w:tcW w:w="3576" w:type="dxa"/>
            <w:tcMar>
              <w:top w:w="60" w:type="dxa"/>
              <w:bottom w:w="60" w:type="dxa"/>
              <w:left w:w="80" w:type="dxa"/>
              <w:right w:w="80" w:type="dxa"/>
            </w:tcMar>
          </w:tcPr>
          <w:p>
            <w:pPr>
              <w:spacing w:before="0" w:after="0" w:line="252" w:lineRule="auto"/>
              <w:jc w:val="left"/>
            </w:pPr>
            <w:r>
              <w:rPr>
                <w:rFonts w:ascii="Times New Roman" w:hAnsi="Times New Roman"/>
                <w:sz w:val="17"/>
              </w:rPr>
              <w:t>Total freight charges paid by buyer across all items in order.</w:t>
            </w:r>
          </w:p>
        </w:tc>
      </w:tr>
      <w:tr>
        <w:trPr>
          <w:cantSplit/>
        </w:trPr>
        <w:tc>
          <w:tcPr>
            <w:tcW w:type="dxa" w:w="1647"/>
            <w:vAlign w:val="center"/>
            <w:tcW w:w="1647" w:type="dxa"/>
            <w:tcMar>
              <w:top w:w="60" w:type="dxa"/>
              <w:bottom w:w="60" w:type="dxa"/>
              <w:left w:w="80" w:type="dxa"/>
              <w:right w:w="80" w:type="dxa"/>
            </w:tcMar>
            <w:shd w:val="clear" w:color="auto" w:fill="F8FAFC"/>
          </w:tcPr>
          <w:p>
            <w:pPr>
              <w:spacing w:before="0" w:after="0" w:line="252" w:lineRule="auto"/>
              <w:jc w:val="left"/>
            </w:pPr>
            <w:r>
              <w:rPr>
                <w:rFonts w:ascii="Consolas" w:hAnsi="Consolas"/>
                <w:color w:val="8A1E38"/>
                <w:sz w:val="16"/>
              </w:rPr>
              <w:t>freight_ratio</w:t>
            </w:r>
          </w:p>
        </w:tc>
        <w:tc>
          <w:tcPr>
            <w:tcW w:type="dxa" w:w="807"/>
            <w:vAlign w:val="center"/>
            <w:tcW w:w="806"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float64</w:t>
            </w:r>
          </w:p>
        </w:tc>
        <w:tc>
          <w:tcPr>
            <w:tcW w:type="dxa" w:w="1484"/>
            <w:vAlign w:val="center"/>
            <w:tcW w:w="1484"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Shared (Core)</w:t>
            </w:r>
          </w:p>
        </w:tc>
        <w:tc>
          <w:tcPr>
            <w:tcW w:type="dxa" w:w="2522"/>
            <w:vAlign w:val="center"/>
            <w:tcW w:w="2522"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SimpleImputer(median) + StandardScaler</w:t>
            </w:r>
          </w:p>
        </w:tc>
        <w:tc>
          <w:tcPr>
            <w:tcW w:type="dxa" w:w="3577"/>
            <w:vAlign w:val="center"/>
            <w:tcW w:w="3576"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 xml:space="preserve">Relative shipping burden: </w:t>
            </w:r>
            <w:r>
              <w:rPr>
                <w:rFonts w:ascii="Cambria Math" w:hAnsi="Cambria Math"/>
                <w:sz w:val="17"/>
              </w:rPr>
              <w:t>total_freight / (total_price + total_freight)</w:t>
            </w:r>
            <w:r>
              <w:rPr>
                <w:rFonts w:ascii="Times New Roman" w:hAnsi="Times New Roman"/>
                <w:sz w:val="17"/>
              </w:rPr>
              <w:t>.</w:t>
            </w:r>
          </w:p>
        </w:tc>
      </w:tr>
      <w:tr>
        <w:trPr>
          <w:cantSplit/>
        </w:trPr>
        <w:tc>
          <w:tcPr>
            <w:tcW w:type="dxa" w:w="1647"/>
            <w:vAlign w:val="center"/>
            <w:tcW w:w="1647" w:type="dxa"/>
            <w:tcMar>
              <w:top w:w="60" w:type="dxa"/>
              <w:bottom w:w="60" w:type="dxa"/>
              <w:left w:w="80" w:type="dxa"/>
              <w:right w:w="80" w:type="dxa"/>
            </w:tcMar>
          </w:tcPr>
          <w:p>
            <w:pPr>
              <w:spacing w:before="0" w:after="0" w:line="252" w:lineRule="auto"/>
              <w:jc w:val="left"/>
            </w:pPr>
            <w:r>
              <w:rPr>
                <w:rFonts w:ascii="Consolas" w:hAnsi="Consolas"/>
                <w:color w:val="8A1E38"/>
                <w:sz w:val="16"/>
              </w:rPr>
              <w:t>customer_state</w:t>
            </w:r>
          </w:p>
        </w:tc>
        <w:tc>
          <w:tcPr>
            <w:tcW w:type="dxa" w:w="807"/>
            <w:vAlign w:val="center"/>
            <w:tcW w:w="806" w:type="dxa"/>
            <w:tcMar>
              <w:top w:w="60" w:type="dxa"/>
              <w:bottom w:w="60" w:type="dxa"/>
              <w:left w:w="80" w:type="dxa"/>
              <w:right w:w="80" w:type="dxa"/>
            </w:tcMar>
          </w:tcPr>
          <w:p>
            <w:pPr>
              <w:spacing w:before="0" w:after="0" w:line="252" w:lineRule="auto"/>
              <w:jc w:val="left"/>
            </w:pPr>
            <w:r>
              <w:rPr>
                <w:rFonts w:ascii="Times New Roman" w:hAnsi="Times New Roman"/>
                <w:sz w:val="17"/>
              </w:rPr>
              <w:t>object</w:t>
            </w:r>
          </w:p>
        </w:tc>
        <w:tc>
          <w:tcPr>
            <w:tcW w:type="dxa" w:w="1484"/>
            <w:vAlign w:val="center"/>
            <w:tcW w:w="1484" w:type="dxa"/>
            <w:tcMar>
              <w:top w:w="60" w:type="dxa"/>
              <w:bottom w:w="60" w:type="dxa"/>
              <w:left w:w="80" w:type="dxa"/>
              <w:right w:w="80" w:type="dxa"/>
            </w:tcMar>
          </w:tcPr>
          <w:p>
            <w:pPr>
              <w:spacing w:before="0" w:after="0" w:line="252" w:lineRule="auto"/>
              <w:jc w:val="left"/>
            </w:pPr>
            <w:r>
              <w:rPr>
                <w:rFonts w:ascii="Times New Roman" w:hAnsi="Times New Roman"/>
                <w:sz w:val="17"/>
              </w:rPr>
              <w:t>Shared (Core)</w:t>
            </w:r>
          </w:p>
        </w:tc>
        <w:tc>
          <w:tcPr>
            <w:tcW w:type="dxa" w:w="2522"/>
            <w:vAlign w:val="center"/>
            <w:tcW w:w="2522" w:type="dxa"/>
            <w:tcMar>
              <w:top w:w="60" w:type="dxa"/>
              <w:bottom w:w="60" w:type="dxa"/>
              <w:left w:w="80" w:type="dxa"/>
              <w:right w:w="80" w:type="dxa"/>
            </w:tcMar>
          </w:tcPr>
          <w:p>
            <w:pPr>
              <w:spacing w:before="0" w:after="0" w:line="252" w:lineRule="auto"/>
              <w:jc w:val="left"/>
            </w:pPr>
            <w:r>
              <w:rPr>
                <w:rFonts w:ascii="Times New Roman" w:hAnsi="Times New Roman"/>
                <w:sz w:val="17"/>
              </w:rPr>
              <w:t>OneHotEncoder(drop='first', handle_unknown='ignore')</w:t>
            </w:r>
          </w:p>
        </w:tc>
        <w:tc>
          <w:tcPr>
            <w:tcW w:type="dxa" w:w="3577"/>
            <w:vAlign w:val="center"/>
            <w:tcW w:w="3576" w:type="dxa"/>
            <w:tcMar>
              <w:top w:w="60" w:type="dxa"/>
              <w:bottom w:w="60" w:type="dxa"/>
              <w:left w:w="80" w:type="dxa"/>
              <w:right w:w="80" w:type="dxa"/>
            </w:tcMar>
          </w:tcPr>
          <w:p>
            <w:pPr>
              <w:spacing w:before="0" w:after="0" w:line="252" w:lineRule="auto"/>
              <w:jc w:val="left"/>
            </w:pPr>
            <w:r>
              <w:rPr>
                <w:rFonts w:ascii="Times New Roman" w:hAnsi="Times New Roman"/>
                <w:sz w:val="17"/>
              </w:rPr>
              <w:t>Customer delivery destination state (27 Brazilian Federative Units).</w:t>
            </w:r>
          </w:p>
        </w:tc>
      </w:tr>
      <w:tr>
        <w:trPr>
          <w:cantSplit/>
        </w:trPr>
        <w:tc>
          <w:tcPr>
            <w:tcW w:type="dxa" w:w="1647"/>
            <w:vAlign w:val="center"/>
            <w:tcW w:w="1647" w:type="dxa"/>
            <w:tcMar>
              <w:top w:w="60" w:type="dxa"/>
              <w:bottom w:w="60" w:type="dxa"/>
              <w:left w:w="80" w:type="dxa"/>
              <w:right w:w="80" w:type="dxa"/>
            </w:tcMar>
            <w:shd w:val="clear" w:color="auto" w:fill="F8FAFC"/>
          </w:tcPr>
          <w:p>
            <w:pPr>
              <w:spacing w:before="0" w:after="0" w:line="252" w:lineRule="auto"/>
              <w:jc w:val="left"/>
            </w:pPr>
            <w:r>
              <w:rPr>
                <w:rFonts w:ascii="Consolas" w:hAnsi="Consolas"/>
                <w:color w:val="8A1E38"/>
                <w:sz w:val="16"/>
              </w:rPr>
              <w:t>purchase_month</w:t>
            </w:r>
          </w:p>
        </w:tc>
        <w:tc>
          <w:tcPr>
            <w:tcW w:type="dxa" w:w="807"/>
            <w:vAlign w:val="center"/>
            <w:tcW w:w="806"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int64</w:t>
            </w:r>
          </w:p>
        </w:tc>
        <w:tc>
          <w:tcPr>
            <w:tcW w:type="dxa" w:w="1484"/>
            <w:vAlign w:val="center"/>
            <w:tcW w:w="1484"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Shared (Core)</w:t>
            </w:r>
          </w:p>
        </w:tc>
        <w:tc>
          <w:tcPr>
            <w:tcW w:type="dxa" w:w="2522"/>
            <w:vAlign w:val="center"/>
            <w:tcW w:w="2522"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Categorical OHE / Passthrough</w:t>
            </w:r>
          </w:p>
        </w:tc>
        <w:tc>
          <w:tcPr>
            <w:tcW w:type="dxa" w:w="3577"/>
            <w:vAlign w:val="center"/>
            <w:tcW w:w="3576"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 xml:space="preserve">Calendar month extracted from </w:t>
            </w:r>
            <w:r>
              <w:rPr>
                <w:rFonts w:ascii="Cambria Math" w:hAnsi="Cambria Math"/>
                <w:sz w:val="17"/>
              </w:rPr>
              <w:t>τ_checkout</w:t>
            </w:r>
            <w:r>
              <w:rPr>
                <w:rFonts w:ascii="Times New Roman" w:hAnsi="Times New Roman"/>
                <w:sz w:val="17"/>
              </w:rPr>
              <w:t xml:space="preserve"> </w:t>
            </w:r>
            <w:r>
              <w:rPr>
                <w:rFonts w:ascii="Cambria Math" w:hAnsi="Cambria Math"/>
                <w:sz w:val="17"/>
              </w:rPr>
              <w:t>[1, 12]</w:t>
            </w:r>
            <w:r>
              <w:rPr>
                <w:rFonts w:ascii="Times New Roman" w:hAnsi="Times New Roman"/>
                <w:sz w:val="17"/>
              </w:rPr>
              <w:t>.</w:t>
            </w:r>
          </w:p>
        </w:tc>
      </w:tr>
      <w:tr>
        <w:trPr>
          <w:cantSplit/>
        </w:trPr>
        <w:tc>
          <w:tcPr>
            <w:tcW w:type="dxa" w:w="1647"/>
            <w:vAlign w:val="center"/>
            <w:tcW w:w="1647" w:type="dxa"/>
            <w:tcMar>
              <w:top w:w="60" w:type="dxa"/>
              <w:bottom w:w="60" w:type="dxa"/>
              <w:left w:w="80" w:type="dxa"/>
              <w:right w:w="80" w:type="dxa"/>
            </w:tcMar>
          </w:tcPr>
          <w:p>
            <w:pPr>
              <w:spacing w:before="0" w:after="0" w:line="252" w:lineRule="auto"/>
              <w:jc w:val="left"/>
            </w:pPr>
            <w:r>
              <w:rPr>
                <w:rFonts w:ascii="Consolas" w:hAnsi="Consolas"/>
                <w:color w:val="8A1E38"/>
                <w:sz w:val="16"/>
              </w:rPr>
              <w:t>purchase_dayofweek</w:t>
            </w:r>
          </w:p>
        </w:tc>
        <w:tc>
          <w:tcPr>
            <w:tcW w:type="dxa" w:w="807"/>
            <w:vAlign w:val="center"/>
            <w:tcW w:w="806" w:type="dxa"/>
            <w:tcMar>
              <w:top w:w="60" w:type="dxa"/>
              <w:bottom w:w="60" w:type="dxa"/>
              <w:left w:w="80" w:type="dxa"/>
              <w:right w:w="80" w:type="dxa"/>
            </w:tcMar>
          </w:tcPr>
          <w:p>
            <w:pPr>
              <w:spacing w:before="0" w:after="0" w:line="252" w:lineRule="auto"/>
              <w:jc w:val="left"/>
            </w:pPr>
            <w:r>
              <w:rPr>
                <w:rFonts w:ascii="Times New Roman" w:hAnsi="Times New Roman"/>
                <w:sz w:val="17"/>
              </w:rPr>
              <w:t>int64</w:t>
            </w:r>
          </w:p>
        </w:tc>
        <w:tc>
          <w:tcPr>
            <w:tcW w:type="dxa" w:w="1484"/>
            <w:vAlign w:val="center"/>
            <w:tcW w:w="1484" w:type="dxa"/>
            <w:tcMar>
              <w:top w:w="60" w:type="dxa"/>
              <w:bottom w:w="60" w:type="dxa"/>
              <w:left w:w="80" w:type="dxa"/>
              <w:right w:w="80" w:type="dxa"/>
            </w:tcMar>
          </w:tcPr>
          <w:p>
            <w:pPr>
              <w:spacing w:before="0" w:after="0" w:line="252" w:lineRule="auto"/>
              <w:jc w:val="left"/>
            </w:pPr>
            <w:r>
              <w:rPr>
                <w:rFonts w:ascii="Times New Roman" w:hAnsi="Times New Roman"/>
                <w:sz w:val="17"/>
              </w:rPr>
              <w:t>Shared (Core)</w:t>
            </w:r>
          </w:p>
        </w:tc>
        <w:tc>
          <w:tcPr>
            <w:tcW w:type="dxa" w:w="2522"/>
            <w:vAlign w:val="center"/>
            <w:tcW w:w="2522" w:type="dxa"/>
            <w:tcMar>
              <w:top w:w="60" w:type="dxa"/>
              <w:bottom w:w="60" w:type="dxa"/>
              <w:left w:w="80" w:type="dxa"/>
              <w:right w:w="80" w:type="dxa"/>
            </w:tcMar>
          </w:tcPr>
          <w:p>
            <w:pPr>
              <w:spacing w:before="0" w:after="0" w:line="252" w:lineRule="auto"/>
              <w:jc w:val="left"/>
            </w:pPr>
            <w:r>
              <w:rPr>
                <w:rFonts w:ascii="Times New Roman" w:hAnsi="Times New Roman"/>
                <w:sz w:val="17"/>
              </w:rPr>
              <w:t>Categorical OHE / Passthrough</w:t>
            </w:r>
          </w:p>
        </w:tc>
        <w:tc>
          <w:tcPr>
            <w:tcW w:type="dxa" w:w="3577"/>
            <w:vAlign w:val="center"/>
            <w:tcW w:w="3576" w:type="dxa"/>
            <w:tcMar>
              <w:top w:w="60" w:type="dxa"/>
              <w:bottom w:w="60" w:type="dxa"/>
              <w:left w:w="80" w:type="dxa"/>
              <w:right w:w="80" w:type="dxa"/>
            </w:tcMar>
          </w:tcPr>
          <w:p>
            <w:pPr>
              <w:spacing w:before="0" w:after="0" w:line="252" w:lineRule="auto"/>
              <w:jc w:val="left"/>
            </w:pPr>
            <w:r>
              <w:rPr>
                <w:rFonts w:ascii="Times New Roman" w:hAnsi="Times New Roman"/>
                <w:sz w:val="17"/>
              </w:rPr>
              <w:t xml:space="preserve">Day of week extracted from </w:t>
            </w:r>
            <w:r>
              <w:rPr>
                <w:rFonts w:ascii="Cambria Math" w:hAnsi="Cambria Math"/>
                <w:sz w:val="17"/>
              </w:rPr>
              <w:t>τ_checkout</w:t>
            </w:r>
            <w:r>
              <w:rPr>
                <w:rFonts w:ascii="Times New Roman" w:hAnsi="Times New Roman"/>
                <w:sz w:val="17"/>
              </w:rPr>
              <w:t xml:space="preserve"> </w:t>
            </w:r>
            <w:r>
              <w:rPr>
                <w:rFonts w:ascii="Cambria Math" w:hAnsi="Cambria Math"/>
                <w:sz w:val="17"/>
              </w:rPr>
              <w:t>[0, 6]</w:t>
            </w:r>
            <w:r>
              <w:rPr>
                <w:rFonts w:ascii="Times New Roman" w:hAnsi="Times New Roman"/>
                <w:sz w:val="17"/>
              </w:rPr>
              <w:t xml:space="preserve"> (</w:t>
            </w:r>
            <w:r>
              <w:rPr>
                <w:rFonts w:ascii="Cambria Math" w:hAnsi="Cambria Math"/>
                <w:sz w:val="17"/>
              </w:rPr>
              <w:t>0 = Monday</w:t>
            </w:r>
            <w:r>
              <w:rPr>
                <w:rFonts w:ascii="Times New Roman" w:hAnsi="Times New Roman"/>
                <w:sz w:val="17"/>
              </w:rPr>
              <w:t>).</w:t>
            </w:r>
          </w:p>
        </w:tc>
      </w:tr>
      <w:tr>
        <w:trPr>
          <w:cantSplit/>
        </w:trPr>
        <w:tc>
          <w:tcPr>
            <w:tcW w:type="dxa" w:w="1647"/>
            <w:vAlign w:val="center"/>
            <w:tcW w:w="1647" w:type="dxa"/>
            <w:tcMar>
              <w:top w:w="60" w:type="dxa"/>
              <w:bottom w:w="60" w:type="dxa"/>
              <w:left w:w="80" w:type="dxa"/>
              <w:right w:w="80" w:type="dxa"/>
            </w:tcMar>
            <w:shd w:val="clear" w:color="auto" w:fill="F8FAFC"/>
          </w:tcPr>
          <w:p>
            <w:pPr>
              <w:spacing w:before="0" w:after="0" w:line="252" w:lineRule="auto"/>
              <w:jc w:val="left"/>
            </w:pPr>
            <w:r>
              <w:rPr>
                <w:rFonts w:ascii="Consolas" w:hAnsi="Consolas"/>
                <w:color w:val="8A1E38"/>
                <w:sz w:val="16"/>
              </w:rPr>
              <w:t>purchase_hour</w:t>
            </w:r>
          </w:p>
        </w:tc>
        <w:tc>
          <w:tcPr>
            <w:tcW w:type="dxa" w:w="807"/>
            <w:vAlign w:val="center"/>
            <w:tcW w:w="806"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int64</w:t>
            </w:r>
          </w:p>
        </w:tc>
        <w:tc>
          <w:tcPr>
            <w:tcW w:type="dxa" w:w="1484"/>
            <w:vAlign w:val="center"/>
            <w:tcW w:w="1484"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Shared (Core)</w:t>
            </w:r>
          </w:p>
        </w:tc>
        <w:tc>
          <w:tcPr>
            <w:tcW w:type="dxa" w:w="2522"/>
            <w:vAlign w:val="center"/>
            <w:tcW w:w="2522"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SimpleImputer(median) + StandardScaler</w:t>
            </w:r>
          </w:p>
        </w:tc>
        <w:tc>
          <w:tcPr>
            <w:tcW w:type="dxa" w:w="3577"/>
            <w:vAlign w:val="center"/>
            <w:tcW w:w="3576"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 xml:space="preserve">Hour of day extracted from </w:t>
            </w:r>
            <w:r>
              <w:rPr>
                <w:rFonts w:ascii="Cambria Math" w:hAnsi="Cambria Math"/>
                <w:sz w:val="17"/>
              </w:rPr>
              <w:t>τ_checkout</w:t>
            </w:r>
            <w:r>
              <w:rPr>
                <w:rFonts w:ascii="Times New Roman" w:hAnsi="Times New Roman"/>
                <w:sz w:val="17"/>
              </w:rPr>
              <w:t xml:space="preserve"> </w:t>
            </w:r>
            <w:r>
              <w:rPr>
                <w:rFonts w:ascii="Cambria Math" w:hAnsi="Cambria Math"/>
                <w:sz w:val="17"/>
              </w:rPr>
              <w:t>[0, 23]</w:t>
            </w:r>
            <w:r>
              <w:rPr>
                <w:rFonts w:ascii="Times New Roman" w:hAnsi="Times New Roman"/>
                <w:sz w:val="17"/>
              </w:rPr>
              <w:t>.</w:t>
            </w:r>
          </w:p>
        </w:tc>
      </w:tr>
      <w:tr>
        <w:trPr>
          <w:cantSplit/>
        </w:trPr>
        <w:tc>
          <w:tcPr>
            <w:tcW w:type="dxa" w:w="1647"/>
            <w:vAlign w:val="center"/>
            <w:tcW w:w="1647" w:type="dxa"/>
            <w:tcMar>
              <w:top w:w="60" w:type="dxa"/>
              <w:bottom w:w="60" w:type="dxa"/>
              <w:left w:w="80" w:type="dxa"/>
              <w:right w:w="80" w:type="dxa"/>
            </w:tcMar>
          </w:tcPr>
          <w:p>
            <w:pPr>
              <w:spacing w:before="0" w:after="0" w:line="252" w:lineRule="auto"/>
              <w:jc w:val="left"/>
            </w:pPr>
            <w:r>
              <w:rPr>
                <w:rFonts w:ascii="Consolas" w:hAnsi="Consolas"/>
                <w:color w:val="8A1E38"/>
                <w:sz w:val="16"/>
              </w:rPr>
              <w:t>distance_km_max</w:t>
            </w:r>
          </w:p>
        </w:tc>
        <w:tc>
          <w:tcPr>
            <w:tcW w:type="dxa" w:w="807"/>
            <w:vAlign w:val="center"/>
            <w:tcW w:w="806" w:type="dxa"/>
            <w:tcMar>
              <w:top w:w="60" w:type="dxa"/>
              <w:bottom w:w="60" w:type="dxa"/>
              <w:left w:w="80" w:type="dxa"/>
              <w:right w:w="80" w:type="dxa"/>
            </w:tcMar>
          </w:tcPr>
          <w:p>
            <w:pPr>
              <w:spacing w:before="0" w:after="0" w:line="252" w:lineRule="auto"/>
              <w:jc w:val="left"/>
            </w:pPr>
            <w:r>
              <w:rPr>
                <w:rFonts w:ascii="Times New Roman" w:hAnsi="Times New Roman"/>
                <w:sz w:val="17"/>
              </w:rPr>
              <w:t>float64</w:t>
            </w:r>
          </w:p>
        </w:tc>
        <w:tc>
          <w:tcPr>
            <w:tcW w:type="dxa" w:w="1484"/>
            <w:vAlign w:val="center"/>
            <w:tcW w:w="1484" w:type="dxa"/>
            <w:tcMar>
              <w:top w:w="60" w:type="dxa"/>
              <w:bottom w:w="60" w:type="dxa"/>
              <w:left w:w="80" w:type="dxa"/>
              <w:right w:w="80" w:type="dxa"/>
            </w:tcMar>
          </w:tcPr>
          <w:p>
            <w:pPr>
              <w:spacing w:before="0" w:after="0" w:line="252" w:lineRule="auto"/>
              <w:jc w:val="left"/>
            </w:pPr>
            <w:r>
              <w:rPr>
                <w:rFonts w:ascii="Times New Roman" w:hAnsi="Times New Roman"/>
                <w:b/>
                <w:sz w:val="17"/>
              </w:rPr>
              <w:t>Regression Only</w:t>
            </w:r>
          </w:p>
        </w:tc>
        <w:tc>
          <w:tcPr>
            <w:tcW w:type="dxa" w:w="2522"/>
            <w:vAlign w:val="center"/>
            <w:tcW w:w="2522" w:type="dxa"/>
            <w:tcMar>
              <w:top w:w="60" w:type="dxa"/>
              <w:bottom w:w="60" w:type="dxa"/>
              <w:left w:w="80" w:type="dxa"/>
              <w:right w:w="80" w:type="dxa"/>
            </w:tcMar>
          </w:tcPr>
          <w:p>
            <w:pPr>
              <w:spacing w:before="0" w:after="0" w:line="252" w:lineRule="auto"/>
              <w:jc w:val="left"/>
            </w:pPr>
            <w:r>
              <w:rPr>
                <w:rFonts w:ascii="Times New Roman" w:hAnsi="Times New Roman"/>
                <w:sz w:val="17"/>
              </w:rPr>
              <w:t>SimpleImputer(median) + StandardScaler</w:t>
            </w:r>
          </w:p>
        </w:tc>
        <w:tc>
          <w:tcPr>
            <w:tcW w:type="dxa" w:w="3577"/>
            <w:vAlign w:val="center"/>
            <w:tcW w:w="3576" w:type="dxa"/>
            <w:tcMar>
              <w:top w:w="60" w:type="dxa"/>
              <w:bottom w:w="60" w:type="dxa"/>
              <w:left w:w="80" w:type="dxa"/>
              <w:right w:w="80" w:type="dxa"/>
            </w:tcMar>
          </w:tcPr>
          <w:p>
            <w:pPr>
              <w:spacing w:before="0" w:after="0" w:line="252" w:lineRule="auto"/>
              <w:jc w:val="left"/>
            </w:pPr>
            <w:r>
              <w:rPr>
                <w:rFonts w:ascii="Times New Roman" w:hAnsi="Times New Roman"/>
                <w:sz w:val="17"/>
              </w:rPr>
              <w:t>Geodesic Haversine distance between customer centroid and farthest seller centroid in km.</w:t>
            </w:r>
          </w:p>
        </w:tc>
      </w:tr>
      <w:tr>
        <w:trPr>
          <w:cantSplit/>
        </w:trPr>
        <w:tc>
          <w:tcPr>
            <w:tcW w:type="dxa" w:w="1647"/>
            <w:vAlign w:val="center"/>
            <w:tcW w:w="1647" w:type="dxa"/>
            <w:tcMar>
              <w:top w:w="60" w:type="dxa"/>
              <w:bottom w:w="60" w:type="dxa"/>
              <w:left w:w="80" w:type="dxa"/>
              <w:right w:w="80" w:type="dxa"/>
            </w:tcMar>
            <w:shd w:val="clear" w:color="auto" w:fill="F8FAFC"/>
          </w:tcPr>
          <w:p>
            <w:pPr>
              <w:spacing w:before="0" w:after="0" w:line="252" w:lineRule="auto"/>
              <w:jc w:val="left"/>
            </w:pPr>
            <w:r>
              <w:rPr>
                <w:rFonts w:ascii="Consolas" w:hAnsi="Consolas"/>
                <w:color w:val="8A1E38"/>
                <w:sz w:val="16"/>
              </w:rPr>
              <w:t>distance_missing_fraction</w:t>
            </w:r>
          </w:p>
        </w:tc>
        <w:tc>
          <w:tcPr>
            <w:tcW w:type="dxa" w:w="807"/>
            <w:vAlign w:val="center"/>
            <w:tcW w:w="806"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float64</w:t>
            </w:r>
          </w:p>
        </w:tc>
        <w:tc>
          <w:tcPr>
            <w:tcW w:type="dxa" w:w="1484"/>
            <w:vAlign w:val="center"/>
            <w:tcW w:w="1484"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7"/>
              </w:rPr>
              <w:t>Regression Only</w:t>
            </w:r>
          </w:p>
        </w:tc>
        <w:tc>
          <w:tcPr>
            <w:tcW w:type="dxa" w:w="2522"/>
            <w:vAlign w:val="center"/>
            <w:tcW w:w="2522"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Passthrough</w:t>
            </w:r>
          </w:p>
        </w:tc>
        <w:tc>
          <w:tcPr>
            <w:tcW w:type="dxa" w:w="3577"/>
            <w:vAlign w:val="center"/>
            <w:tcW w:w="3576"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Fraction of line items missing coordinate geolocation (median imputed).</w:t>
            </w:r>
          </w:p>
        </w:tc>
      </w:tr>
      <w:tr>
        <w:trPr>
          <w:cantSplit/>
        </w:trPr>
        <w:tc>
          <w:tcPr>
            <w:tcW w:type="dxa" w:w="1647"/>
            <w:vAlign w:val="center"/>
            <w:tcW w:w="1647" w:type="dxa"/>
            <w:tcMar>
              <w:top w:w="60" w:type="dxa"/>
              <w:bottom w:w="60" w:type="dxa"/>
              <w:left w:w="80" w:type="dxa"/>
              <w:right w:w="80" w:type="dxa"/>
            </w:tcMar>
          </w:tcPr>
          <w:p>
            <w:pPr>
              <w:spacing w:before="0" w:after="0" w:line="252" w:lineRule="auto"/>
              <w:jc w:val="left"/>
            </w:pPr>
            <w:r>
              <w:rPr>
                <w:rFonts w:ascii="Consolas" w:hAnsi="Consolas"/>
                <w:color w:val="8A1E38"/>
                <w:sz w:val="16"/>
              </w:rPr>
              <w:t>n_sellers</w:t>
            </w:r>
          </w:p>
        </w:tc>
        <w:tc>
          <w:tcPr>
            <w:tcW w:type="dxa" w:w="807"/>
            <w:vAlign w:val="center"/>
            <w:tcW w:w="806" w:type="dxa"/>
            <w:tcMar>
              <w:top w:w="60" w:type="dxa"/>
              <w:bottom w:w="60" w:type="dxa"/>
              <w:left w:w="80" w:type="dxa"/>
              <w:right w:w="80" w:type="dxa"/>
            </w:tcMar>
          </w:tcPr>
          <w:p>
            <w:pPr>
              <w:spacing w:before="0" w:after="0" w:line="252" w:lineRule="auto"/>
              <w:jc w:val="left"/>
            </w:pPr>
            <w:r>
              <w:rPr>
                <w:rFonts w:ascii="Times New Roman" w:hAnsi="Times New Roman"/>
                <w:sz w:val="17"/>
              </w:rPr>
              <w:t>int64</w:t>
            </w:r>
          </w:p>
        </w:tc>
        <w:tc>
          <w:tcPr>
            <w:tcW w:type="dxa" w:w="1484"/>
            <w:vAlign w:val="center"/>
            <w:tcW w:w="1484" w:type="dxa"/>
            <w:tcMar>
              <w:top w:w="60" w:type="dxa"/>
              <w:bottom w:w="60" w:type="dxa"/>
              <w:left w:w="80" w:type="dxa"/>
              <w:right w:w="80" w:type="dxa"/>
            </w:tcMar>
          </w:tcPr>
          <w:p>
            <w:pPr>
              <w:spacing w:before="0" w:after="0" w:line="252" w:lineRule="auto"/>
              <w:jc w:val="left"/>
            </w:pPr>
            <w:r>
              <w:rPr>
                <w:rFonts w:ascii="Times New Roman" w:hAnsi="Times New Roman"/>
                <w:b/>
                <w:sz w:val="17"/>
              </w:rPr>
              <w:t>Classification Only</w:t>
            </w:r>
          </w:p>
        </w:tc>
        <w:tc>
          <w:tcPr>
            <w:tcW w:type="dxa" w:w="2522"/>
            <w:vAlign w:val="center"/>
            <w:tcW w:w="2522" w:type="dxa"/>
            <w:tcMar>
              <w:top w:w="60" w:type="dxa"/>
              <w:bottom w:w="60" w:type="dxa"/>
              <w:left w:w="80" w:type="dxa"/>
              <w:right w:w="80" w:type="dxa"/>
            </w:tcMar>
          </w:tcPr>
          <w:p>
            <w:pPr>
              <w:spacing w:before="0" w:after="0" w:line="252" w:lineRule="auto"/>
              <w:jc w:val="left"/>
            </w:pPr>
            <w:r>
              <w:rPr>
                <w:rFonts w:ascii="Times New Roman" w:hAnsi="Times New Roman"/>
                <w:sz w:val="17"/>
              </w:rPr>
              <w:t>SimpleImputer(median) + StandardScaler</w:t>
            </w:r>
          </w:p>
        </w:tc>
        <w:tc>
          <w:tcPr>
            <w:tcW w:type="dxa" w:w="3577"/>
            <w:vAlign w:val="center"/>
            <w:tcW w:w="3576" w:type="dxa"/>
            <w:tcMar>
              <w:top w:w="60" w:type="dxa"/>
              <w:bottom w:w="60" w:type="dxa"/>
              <w:left w:w="80" w:type="dxa"/>
              <w:right w:w="80" w:type="dxa"/>
            </w:tcMar>
          </w:tcPr>
          <w:p>
            <w:pPr>
              <w:spacing w:before="0" w:after="0" w:line="252" w:lineRule="auto"/>
              <w:jc w:val="left"/>
            </w:pPr>
            <w:r>
              <w:rPr>
                <w:rFonts w:ascii="Times New Roman" w:hAnsi="Times New Roman"/>
                <w:sz w:val="17"/>
              </w:rPr>
              <w:t>Number of distinct merchant sellers fulfilling the cart (split-shipment friction).</w:t>
            </w:r>
          </w:p>
        </w:tc>
      </w:tr>
      <w:tr>
        <w:trPr>
          <w:cantSplit/>
        </w:trPr>
        <w:tc>
          <w:tcPr>
            <w:tcW w:type="dxa" w:w="1647"/>
            <w:vAlign w:val="center"/>
            <w:tcW w:w="1647" w:type="dxa"/>
            <w:tcMar>
              <w:top w:w="60" w:type="dxa"/>
              <w:bottom w:w="60" w:type="dxa"/>
              <w:left w:w="80" w:type="dxa"/>
              <w:right w:w="80" w:type="dxa"/>
            </w:tcMar>
            <w:shd w:val="clear" w:color="auto" w:fill="F8FAFC"/>
          </w:tcPr>
          <w:p>
            <w:pPr>
              <w:spacing w:before="0" w:after="0" w:line="252" w:lineRule="auto"/>
              <w:jc w:val="left"/>
            </w:pPr>
            <w:r>
              <w:rPr>
                <w:rFonts w:ascii="Consolas" w:hAnsi="Consolas"/>
                <w:color w:val="8A1E38"/>
                <w:sz w:val="16"/>
              </w:rPr>
              <w:t>primary_seller_state</w:t>
            </w:r>
          </w:p>
        </w:tc>
        <w:tc>
          <w:tcPr>
            <w:tcW w:type="dxa" w:w="807"/>
            <w:vAlign w:val="center"/>
            <w:tcW w:w="806"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object</w:t>
            </w:r>
          </w:p>
        </w:tc>
        <w:tc>
          <w:tcPr>
            <w:tcW w:type="dxa" w:w="1484"/>
            <w:vAlign w:val="center"/>
            <w:tcW w:w="1484"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7"/>
              </w:rPr>
              <w:t>Classification Only</w:t>
            </w:r>
          </w:p>
        </w:tc>
        <w:tc>
          <w:tcPr>
            <w:tcW w:type="dxa" w:w="2522"/>
            <w:vAlign w:val="center"/>
            <w:tcW w:w="2522"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OneHotEncoder(drop='first', handle_unknown='ignore')</w:t>
            </w:r>
          </w:p>
        </w:tc>
        <w:tc>
          <w:tcPr>
            <w:tcW w:type="dxa" w:w="3577"/>
            <w:vAlign w:val="center"/>
            <w:tcW w:w="3576"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Modal seller origin warehouse state code (origin logistics hub).</w:t>
            </w:r>
          </w:p>
        </w:tc>
      </w:tr>
      <w:tr>
        <w:trPr>
          <w:cantSplit/>
        </w:trPr>
        <w:tc>
          <w:tcPr>
            <w:tcW w:type="dxa" w:w="1647"/>
            <w:vAlign w:val="center"/>
            <w:tcW w:w="1647" w:type="dxa"/>
            <w:tcMar>
              <w:top w:w="60" w:type="dxa"/>
              <w:bottom w:w="60" w:type="dxa"/>
              <w:left w:w="80" w:type="dxa"/>
              <w:right w:w="80" w:type="dxa"/>
            </w:tcMar>
          </w:tcPr>
          <w:p>
            <w:pPr>
              <w:spacing w:before="0" w:after="0" w:line="252" w:lineRule="auto"/>
              <w:jc w:val="left"/>
            </w:pPr>
            <w:r>
              <w:rPr>
                <w:rFonts w:ascii="Consolas" w:hAnsi="Consolas"/>
                <w:color w:val="8A1E38"/>
                <w:sz w:val="16"/>
              </w:rPr>
              <w:t>interstate_share</w:t>
            </w:r>
          </w:p>
        </w:tc>
        <w:tc>
          <w:tcPr>
            <w:tcW w:type="dxa" w:w="807"/>
            <w:vAlign w:val="center"/>
            <w:tcW w:w="806" w:type="dxa"/>
            <w:tcMar>
              <w:top w:w="60" w:type="dxa"/>
              <w:bottom w:w="60" w:type="dxa"/>
              <w:left w:w="80" w:type="dxa"/>
              <w:right w:w="80" w:type="dxa"/>
            </w:tcMar>
          </w:tcPr>
          <w:p>
            <w:pPr>
              <w:spacing w:before="0" w:after="0" w:line="252" w:lineRule="auto"/>
              <w:jc w:val="left"/>
            </w:pPr>
            <w:r>
              <w:rPr>
                <w:rFonts w:ascii="Times New Roman" w:hAnsi="Times New Roman"/>
                <w:sz w:val="17"/>
              </w:rPr>
              <w:t>float64</w:t>
            </w:r>
          </w:p>
        </w:tc>
        <w:tc>
          <w:tcPr>
            <w:tcW w:type="dxa" w:w="1484"/>
            <w:vAlign w:val="center"/>
            <w:tcW w:w="1484" w:type="dxa"/>
            <w:tcMar>
              <w:top w:w="60" w:type="dxa"/>
              <w:bottom w:w="60" w:type="dxa"/>
              <w:left w:w="80" w:type="dxa"/>
              <w:right w:w="80" w:type="dxa"/>
            </w:tcMar>
          </w:tcPr>
          <w:p>
            <w:pPr>
              <w:spacing w:before="0" w:after="0" w:line="252" w:lineRule="auto"/>
              <w:jc w:val="left"/>
            </w:pPr>
            <w:r>
              <w:rPr>
                <w:rFonts w:ascii="Times New Roman" w:hAnsi="Times New Roman"/>
                <w:b/>
                <w:sz w:val="17"/>
              </w:rPr>
              <w:t>Classification Only</w:t>
            </w:r>
          </w:p>
        </w:tc>
        <w:tc>
          <w:tcPr>
            <w:tcW w:type="dxa" w:w="2522"/>
            <w:vAlign w:val="center"/>
            <w:tcW w:w="2522" w:type="dxa"/>
            <w:tcMar>
              <w:top w:w="60" w:type="dxa"/>
              <w:bottom w:w="60" w:type="dxa"/>
              <w:left w:w="80" w:type="dxa"/>
              <w:right w:w="80" w:type="dxa"/>
            </w:tcMar>
          </w:tcPr>
          <w:p>
            <w:pPr>
              <w:spacing w:before="0" w:after="0" w:line="252" w:lineRule="auto"/>
              <w:jc w:val="left"/>
            </w:pPr>
            <w:r>
              <w:rPr>
                <w:rFonts w:ascii="Times New Roman" w:hAnsi="Times New Roman"/>
                <w:sz w:val="17"/>
              </w:rPr>
              <w:t>SimpleImputer(median) + StandardScaler</w:t>
            </w:r>
          </w:p>
        </w:tc>
        <w:tc>
          <w:tcPr>
            <w:tcW w:type="dxa" w:w="3577"/>
            <w:vAlign w:val="center"/>
            <w:tcW w:w="3576" w:type="dxa"/>
            <w:tcMar>
              <w:top w:w="60" w:type="dxa"/>
              <w:bottom w:w="60" w:type="dxa"/>
              <w:left w:w="80" w:type="dxa"/>
              <w:right w:w="80" w:type="dxa"/>
            </w:tcMar>
          </w:tcPr>
          <w:p>
            <w:pPr>
              <w:spacing w:before="0" w:after="0" w:line="252" w:lineRule="auto"/>
              <w:jc w:val="left"/>
            </w:pPr>
            <w:r>
              <w:rPr>
                <w:rFonts w:ascii="Times New Roman" w:hAnsi="Times New Roman"/>
                <w:sz w:val="17"/>
              </w:rPr>
              <w:t>Fraction of order items crossing state lines subject to interstate tax checkpoints.</w:t>
            </w:r>
          </w:p>
        </w:tc>
      </w:tr>
    </w:tbl>
    <w:p>
      <w:pPr>
        <w:spacing w:before="40" w:after="40" w:line="40" w:lineRule="exact"/>
      </w:pPr>
    </w:p>
    <w:p>
      <w:pPr>
        <w:pStyle w:val="Heading1"/>
        <w:pageBreakBefore/>
      </w:pPr>
      <w:r>
        <w:rPr>
          <w:rFonts w:ascii="Times New Roman" w:hAnsi="Times New Roman"/>
          <w:b/>
          <w:sz w:val="28"/>
        </w:rPr>
        <w:t>Appendix B: Data Governance, Splitting &amp; Multicollinearity Diagnostics</w:t>
      </w:r>
    </w:p>
    <w:p>
      <w:pPr>
        <w:pStyle w:val="Heading2"/>
      </w:pPr>
      <w:r>
        <w:rPr>
          <w:rFonts w:ascii="Times New Roman" w:hAnsi="Times New Roman"/>
          <w:b/>
          <w:sz w:val="25"/>
        </w:rPr>
        <w:t>Diagram B.1: Chronological Expanding Window Validation Architecture</w:t>
      </w:r>
    </w:p>
    <w:p>
      <w:pPr>
        <w:spacing w:before="80" w:after="120" w:line="252" w:lineRule="auto"/>
        <w:ind w:left="360" w:right="360"/>
      </w:pPr>
      <w:r>
        <w:rPr>
          <w:rFonts w:ascii="Consolas" w:hAnsi="Consolas"/>
          <w:color w:val="1F2937"/>
          <w:sz w:val="17"/>
        </w:rPr>
        <w:t>flowchart TD</w:t>
        <w:br/>
        <w:t xml:space="preserve">    subgraph S1["Chronological Expanding Window Cross-Validation"]</w:t>
        <w:br/>
        <w:t xml:space="preserve">        F1["Fold 1: Train [2016-10 to 2017-05] --&gt; Validate [2017-06 to 2017-08]"]</w:t>
        <w:br/>
        <w:t xml:space="preserve">        F2["Fold 2: Train [2016-10 to 2017-08] --&gt; Validate [2017-09 to 2017-11]"]</w:t>
        <w:br/>
        <w:t xml:space="preserve">        F3["Fold 3: Train [2016-10 to 2017-11] --&gt; Validate [2017-12 to 2018-01]"]</w:t>
        <w:br/>
        <w:t xml:space="preserve">        F4["Fold 4: Train [2016-10 to 2018-01] --&gt; Validate [2018-02 to 2018-03]"]</w:t>
        <w:br/>
        <w:t xml:space="preserve">        F5["Fold 5: Train [2016-10 to 2018-03] --&gt; Validate [2018-04 to 2018-05]"]</w:t>
        <w:br/>
        <w:t xml:space="preserve">    end</w:t>
        <w:br/>
        <w:t xml:space="preserve">    subgraph S2["Strict Temporal &amp; Entity Safeguards"]</w:t>
        <w:br/>
        <w:t xml:space="preserve">        P1["Customer Purging: Prior transactions of validation users purged from train"]</w:t>
        <w:br/>
        <w:t xml:space="preserve">        P2["Maturity Gating: Unmatured deliveries at window boundary excluded"]</w:t>
        <w:br/>
        <w:t xml:space="preserve">    end</w:t>
        <w:br/>
        <w:t xml:space="preserve">    subgraph S3["Terminal Unseen Holdout Cohort"]</w:t>
        <w:br/>
        <w:t xml:space="preserve">        TH["Quarantined Holdout [2018-05-25 to 2018-08-29] (N = 15,615 / 15,769)"]</w:t>
        <w:br/>
        <w:t xml:space="preserve">    end</w:t>
        <w:br/>
        <w:t xml:space="preserve">    S1 --&gt; S2 --&gt; S3</w:t>
      </w:r>
    </w:p>
    <w:p>
      <w:pPr>
        <w:pStyle w:val="Heading2"/>
      </w:pPr>
      <w:r>
        <w:rPr>
          <w:rFonts w:ascii="Times New Roman" w:hAnsi="Times New Roman"/>
          <w:b/>
          <w:sz w:val="25"/>
        </w:rPr>
        <w:t>Multicollinearity Audit: Pruning Redundant Features</w:t>
      </w:r>
    </w:p>
    <w:p>
      <w:pPr/>
      <w:r>
        <w:rPr>
          <w:rFonts w:ascii="Times New Roman" w:hAnsi="Times New Roman"/>
          <w:sz w:val="22"/>
        </w:rPr>
        <w:t>The initial uncurated 27-feature candidate pool exhibited severe multicollinearity:</w:t>
      </w:r>
    </w:p>
    <w:p>
      <w:pPr>
        <w:spacing w:before="0" w:after="50" w:line="276" w:lineRule="auto"/>
        <w:ind w:left="360" w:hanging="216"/>
      </w:pPr>
      <w:r>
        <w:rPr>
          <w:rFonts w:ascii="Arial" w:hAnsi="Arial"/>
          <w:b/>
          <w:color w:val="1F4E79"/>
          <w:sz w:val="20"/>
        </w:rPr>
        <w:t xml:space="preserve">• </w:t>
      </w:r>
      <w:r>
        <w:rPr>
          <w:rFonts w:ascii="Times New Roman" w:hAnsi="Times New Roman"/>
          <w:sz w:val="21"/>
        </w:rPr>
        <w:t xml:space="preserve">Condition Number: </w:t>
      </w:r>
      <w:r>
        <w:rPr>
          <w:rFonts w:ascii="Cambria Math" w:hAnsi="Cambria Math"/>
          <w:sz w:val="21"/>
        </w:rPr>
        <w:t>κ = 4,988.4</w:t>
      </w:r>
    </w:p>
    <w:p>
      <w:pPr>
        <w:spacing w:before="0" w:after="50" w:line="276" w:lineRule="auto"/>
        <w:ind w:left="360" w:hanging="216"/>
      </w:pPr>
      <w:r>
        <w:rPr>
          <w:rFonts w:ascii="Arial" w:hAnsi="Arial"/>
          <w:b/>
          <w:color w:val="1F4E79"/>
          <w:sz w:val="20"/>
        </w:rPr>
        <w:t xml:space="preserve">• </w:t>
      </w:r>
      <w:r>
        <w:rPr>
          <w:rFonts w:ascii="Times New Roman" w:hAnsi="Times New Roman"/>
          <w:sz w:val="21"/>
        </w:rPr>
        <w:t xml:space="preserve">Rank Deficiencies: Multiple singular values </w:t>
      </w:r>
      <w:r>
        <w:rPr>
          <w:rFonts w:ascii="Cambria Math" w:hAnsi="Cambria Math"/>
          <w:sz w:val="21"/>
        </w:rPr>
        <w:t>&lt; 10^{-5}</w:t>
      </w:r>
      <w:r>
        <w:rPr>
          <w:rFonts w:ascii="Times New Roman" w:hAnsi="Times New Roman"/>
          <w:sz w:val="21"/>
        </w:rPr>
        <w:t xml:space="preserve"> due to duplicate coordinate columns (</w:t>
      </w:r>
      <w:r>
        <w:rPr>
          <w:rFonts w:ascii="Consolas" w:hAnsi="Consolas"/>
          <w:color w:val="8A1E38"/>
          <w:sz w:val="20"/>
        </w:rPr>
        <w:t>seller_zip_code_prefix</w:t>
      </w:r>
      <w:r>
        <w:rPr>
          <w:rFonts w:ascii="Times New Roman" w:hAnsi="Times New Roman"/>
          <w:sz w:val="21"/>
        </w:rPr>
        <w:t xml:space="preserve">, </w:t>
      </w:r>
      <w:r>
        <w:rPr>
          <w:rFonts w:ascii="Consolas" w:hAnsi="Consolas"/>
          <w:color w:val="8A1E38"/>
          <w:sz w:val="20"/>
        </w:rPr>
        <w:t>customer_zip_code_prefix</w:t>
      </w:r>
      <w:r>
        <w:rPr>
          <w:rFonts w:ascii="Times New Roman" w:hAnsi="Times New Roman"/>
          <w:sz w:val="21"/>
        </w:rPr>
        <w:t>, raw lat/long) and redundant payment breakdowns.</w:t>
      </w:r>
    </w:p>
    <w:p>
      <w:pPr>
        <w:spacing w:before="0" w:after="50" w:line="276" w:lineRule="auto"/>
        <w:ind w:left="360" w:hanging="216"/>
      </w:pPr>
      <w:r>
        <w:rPr>
          <w:rFonts w:ascii="Arial" w:hAnsi="Arial"/>
          <w:b/>
          <w:color w:val="1F4E79"/>
          <w:sz w:val="20"/>
        </w:rPr>
        <w:t xml:space="preserve">• </w:t>
      </w:r>
      <w:r>
        <w:rPr>
          <w:rFonts w:ascii="Times New Roman" w:hAnsi="Times New Roman"/>
          <w:sz w:val="21"/>
        </w:rPr>
        <w:t>Linear Coefficient Instability: Ridge coefficients fluctuated wildly across cross-validation folds.</w:t>
      </w:r>
    </w:p>
    <w:p>
      <w:pPr/>
      <w:r>
        <w:rPr>
          <w:rFonts w:ascii="Times New Roman" w:hAnsi="Times New Roman"/>
          <w:sz w:val="22"/>
        </w:rPr>
        <w:t>After collinearity screening and cart checkout scoping down to the 9 baseline and 11/12 refined features:</w:t>
      </w:r>
    </w:p>
    <w:p>
      <w:pPr>
        <w:spacing w:before="0" w:after="50" w:line="276" w:lineRule="auto"/>
        <w:ind w:left="360" w:hanging="216"/>
      </w:pPr>
      <w:r>
        <w:rPr>
          <w:rFonts w:ascii="Arial" w:hAnsi="Arial"/>
          <w:b/>
          <w:color w:val="1F4E79"/>
          <w:sz w:val="20"/>
        </w:rPr>
        <w:t xml:space="preserve">• </w:t>
      </w:r>
      <w:r>
        <w:rPr>
          <w:rFonts w:ascii="Times New Roman" w:hAnsi="Times New Roman"/>
          <w:sz w:val="21"/>
        </w:rPr>
        <w:t xml:space="preserve">Condition Number: </w:t>
      </w:r>
      <w:r>
        <w:rPr>
          <w:rFonts w:ascii="Times New Roman" w:hAnsi="Times New Roman"/>
          <w:b/>
          <w:sz w:val="21"/>
        </w:rPr>
        <w:t>κ = 70.8</w:t>
      </w:r>
    </w:p>
    <w:p>
      <w:pPr>
        <w:spacing w:before="0" w:after="50" w:line="276" w:lineRule="auto"/>
        <w:ind w:left="360" w:hanging="216"/>
      </w:pPr>
      <w:r>
        <w:rPr>
          <w:rFonts w:ascii="Arial" w:hAnsi="Arial"/>
          <w:b/>
          <w:color w:val="1F4E79"/>
          <w:sz w:val="20"/>
        </w:rPr>
        <w:t xml:space="preserve">• </w:t>
      </w:r>
      <w:r>
        <w:rPr>
          <w:rFonts w:ascii="Times New Roman" w:hAnsi="Times New Roman"/>
          <w:sz w:val="21"/>
        </w:rPr>
        <w:t xml:space="preserve">Rank: </w:t>
      </w:r>
      <w:r>
        <w:rPr>
          <w:rFonts w:ascii="Times New Roman" w:hAnsi="Times New Roman"/>
          <w:b/>
          <w:sz w:val="21"/>
        </w:rPr>
        <w:t>71/71 full numerical rank</w:t>
      </w:r>
      <w:r>
        <w:rPr>
          <w:rFonts w:ascii="Times New Roman" w:hAnsi="Times New Roman"/>
          <w:sz w:val="21"/>
        </w:rPr>
        <w:t xml:space="preserve"> after one-hot encoding (zero rank deficiency).</w:t>
      </w:r>
    </w:p>
    <w:p>
      <w:pPr>
        <w:spacing w:before="0" w:after="50" w:line="276" w:lineRule="auto"/>
        <w:ind w:left="360" w:hanging="216"/>
      </w:pPr>
      <w:r>
        <w:rPr>
          <w:rFonts w:ascii="Arial" w:hAnsi="Arial"/>
          <w:b/>
          <w:color w:val="1F4E79"/>
          <w:sz w:val="20"/>
        </w:rPr>
        <w:t xml:space="preserve">• </w:t>
      </w:r>
      <w:r>
        <w:rPr>
          <w:rFonts w:ascii="Times New Roman" w:hAnsi="Times New Roman"/>
          <w:sz w:val="21"/>
        </w:rPr>
        <w:t xml:space="preserve">Maximum pairwise correlation between continuous predictors: </w:t>
      </w:r>
      <w:r>
        <w:rPr>
          <w:rFonts w:ascii="Cambria Math" w:hAnsi="Cambria Math"/>
          <w:sz w:val="21"/>
        </w:rPr>
        <w:t>r = 0.61</w:t>
      </w:r>
      <w:r>
        <w:rPr>
          <w:rFonts w:ascii="Times New Roman" w:hAnsi="Times New Roman"/>
          <w:sz w:val="21"/>
        </w:rPr>
        <w:t xml:space="preserve"> (between </w:t>
      </w:r>
      <w:r>
        <w:rPr>
          <w:rFonts w:ascii="Consolas" w:hAnsi="Consolas"/>
          <w:color w:val="8A1E38"/>
          <w:sz w:val="20"/>
        </w:rPr>
        <w:t>total_price</w:t>
      </w:r>
      <w:r>
        <w:rPr>
          <w:rFonts w:ascii="Times New Roman" w:hAnsi="Times New Roman"/>
          <w:sz w:val="21"/>
        </w:rPr>
        <w:t xml:space="preserve"> and </w:t>
      </w:r>
      <w:r>
        <w:rPr>
          <w:rFonts w:ascii="Consolas" w:hAnsi="Consolas"/>
          <w:color w:val="8A1E38"/>
          <w:sz w:val="20"/>
        </w:rPr>
        <w:t>total_freight</w:t>
      </w:r>
      <w:r>
        <w:rPr>
          <w:rFonts w:ascii="Times New Roman" w:hAnsi="Times New Roman"/>
          <w:sz w:val="21"/>
        </w:rPr>
        <w:t>), well below standard collinearity thresholds (</w:t>
      </w:r>
      <w:r>
        <w:rPr>
          <w:rFonts w:ascii="Cambria Math" w:hAnsi="Cambria Math"/>
          <w:sz w:val="21"/>
        </w:rPr>
        <w:t>r &gt; 0.80</w:t>
      </w:r>
      <w:r>
        <w:rPr>
          <w:rFonts w:ascii="Times New Roman" w:hAnsi="Times New Roman"/>
          <w:sz w:val="21"/>
        </w:rPr>
        <w:t>).</w:t>
      </w:r>
    </w:p>
    <w:p>
      <w:pPr>
        <w:pStyle w:val="Heading2"/>
      </w:pPr>
      <w:r>
        <w:rPr>
          <w:rFonts w:ascii="Times New Roman" w:hAnsi="Times New Roman"/>
          <w:b/>
          <w:sz w:val="25"/>
        </w:rPr>
        <w:t>Figure B.1A: Uncurated 27-Feature Candidate Space Correlation Heatmap</w:t>
      </w:r>
    </w:p>
    <w:p>
      <w:pPr>
        <w:keepNext/>
        <w:spacing w:before="160" w:after="60"/>
        <w:jc w:val="center"/>
      </w:pPr>
      <w:r>
        <w:drawing>
          <wp:inline xmlns:a="http://schemas.openxmlformats.org/drawingml/2006/main" xmlns:pic="http://schemas.openxmlformats.org/drawingml/2006/picture">
            <wp:extent cx="6217920" cy="5388864"/>
            <wp:docPr id="1" name="Picture 1" descr="Correlation Matrix 27"/>
            <wp:cNvGraphicFramePr>
              <a:graphicFrameLocks noChangeAspect="1"/>
            </wp:cNvGraphicFramePr>
            <a:graphic>
              <a:graphicData uri="http://schemas.openxmlformats.org/drawingml/2006/picture">
                <pic:pic>
                  <pic:nvPicPr>
                    <pic:cNvPr id="0" name="correlation_matrix_27.png"/>
                    <pic:cNvPicPr/>
                  </pic:nvPicPr>
                  <pic:blipFill>
                    <a:blip r:embed="rId13"/>
                    <a:stretch>
                      <a:fillRect/>
                    </a:stretch>
                  </pic:blipFill>
                  <pic:spPr>
                    <a:xfrm>
                      <a:off x="0" y="0"/>
                      <a:ext cx="6217920" cy="5388864"/>
                    </a:xfrm>
                    <a:prstGeom prst="rect"/>
                  </pic:spPr>
                </pic:pic>
              </a:graphicData>
            </a:graphic>
          </wp:inline>
        </w:drawing>
      </w:r>
    </w:p>
    <w:p>
      <w:pPr>
        <w:pStyle w:val="Caption"/>
        <w:keepLines/>
        <w:spacing w:before="40" w:after="160"/>
        <w:jc w:val="left"/>
      </w:pPr>
      <w:r>
        <w:rPr>
          <w:rFonts w:ascii="Times New Roman" w:hAnsi="Times New Roman"/>
          <w:b/>
          <w:sz w:val="19"/>
        </w:rPr>
        <w:t xml:space="preserve">Figure B.1A: </w:t>
      </w:r>
      <w:r>
        <w:rPr>
          <w:rFonts w:ascii="Times New Roman" w:hAnsi="Times New Roman"/>
          <w:i/>
          <w:sz w:val="19"/>
        </w:rPr>
        <w:t>The uncurated 27-feature candidate space exhibits extensive redundant clustering and near-singular correlation blocks (</w:t>
      </w:r>
      <w:r>
        <w:rPr>
          <w:rFonts w:ascii="Cambria Math" w:hAnsi="Cambria Math"/>
          <w:i/>
          <w:sz w:val="19"/>
        </w:rPr>
        <w:t>κ &gt; 4,000</w:t>
      </w:r>
      <w:r>
        <w:rPr>
          <w:rFonts w:ascii="Times New Roman" w:hAnsi="Times New Roman"/>
          <w:i/>
          <w:sz w:val="19"/>
        </w:rPr>
        <w:t>).</w:t>
      </w:r>
    </w:p>
    <w:p>
      <w:pPr>
        <w:pStyle w:val="Heading2"/>
      </w:pPr>
      <w:r>
        <w:rPr>
          <w:rFonts w:ascii="Times New Roman" w:hAnsi="Times New Roman"/>
          <w:b/>
          <w:sz w:val="25"/>
        </w:rPr>
        <w:t>Figure B.1B: Pruned 9-Feature Baseline Correlation Heatmap</w:t>
      </w:r>
    </w:p>
    <w:p>
      <w:pPr>
        <w:keepNext/>
        <w:spacing w:before="160" w:after="60"/>
        <w:jc w:val="center"/>
      </w:pPr>
      <w:r>
        <w:drawing>
          <wp:inline xmlns:a="http://schemas.openxmlformats.org/drawingml/2006/main" xmlns:pic="http://schemas.openxmlformats.org/drawingml/2006/picture">
            <wp:extent cx="6217920" cy="5181600"/>
            <wp:docPr id="2" name="Picture 2" descr="Correlation Matrix 9"/>
            <wp:cNvGraphicFramePr>
              <a:graphicFrameLocks noChangeAspect="1"/>
            </wp:cNvGraphicFramePr>
            <a:graphic>
              <a:graphicData uri="http://schemas.openxmlformats.org/drawingml/2006/picture">
                <pic:pic>
                  <pic:nvPicPr>
                    <pic:cNvPr id="0" name="correlation_matrix_9.png"/>
                    <pic:cNvPicPr/>
                  </pic:nvPicPr>
                  <pic:blipFill>
                    <a:blip r:embed="rId14"/>
                    <a:stretch>
                      <a:fillRect/>
                    </a:stretch>
                  </pic:blipFill>
                  <pic:spPr>
                    <a:xfrm>
                      <a:off x="0" y="0"/>
                      <a:ext cx="6217920" cy="5181600"/>
                    </a:xfrm>
                    <a:prstGeom prst="rect"/>
                  </pic:spPr>
                </pic:pic>
              </a:graphicData>
            </a:graphic>
          </wp:inline>
        </w:drawing>
      </w:r>
    </w:p>
    <w:p>
      <w:pPr>
        <w:pStyle w:val="Caption"/>
        <w:keepLines/>
        <w:spacing w:before="40" w:after="160"/>
        <w:jc w:val="left"/>
      </w:pPr>
      <w:r>
        <w:rPr>
          <w:rFonts w:ascii="Times New Roman" w:hAnsi="Times New Roman"/>
          <w:b/>
          <w:sz w:val="19"/>
        </w:rPr>
        <w:t xml:space="preserve">Figure B.1B: </w:t>
      </w:r>
      <w:r>
        <w:rPr>
          <w:rFonts w:ascii="Times New Roman" w:hAnsi="Times New Roman"/>
          <w:i/>
          <w:sz w:val="19"/>
        </w:rPr>
        <w:t>Pruned 9-feature baseline correlation matrix demonstrates full numerical rank and stable condition number (</w:t>
      </w:r>
      <w:r>
        <w:rPr>
          <w:rFonts w:ascii="Cambria Math" w:hAnsi="Cambria Math"/>
          <w:i/>
          <w:sz w:val="19"/>
        </w:rPr>
        <w:t>κ = 70.8</w:t>
      </w:r>
      <w:r>
        <w:rPr>
          <w:rFonts w:ascii="Times New Roman" w:hAnsi="Times New Roman"/>
          <w:i/>
          <w:sz w:val="19"/>
        </w:rPr>
        <w:t>).</w:t>
      </w:r>
    </w:p>
    <w:p>
      <w:pPr>
        <w:pStyle w:val="Heading2"/>
      </w:pPr>
      <w:r>
        <w:rPr>
          <w:rFonts w:ascii="Times New Roman" w:hAnsi="Times New Roman"/>
          <w:b/>
          <w:sz w:val="25"/>
        </w:rPr>
        <w:t>Figure B.2: Feature Dimension Progression Score Comparison</w:t>
      </w:r>
    </w:p>
    <w:p>
      <w:pPr>
        <w:keepNext/>
        <w:spacing w:before="160" w:after="60"/>
        <w:jc w:val="center"/>
      </w:pPr>
      <w:r>
        <w:drawing>
          <wp:inline xmlns:a="http://schemas.openxmlformats.org/drawingml/2006/main" xmlns:pic="http://schemas.openxmlformats.org/drawingml/2006/picture">
            <wp:extent cx="6217920" cy="2331720"/>
            <wp:docPr id="3" name="Picture 3" descr="Feature Dimension Score Comparison"/>
            <wp:cNvGraphicFramePr>
              <a:graphicFrameLocks noChangeAspect="1"/>
            </wp:cNvGraphicFramePr>
            <a:graphic>
              <a:graphicData uri="http://schemas.openxmlformats.org/drawingml/2006/picture">
                <pic:pic>
                  <pic:nvPicPr>
                    <pic:cNvPr id="0" name="feature_dimension_score_comparison.png"/>
                    <pic:cNvPicPr/>
                  </pic:nvPicPr>
                  <pic:blipFill>
                    <a:blip r:embed="rId15"/>
                    <a:stretch>
                      <a:fillRect/>
                    </a:stretch>
                  </pic:blipFill>
                  <pic:spPr>
                    <a:xfrm>
                      <a:off x="0" y="0"/>
                      <a:ext cx="6217920" cy="2331720"/>
                    </a:xfrm>
                    <a:prstGeom prst="rect"/>
                  </pic:spPr>
                </pic:pic>
              </a:graphicData>
            </a:graphic>
          </wp:inline>
        </w:drawing>
      </w:r>
    </w:p>
    <w:p>
      <w:pPr>
        <w:pStyle w:val="Caption"/>
        <w:keepLines/>
        <w:spacing w:before="40" w:after="160"/>
        <w:jc w:val="left"/>
      </w:pPr>
      <w:r>
        <w:rPr>
          <w:rFonts w:ascii="Times New Roman" w:hAnsi="Times New Roman"/>
          <w:b/>
          <w:sz w:val="19"/>
        </w:rPr>
        <w:t xml:space="preserve">Figure B.2: </w:t>
      </w:r>
      <w:r>
        <w:rPr>
          <w:rFonts w:ascii="Times New Roman" w:hAnsi="Times New Roman"/>
          <w:i/>
          <w:sz w:val="19"/>
        </w:rPr>
        <w:t>Comparison of model performance across feature dimension increments, confirming peak generalization at 11/12 features.</w:t>
      </w:r>
    </w:p>
    <w:p>
      <w:pPr>
        <w:pStyle w:val="Heading1"/>
        <w:pageBreakBefore/>
      </w:pPr>
      <w:r>
        <w:rPr>
          <w:rFonts w:ascii="Times New Roman" w:hAnsi="Times New Roman"/>
          <w:b/>
          <w:sz w:val="28"/>
        </w:rPr>
        <w:t>Appendix C: Pipeline Architectures, Tuning Grids &amp; Validation Logs</w:t>
      </w:r>
    </w:p>
    <w:p>
      <w:pPr>
        <w:pStyle w:val="Heading2"/>
      </w:pPr>
      <w:r>
        <w:rPr>
          <w:rFonts w:ascii="Times New Roman" w:hAnsi="Times New Roman"/>
          <w:b/>
          <w:sz w:val="25"/>
        </w:rPr>
        <w:t>Diagram C.1: 6-Stage End-to-End Machine Learning Pipeline</w:t>
      </w:r>
    </w:p>
    <w:p>
      <w:pPr>
        <w:spacing w:before="80" w:after="120" w:line="252" w:lineRule="auto"/>
        <w:ind w:left="360" w:right="360"/>
      </w:pPr>
      <w:r>
        <w:rPr>
          <w:rFonts w:ascii="Consolas" w:hAnsi="Consolas"/>
          <w:color w:val="1F2937"/>
          <w:sz w:val="17"/>
        </w:rPr>
        <w:t>flowchart LR</w:t>
        <w:br/>
        <w:t xml:space="preserve">    A["Raw Data (9 Core Features)"] --&gt; B["Stage 1: Chronological Split"]</w:t>
        <w:br/>
        <w:t xml:space="preserve">    B --&gt; C["Stage 2: ColumnTransformer&lt;br&gt;(Median Impute + StandardScaler + OHE)"]</w:t>
        <w:br/>
        <w:t xml:space="preserve">    C --&gt; D["Stage 3: Estimator Pipeline&lt;br&gt;(Dummy / Linear / Tree / Random Forest)"]</w:t>
        <w:br/>
        <w:t xml:space="preserve">    D --&gt; E["Stage 4: 5-Fold Expanding Window CV"]</w:t>
        <w:br/>
        <w:t xml:space="preserve">    E --&gt; F["Stage 5: Multi-Metric Benchmark&lt;br&gt;(MAE, RMSE, R² / AP, ROC, Brier)"]</w:t>
        <w:br/>
        <w:t xml:space="preserve">    F --&gt; G["Stage 6: joblib Pipeline Serialization"]</w:t>
      </w:r>
    </w:p>
    <w:p>
      <w:pPr>
        <w:pStyle w:val="Heading2"/>
      </w:pPr>
      <w:r>
        <w:rPr>
          <w:rFonts w:ascii="Times New Roman" w:hAnsi="Times New Roman"/>
          <w:b/>
          <w:sz w:val="25"/>
        </w:rPr>
        <w:t>Hyperparameter Search Grid for Random Forest Ensembles</w:t>
      </w:r>
    </w:p>
    <w:p>
      <w:pPr>
        <w:spacing w:before="0" w:after="50" w:line="276" w:lineRule="auto"/>
        <w:ind w:left="360" w:hanging="216"/>
      </w:pPr>
      <w:r>
        <w:rPr>
          <w:rFonts w:ascii="Arial" w:hAnsi="Arial"/>
          <w:b/>
          <w:color w:val="1F4E79"/>
          <w:sz w:val="20"/>
        </w:rPr>
        <w:t xml:space="preserve">• </w:t>
      </w:r>
      <w:r>
        <w:rPr>
          <w:rFonts w:ascii="Times New Roman" w:hAnsi="Times New Roman"/>
          <w:sz w:val="21"/>
        </w:rPr>
        <w:t>Number of Estimators (</w:t>
      </w:r>
      <w:r>
        <w:rPr>
          <w:rFonts w:ascii="Cambria Math" w:hAnsi="Cambria Math"/>
          <w:sz w:val="21"/>
        </w:rPr>
        <w:t>N</w:t>
      </w:r>
      <w:r>
        <w:rPr>
          <w:rFonts w:ascii="Times New Roman" w:hAnsi="Times New Roman"/>
          <w:sz w:val="21"/>
        </w:rPr>
        <w:t xml:space="preserve">): </w:t>
      </w:r>
      <w:r>
        <w:rPr>
          <w:rFonts w:ascii="Cambria Math" w:hAnsi="Cambria Math"/>
          <w:sz w:val="21"/>
        </w:rPr>
        <w:t>{25, 50, 100}</w:t>
      </w:r>
      <w:r>
        <w:rPr>
          <w:rFonts w:ascii="Times New Roman" w:hAnsi="Times New Roman"/>
          <w:sz w:val="21"/>
        </w:rPr>
        <w:t xml:space="preserve"> (Optimal: </w:t>
      </w:r>
      <w:r>
        <w:rPr>
          <w:rFonts w:ascii="Cambria Math" w:hAnsi="Cambria Math"/>
          <w:sz w:val="21"/>
        </w:rPr>
        <w:t>50</w:t>
      </w:r>
      <w:r>
        <w:rPr>
          <w:rFonts w:ascii="Times New Roman" w:hAnsi="Times New Roman"/>
          <w:sz w:val="21"/>
        </w:rPr>
        <w:t>, balancing execution latency with variance reduction).</w:t>
      </w:r>
    </w:p>
    <w:p>
      <w:pPr>
        <w:spacing w:before="0" w:after="50" w:line="276" w:lineRule="auto"/>
        <w:ind w:left="360" w:hanging="216"/>
      </w:pPr>
      <w:r>
        <w:rPr>
          <w:rFonts w:ascii="Arial" w:hAnsi="Arial"/>
          <w:b/>
          <w:color w:val="1F4E79"/>
          <w:sz w:val="20"/>
        </w:rPr>
        <w:t xml:space="preserve">• </w:t>
      </w:r>
      <w:r>
        <w:rPr>
          <w:rFonts w:ascii="Times New Roman" w:hAnsi="Times New Roman"/>
          <w:sz w:val="21"/>
        </w:rPr>
        <w:t>Maximum Tree Depth (</w:t>
      </w:r>
      <w:r>
        <w:rPr>
          <w:rFonts w:ascii="Cambria Math" w:hAnsi="Cambria Math"/>
          <w:sz w:val="21"/>
        </w:rPr>
        <w:t>d</w:t>
      </w:r>
      <w:r>
        <w:rPr>
          <w:rFonts w:ascii="Times New Roman" w:hAnsi="Times New Roman"/>
          <w:sz w:val="21"/>
        </w:rPr>
        <w:t xml:space="preserve">): </w:t>
      </w:r>
      <w:r>
        <w:rPr>
          <w:rFonts w:ascii="Cambria Math" w:hAnsi="Cambria Math"/>
          <w:sz w:val="21"/>
        </w:rPr>
        <w:t>{8, 10, 12, 14, 16, None}</w:t>
      </w:r>
      <w:r>
        <w:rPr>
          <w:rFonts w:ascii="Times New Roman" w:hAnsi="Times New Roman"/>
          <w:sz w:val="21"/>
        </w:rPr>
        <w:t xml:space="preserve"> (Optimal: </w:t>
      </w:r>
      <w:r>
        <w:rPr>
          <w:rFonts w:ascii="Cambria Math" w:hAnsi="Cambria Math"/>
          <w:sz w:val="21"/>
        </w:rPr>
        <w:t>14</w:t>
      </w:r>
      <w:r>
        <w:rPr>
          <w:rFonts w:ascii="Times New Roman" w:hAnsi="Times New Roman"/>
          <w:sz w:val="21"/>
        </w:rPr>
        <w:t>).</w:t>
      </w:r>
    </w:p>
    <w:p>
      <w:pPr>
        <w:spacing w:before="0" w:after="50" w:line="276" w:lineRule="auto"/>
        <w:ind w:left="360" w:hanging="216"/>
      </w:pPr>
      <w:r>
        <w:rPr>
          <w:rFonts w:ascii="Arial" w:hAnsi="Arial"/>
          <w:b/>
          <w:color w:val="1F4E79"/>
          <w:sz w:val="20"/>
        </w:rPr>
        <w:t xml:space="preserve">• </w:t>
      </w:r>
      <w:r>
        <w:rPr>
          <w:rFonts w:ascii="Times New Roman" w:hAnsi="Times New Roman"/>
          <w:sz w:val="21"/>
        </w:rPr>
        <w:t>Minimum Leaf Size (</w:t>
      </w:r>
      <w:r>
        <w:rPr>
          <w:rFonts w:ascii="Cambria Math" w:hAnsi="Cambria Math"/>
          <w:sz w:val="21"/>
        </w:rPr>
        <w:t>L</w:t>
      </w:r>
      <w:r>
        <w:rPr>
          <w:rFonts w:ascii="Times New Roman" w:hAnsi="Times New Roman"/>
          <w:sz w:val="21"/>
        </w:rPr>
        <w:t xml:space="preserve">): </w:t>
      </w:r>
      <w:r>
        <w:rPr>
          <w:rFonts w:ascii="Cambria Math" w:hAnsi="Cambria Math"/>
          <w:sz w:val="21"/>
        </w:rPr>
        <w:t>{10, 20, 50, 100}</w:t>
      </w:r>
      <w:r>
        <w:rPr>
          <w:rFonts w:ascii="Times New Roman" w:hAnsi="Times New Roman"/>
          <w:sz w:val="21"/>
        </w:rPr>
        <w:t xml:space="preserve"> (Optimal: </w:t>
      </w:r>
      <w:r>
        <w:rPr>
          <w:rFonts w:ascii="Cambria Math" w:hAnsi="Cambria Math"/>
          <w:sz w:val="21"/>
        </w:rPr>
        <w:t>20</w:t>
      </w:r>
      <w:r>
        <w:rPr>
          <w:rFonts w:ascii="Times New Roman" w:hAnsi="Times New Roman"/>
          <w:sz w:val="21"/>
        </w:rPr>
        <w:t>).</w:t>
      </w:r>
    </w:p>
    <w:p>
      <w:pPr>
        <w:spacing w:before="0" w:after="50" w:line="276" w:lineRule="auto"/>
        <w:ind w:left="360" w:hanging="216"/>
      </w:pPr>
      <w:r>
        <w:rPr>
          <w:rFonts w:ascii="Arial" w:hAnsi="Arial"/>
          <w:b/>
          <w:color w:val="1F4E79"/>
          <w:sz w:val="20"/>
        </w:rPr>
        <w:t xml:space="preserve">• </w:t>
      </w:r>
      <w:r>
        <w:rPr>
          <w:rFonts w:ascii="Times New Roman" w:hAnsi="Times New Roman"/>
          <w:sz w:val="21"/>
        </w:rPr>
        <w:t xml:space="preserve">Random Seed: </w:t>
      </w:r>
      <w:r>
        <w:rPr>
          <w:rFonts w:ascii="Cambria Math" w:hAnsi="Cambria Math"/>
          <w:sz w:val="21"/>
        </w:rPr>
        <w:t>42</w:t>
      </w:r>
      <w:r>
        <w:rPr>
          <w:rFonts w:ascii="Times New Roman" w:hAnsi="Times New Roman"/>
          <w:sz w:val="21"/>
        </w:rPr>
        <w:t xml:space="preserve"> (fixed for full deterministic reproducibility).</w:t>
      </w:r>
    </w:p>
    <w:p>
      <w:pPr>
        <w:pStyle w:val="Heading2"/>
      </w:pPr>
      <w:r>
        <w:rPr>
          <w:rFonts w:ascii="Times New Roman" w:hAnsi="Times New Roman"/>
          <w:b/>
          <w:sz w:val="25"/>
        </w:rPr>
        <w:t>Figure C.1: Default vs. Tuned Model Hyperparameter Gains (Phase 4B)</w:t>
      </w:r>
    </w:p>
    <w:p>
      <w:pPr>
        <w:keepNext/>
        <w:spacing w:before="160" w:after="60"/>
        <w:jc w:val="center"/>
      </w:pPr>
      <w:r>
        <w:drawing>
          <wp:inline xmlns:a="http://schemas.openxmlformats.org/drawingml/2006/main" xmlns:pic="http://schemas.openxmlformats.org/drawingml/2006/picture">
            <wp:extent cx="6217920" cy="2487168"/>
            <wp:docPr id="4" name="Picture 4" descr="Phase 4 Tuning Comparison"/>
            <wp:cNvGraphicFramePr>
              <a:graphicFrameLocks noChangeAspect="1"/>
            </wp:cNvGraphicFramePr>
            <a:graphic>
              <a:graphicData uri="http://schemas.openxmlformats.org/drawingml/2006/picture">
                <pic:pic>
                  <pic:nvPicPr>
                    <pic:cNvPr id="0" name="phase4_default_vs_tuned_comparison.png"/>
                    <pic:cNvPicPr/>
                  </pic:nvPicPr>
                  <pic:blipFill>
                    <a:blip r:embed="rId16"/>
                    <a:stretch>
                      <a:fillRect/>
                    </a:stretch>
                  </pic:blipFill>
                  <pic:spPr>
                    <a:xfrm>
                      <a:off x="0" y="0"/>
                      <a:ext cx="6217920" cy="2487168"/>
                    </a:xfrm>
                    <a:prstGeom prst="rect"/>
                  </pic:spPr>
                </pic:pic>
              </a:graphicData>
            </a:graphic>
          </wp:inline>
        </w:drawing>
      </w:r>
    </w:p>
    <w:p>
      <w:pPr>
        <w:pStyle w:val="Caption"/>
        <w:keepLines/>
        <w:spacing w:before="40" w:after="160"/>
        <w:jc w:val="left"/>
      </w:pPr>
      <w:r>
        <w:rPr>
          <w:rFonts w:ascii="Times New Roman" w:hAnsi="Times New Roman"/>
          <w:b/>
          <w:sz w:val="19"/>
        </w:rPr>
        <w:t xml:space="preserve">Figure C.1: </w:t>
      </w:r>
      <w:r>
        <w:rPr>
          <w:rFonts w:ascii="Times New Roman" w:hAnsi="Times New Roman"/>
          <w:i/>
          <w:sz w:val="19"/>
        </w:rPr>
        <w:t>Side-by-side performance comparison demonstrating variance reduction and error reduction achieved via systematic tree hyperparameter tuning.</w:t>
      </w:r>
    </w:p>
    <w:p>
      <w:pPr>
        <w:pStyle w:val="Heading2"/>
      </w:pPr>
      <w:r>
        <w:rPr>
          <w:rFonts w:ascii="Times New Roman" w:hAnsi="Times New Roman"/>
          <w:b/>
          <w:sz w:val="25"/>
        </w:rPr>
        <w:t>Table C.1: Fold-by-Fold Performance Progression Across Chronological Folds</w:t>
      </w:r>
    </w:p>
    <w:p>
      <w:pPr/>
      <w:r>
        <w:rPr>
          <w:rFonts w:ascii="Times New Roman" w:hAnsi="Times New Roman"/>
          <w:i/>
          <w:sz w:val="22"/>
        </w:rPr>
        <w:t>Source</w:t>
      </w:r>
      <w:r>
        <w:rPr>
          <w:rFonts w:ascii="Times New Roman" w:hAnsi="Times New Roman"/>
          <w:sz w:val="22"/>
        </w:rPr>
        <w:t xml:space="preserve">: </w:t>
      </w:r>
      <w:r>
        <w:rPr>
          <w:rFonts w:ascii="Consolas" w:hAnsi="Consolas"/>
          <w:color w:val="8A1E38"/>
          <w:sz w:val="21"/>
        </w:rPr>
        <w:t>artifacts/metrics/refinement-selected-v4/development_fold_metrics.csv</w:t>
      </w:r>
    </w:p>
    <w:tbl>
      <w:tblPr>
        <w:tblW w:type="auto" w:w="0"/>
        <w:jc w:val="center"/>
        <w:tblLayout w:type="fixed"/>
        <w:tblLook w:firstColumn="1" w:firstRow="1" w:lastColumn="0" w:lastRow="0" w:noHBand="0" w:noVBand="1" w:val="04A0"/>
        <w:tblBorders>
          <w:top w:val="single" w:sz="8" w:space="0" w:color="1F4E79"/>
          <w:bottom w:val="single" w:sz="8" w:space="0" w:color="1F4E79"/>
          <w:left w:val="single" w:sz="4" w:space="0" w:color="D9D9D9"/>
          <w:right w:val="single" w:sz="4" w:space="0" w:color="D9D9D9"/>
          <w:insideH w:val="single" w:sz="4" w:space="0" w:color="E2E8F0"/>
          <w:insideV w:val="single" w:sz="4" w:space="0" w:color="E2E8F0"/>
        </w:tblBorders>
      </w:tblPr>
      <w:tblGrid>
        <w:gridCol w:w="1115"/>
        <w:gridCol w:w="1115"/>
        <w:gridCol w:w="1115"/>
        <w:gridCol w:w="1115"/>
        <w:gridCol w:w="1115"/>
        <w:gridCol w:w="1115"/>
        <w:gridCol w:w="1115"/>
        <w:gridCol w:w="1115"/>
        <w:gridCol w:w="1115"/>
      </w:tblGrid>
      <w:tr>
        <w:trPr>
          <w:cantSplit/>
          <w:tblHeader/>
        </w:trPr>
        <w:tc>
          <w:tcPr>
            <w:tcW w:type="dxa" w:w="844"/>
            <w:vAlign w:val="center"/>
            <w:tcW w:w="843"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6"/>
              </w:rPr>
              <w:t>Fold</w:t>
            </w:r>
          </w:p>
        </w:tc>
        <w:tc>
          <w:tcPr>
            <w:tcW w:type="dxa" w:w="1043"/>
            <w:vAlign w:val="center"/>
            <w:tcW w:w="1042"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6"/>
              </w:rPr>
              <w:t>Training Window</w:t>
            </w:r>
          </w:p>
        </w:tc>
        <w:tc>
          <w:tcPr>
            <w:tcW w:type="dxa" w:w="1043"/>
            <w:vAlign w:val="center"/>
            <w:tcW w:w="1042"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6"/>
              </w:rPr>
              <w:t>Validation Window</w:t>
            </w:r>
          </w:p>
        </w:tc>
        <w:tc>
          <w:tcPr>
            <w:tcW w:type="dxa" w:w="632"/>
            <w:vAlign w:val="center"/>
            <w:tcW w:w="632"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6"/>
              </w:rPr>
              <w:t xml:space="preserve">Train </w:t>
            </w:r>
            <w:r>
              <w:rPr>
                <w:rFonts w:ascii="Cambria Math" w:hAnsi="Cambria Math"/>
                <w:b/>
                <w:sz w:val="16"/>
              </w:rPr>
              <w:t>N</w:t>
            </w:r>
          </w:p>
        </w:tc>
        <w:tc>
          <w:tcPr>
            <w:tcW w:type="dxa" w:w="632"/>
            <w:vAlign w:val="center"/>
            <w:tcW w:w="632"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6"/>
              </w:rPr>
              <w:t xml:space="preserve">Val </w:t>
            </w:r>
            <w:r>
              <w:rPr>
                <w:rFonts w:ascii="Cambria Math" w:hAnsi="Cambria Math"/>
                <w:b/>
                <w:sz w:val="16"/>
              </w:rPr>
              <w:t>N</w:t>
            </w:r>
          </w:p>
        </w:tc>
        <w:tc>
          <w:tcPr>
            <w:tcW w:type="dxa" w:w="1546"/>
            <w:vAlign w:val="center"/>
            <w:tcW w:w="1546"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6"/>
              </w:rPr>
              <w:t>Reg Val MAE (Cycle 1 Single Tree)</w:t>
            </w:r>
          </w:p>
        </w:tc>
        <w:tc>
          <w:tcPr>
            <w:tcW w:type="dxa" w:w="1453"/>
            <w:vAlign w:val="center"/>
            <w:tcW w:w="1453"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6"/>
              </w:rPr>
              <w:t>Reg Val MAE (Cycle 2 Tuned RF)</w:t>
            </w:r>
          </w:p>
        </w:tc>
        <w:tc>
          <w:tcPr>
            <w:tcW w:type="dxa" w:w="1422"/>
            <w:vAlign w:val="center"/>
            <w:tcW w:w="1421"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6"/>
              </w:rPr>
              <w:t>Clf Val AP (Cycle 1 Logistic)</w:t>
            </w:r>
          </w:p>
        </w:tc>
        <w:tc>
          <w:tcPr>
            <w:tcW w:type="dxa" w:w="1422"/>
            <w:vAlign w:val="center"/>
            <w:tcW w:w="1421"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6"/>
              </w:rPr>
              <w:t>Clf Val AP (Cycle 2 Tuned RF)</w:t>
            </w:r>
          </w:p>
        </w:tc>
      </w:tr>
      <w:tr>
        <w:trPr>
          <w:cantSplit/>
        </w:trPr>
        <w:tc>
          <w:tcPr>
            <w:tcW w:type="dxa" w:w="844"/>
            <w:vAlign w:val="center"/>
            <w:tcW w:w="843"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1</w:t>
            </w:r>
          </w:p>
        </w:tc>
        <w:tc>
          <w:tcPr>
            <w:tcW w:type="dxa" w:w="1043"/>
            <w:vAlign w:val="center"/>
            <w:tcW w:w="1042"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2016-10 to 2017-05</w:t>
            </w:r>
          </w:p>
        </w:tc>
        <w:tc>
          <w:tcPr>
            <w:tcW w:type="dxa" w:w="1043"/>
            <w:vAlign w:val="center"/>
            <w:tcW w:w="1042"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2017-06 to 2017-08</w:t>
            </w:r>
          </w:p>
        </w:tc>
        <w:tc>
          <w:tcPr>
            <w:tcW w:type="dxa" w:w="632"/>
            <w:vAlign w:val="center"/>
            <w:tcW w:w="632"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18,421</w:t>
            </w:r>
          </w:p>
        </w:tc>
        <w:tc>
          <w:tcPr>
            <w:tcW w:type="dxa" w:w="632"/>
            <w:vAlign w:val="center"/>
            <w:tcW w:w="632"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6,854</w:t>
            </w:r>
          </w:p>
        </w:tc>
        <w:tc>
          <w:tcPr>
            <w:tcW w:type="dxa" w:w="1546"/>
            <w:vAlign w:val="center"/>
            <w:tcW w:w="1546"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4.82</w:t>
            </w:r>
            <w:r>
              <w:rPr>
                <w:rFonts w:ascii="Times New Roman" w:hAnsi="Times New Roman"/>
                <w:sz w:val="16"/>
              </w:rPr>
              <w:t>d</w:t>
            </w:r>
          </w:p>
        </w:tc>
        <w:tc>
          <w:tcPr>
            <w:tcW w:type="dxa" w:w="1453"/>
            <w:vAlign w:val="center"/>
            <w:tcW w:w="1453"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b/>
                <w:sz w:val="16"/>
              </w:rPr>
              <w:t>4.12d</w:t>
            </w:r>
          </w:p>
        </w:tc>
        <w:tc>
          <w:tcPr>
            <w:tcW w:type="dxa" w:w="1422"/>
            <w:vAlign w:val="center"/>
            <w:tcW w:w="1421"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0.182</w:t>
            </w:r>
          </w:p>
        </w:tc>
        <w:tc>
          <w:tcPr>
            <w:tcW w:type="dxa" w:w="1422"/>
            <w:vAlign w:val="center"/>
            <w:tcW w:w="1421"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b/>
                <w:sz w:val="16"/>
              </w:rPr>
              <w:t>0.248</w:t>
            </w:r>
          </w:p>
        </w:tc>
      </w:tr>
      <w:tr>
        <w:trPr>
          <w:cantSplit/>
        </w:trPr>
        <w:tc>
          <w:tcPr>
            <w:tcW w:type="dxa" w:w="844"/>
            <w:vAlign w:val="center"/>
            <w:tcW w:w="843" w:type="dxa"/>
            <w:tcMar>
              <w:top w:w="60" w:type="dxa"/>
              <w:bottom w:w="60" w:type="dxa"/>
              <w:left w:w="80" w:type="dxa"/>
              <w:right w:w="80" w:type="dxa"/>
            </w:tcMar>
          </w:tcPr>
          <w:p>
            <w:pPr>
              <w:spacing w:before="0" w:after="0" w:line="252" w:lineRule="auto"/>
              <w:jc w:val="left"/>
            </w:pPr>
            <w:r>
              <w:rPr>
                <w:rFonts w:ascii="Times New Roman" w:hAnsi="Times New Roman"/>
                <w:b/>
                <w:sz w:val="16"/>
              </w:rPr>
              <w:t>2</w:t>
            </w:r>
          </w:p>
        </w:tc>
        <w:tc>
          <w:tcPr>
            <w:tcW w:type="dxa" w:w="1043"/>
            <w:vAlign w:val="center"/>
            <w:tcW w:w="1042" w:type="dxa"/>
            <w:tcMar>
              <w:top w:w="60" w:type="dxa"/>
              <w:bottom w:w="60" w:type="dxa"/>
              <w:left w:w="80" w:type="dxa"/>
              <w:right w:w="80" w:type="dxa"/>
            </w:tcMar>
          </w:tcPr>
          <w:p>
            <w:pPr>
              <w:spacing w:before="0" w:after="0" w:line="252" w:lineRule="auto"/>
              <w:jc w:val="left"/>
            </w:pPr>
            <w:r>
              <w:rPr>
                <w:rFonts w:ascii="Times New Roman" w:hAnsi="Times New Roman"/>
                <w:sz w:val="16"/>
              </w:rPr>
              <w:t>2016-10 to 2017-08</w:t>
            </w:r>
          </w:p>
        </w:tc>
        <w:tc>
          <w:tcPr>
            <w:tcW w:type="dxa" w:w="1043"/>
            <w:vAlign w:val="center"/>
            <w:tcW w:w="1042" w:type="dxa"/>
            <w:tcMar>
              <w:top w:w="60" w:type="dxa"/>
              <w:bottom w:w="60" w:type="dxa"/>
              <w:left w:w="80" w:type="dxa"/>
              <w:right w:w="80" w:type="dxa"/>
            </w:tcMar>
          </w:tcPr>
          <w:p>
            <w:pPr>
              <w:spacing w:before="0" w:after="0" w:line="252" w:lineRule="auto"/>
              <w:jc w:val="left"/>
            </w:pPr>
            <w:r>
              <w:rPr>
                <w:rFonts w:ascii="Times New Roman" w:hAnsi="Times New Roman"/>
                <w:sz w:val="16"/>
              </w:rPr>
              <w:t>2017-09 to 2017-11</w:t>
            </w:r>
          </w:p>
        </w:tc>
        <w:tc>
          <w:tcPr>
            <w:tcW w:type="dxa" w:w="632"/>
            <w:vAlign w:val="center"/>
            <w:tcW w:w="632" w:type="dxa"/>
            <w:tcMar>
              <w:top w:w="60" w:type="dxa"/>
              <w:bottom w:w="60" w:type="dxa"/>
              <w:left w:w="80" w:type="dxa"/>
              <w:right w:w="80" w:type="dxa"/>
            </w:tcMar>
          </w:tcPr>
          <w:p>
            <w:pPr>
              <w:spacing w:before="0" w:after="0" w:line="252" w:lineRule="auto"/>
              <w:jc w:val="left"/>
            </w:pPr>
            <w:r>
              <w:rPr>
                <w:rFonts w:ascii="Times New Roman" w:hAnsi="Times New Roman"/>
                <w:sz w:val="16"/>
              </w:rPr>
              <w:t>25,275</w:t>
            </w:r>
          </w:p>
        </w:tc>
        <w:tc>
          <w:tcPr>
            <w:tcW w:type="dxa" w:w="632"/>
            <w:vAlign w:val="center"/>
            <w:tcW w:w="632" w:type="dxa"/>
            <w:tcMar>
              <w:top w:w="60" w:type="dxa"/>
              <w:bottom w:w="60" w:type="dxa"/>
              <w:left w:w="80" w:type="dxa"/>
              <w:right w:w="80" w:type="dxa"/>
            </w:tcMar>
          </w:tcPr>
          <w:p>
            <w:pPr>
              <w:spacing w:before="0" w:after="0" w:line="252" w:lineRule="auto"/>
              <w:jc w:val="left"/>
            </w:pPr>
            <w:r>
              <w:rPr>
                <w:rFonts w:ascii="Times New Roman" w:hAnsi="Times New Roman"/>
                <w:sz w:val="16"/>
              </w:rPr>
              <w:t>7,120</w:t>
            </w:r>
          </w:p>
        </w:tc>
        <w:tc>
          <w:tcPr>
            <w:tcW w:type="dxa" w:w="1546"/>
            <w:vAlign w:val="center"/>
            <w:tcW w:w="1546" w:type="dxa"/>
            <w:tcMar>
              <w:top w:w="60" w:type="dxa"/>
              <w:bottom w:w="60" w:type="dxa"/>
              <w:left w:w="80" w:type="dxa"/>
              <w:right w:w="80" w:type="dxa"/>
            </w:tcMar>
          </w:tcPr>
          <w:p>
            <w:pPr>
              <w:spacing w:before="0" w:after="0" w:line="252" w:lineRule="auto"/>
              <w:jc w:val="center"/>
            </w:pPr>
            <w:r>
              <w:rPr>
                <w:rFonts w:ascii="Cambria Math" w:hAnsi="Cambria Math"/>
                <w:sz w:val="16"/>
              </w:rPr>
              <w:t>5.12</w:t>
            </w:r>
            <w:r>
              <w:rPr>
                <w:rFonts w:ascii="Times New Roman" w:hAnsi="Times New Roman"/>
                <w:sz w:val="16"/>
              </w:rPr>
              <w:t>d</w:t>
            </w:r>
          </w:p>
        </w:tc>
        <w:tc>
          <w:tcPr>
            <w:tcW w:type="dxa" w:w="1453"/>
            <w:vAlign w:val="center"/>
            <w:tcW w:w="1453" w:type="dxa"/>
            <w:tcMar>
              <w:top w:w="60" w:type="dxa"/>
              <w:bottom w:w="60" w:type="dxa"/>
              <w:left w:w="80" w:type="dxa"/>
              <w:right w:w="80" w:type="dxa"/>
            </w:tcMar>
          </w:tcPr>
          <w:p>
            <w:pPr>
              <w:spacing w:before="0" w:after="0" w:line="252" w:lineRule="auto"/>
              <w:jc w:val="center"/>
            </w:pPr>
            <w:r>
              <w:rPr>
                <w:rFonts w:ascii="Times New Roman" w:hAnsi="Times New Roman"/>
                <w:b/>
                <w:sz w:val="16"/>
              </w:rPr>
              <w:t>4.45d</w:t>
            </w:r>
          </w:p>
        </w:tc>
        <w:tc>
          <w:tcPr>
            <w:tcW w:type="dxa" w:w="1422"/>
            <w:vAlign w:val="center"/>
            <w:tcW w:w="1421" w:type="dxa"/>
            <w:tcMar>
              <w:top w:w="60" w:type="dxa"/>
              <w:bottom w:w="60" w:type="dxa"/>
              <w:left w:w="80" w:type="dxa"/>
              <w:right w:w="80" w:type="dxa"/>
            </w:tcMar>
          </w:tcPr>
          <w:p>
            <w:pPr>
              <w:spacing w:before="0" w:after="0" w:line="252" w:lineRule="auto"/>
              <w:jc w:val="center"/>
            </w:pPr>
            <w:r>
              <w:rPr>
                <w:rFonts w:ascii="Cambria Math" w:hAnsi="Cambria Math"/>
                <w:sz w:val="16"/>
              </w:rPr>
              <w:t>0.191</w:t>
            </w:r>
          </w:p>
        </w:tc>
        <w:tc>
          <w:tcPr>
            <w:tcW w:type="dxa" w:w="1422"/>
            <w:vAlign w:val="center"/>
            <w:tcW w:w="1421" w:type="dxa"/>
            <w:tcMar>
              <w:top w:w="60" w:type="dxa"/>
              <w:bottom w:w="60" w:type="dxa"/>
              <w:left w:w="80" w:type="dxa"/>
              <w:right w:w="80" w:type="dxa"/>
            </w:tcMar>
          </w:tcPr>
          <w:p>
            <w:pPr>
              <w:spacing w:before="0" w:after="0" w:line="252" w:lineRule="auto"/>
              <w:jc w:val="center"/>
            </w:pPr>
            <w:r>
              <w:rPr>
                <w:rFonts w:ascii="Times New Roman" w:hAnsi="Times New Roman"/>
                <w:b/>
                <w:sz w:val="16"/>
              </w:rPr>
              <w:t>0.261</w:t>
            </w:r>
          </w:p>
        </w:tc>
      </w:tr>
      <w:tr>
        <w:trPr>
          <w:cantSplit/>
        </w:trPr>
        <w:tc>
          <w:tcPr>
            <w:tcW w:type="dxa" w:w="844"/>
            <w:vAlign w:val="center"/>
            <w:tcW w:w="843"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3</w:t>
            </w:r>
          </w:p>
        </w:tc>
        <w:tc>
          <w:tcPr>
            <w:tcW w:type="dxa" w:w="1043"/>
            <w:vAlign w:val="center"/>
            <w:tcW w:w="1042"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2016-10 to 2017-11</w:t>
            </w:r>
          </w:p>
        </w:tc>
        <w:tc>
          <w:tcPr>
            <w:tcW w:type="dxa" w:w="1043"/>
            <w:vAlign w:val="center"/>
            <w:tcW w:w="1042"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2017-12 to 2018-01</w:t>
            </w:r>
          </w:p>
        </w:tc>
        <w:tc>
          <w:tcPr>
            <w:tcW w:type="dxa" w:w="632"/>
            <w:vAlign w:val="center"/>
            <w:tcW w:w="632"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32,395</w:t>
            </w:r>
          </w:p>
        </w:tc>
        <w:tc>
          <w:tcPr>
            <w:tcW w:type="dxa" w:w="632"/>
            <w:vAlign w:val="center"/>
            <w:tcW w:w="632"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7,412</w:t>
            </w:r>
          </w:p>
        </w:tc>
        <w:tc>
          <w:tcPr>
            <w:tcW w:type="dxa" w:w="1546"/>
            <w:vAlign w:val="center"/>
            <w:tcW w:w="1546"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6.89</w:t>
            </w:r>
            <w:r>
              <w:rPr>
                <w:rFonts w:ascii="Times New Roman" w:hAnsi="Times New Roman"/>
                <w:sz w:val="16"/>
              </w:rPr>
              <w:t>d</w:t>
            </w:r>
          </w:p>
        </w:tc>
        <w:tc>
          <w:tcPr>
            <w:tcW w:type="dxa" w:w="1453"/>
            <w:vAlign w:val="center"/>
            <w:tcW w:w="1453"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b/>
                <w:sz w:val="16"/>
              </w:rPr>
              <w:t>5.98d</w:t>
            </w:r>
          </w:p>
        </w:tc>
        <w:tc>
          <w:tcPr>
            <w:tcW w:type="dxa" w:w="1422"/>
            <w:vAlign w:val="center"/>
            <w:tcW w:w="1421"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0.224</w:t>
            </w:r>
          </w:p>
        </w:tc>
        <w:tc>
          <w:tcPr>
            <w:tcW w:type="dxa" w:w="1422"/>
            <w:vAlign w:val="center"/>
            <w:tcW w:w="1421"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b/>
                <w:sz w:val="16"/>
              </w:rPr>
              <w:t>0.312</w:t>
            </w:r>
          </w:p>
        </w:tc>
      </w:tr>
      <w:tr>
        <w:trPr>
          <w:cantSplit/>
        </w:trPr>
        <w:tc>
          <w:tcPr>
            <w:tcW w:type="dxa" w:w="844"/>
            <w:vAlign w:val="center"/>
            <w:tcW w:w="843" w:type="dxa"/>
            <w:tcMar>
              <w:top w:w="60" w:type="dxa"/>
              <w:bottom w:w="60" w:type="dxa"/>
              <w:left w:w="80" w:type="dxa"/>
              <w:right w:w="80" w:type="dxa"/>
            </w:tcMar>
          </w:tcPr>
          <w:p>
            <w:pPr>
              <w:spacing w:before="0" w:after="0" w:line="252" w:lineRule="auto"/>
              <w:jc w:val="left"/>
            </w:pPr>
            <w:r>
              <w:rPr>
                <w:rFonts w:ascii="Times New Roman" w:hAnsi="Times New Roman"/>
                <w:b/>
                <w:sz w:val="16"/>
              </w:rPr>
              <w:t>4</w:t>
            </w:r>
          </w:p>
        </w:tc>
        <w:tc>
          <w:tcPr>
            <w:tcW w:type="dxa" w:w="1043"/>
            <w:vAlign w:val="center"/>
            <w:tcW w:w="1042" w:type="dxa"/>
            <w:tcMar>
              <w:top w:w="60" w:type="dxa"/>
              <w:bottom w:w="60" w:type="dxa"/>
              <w:left w:w="80" w:type="dxa"/>
              <w:right w:w="80" w:type="dxa"/>
            </w:tcMar>
          </w:tcPr>
          <w:p>
            <w:pPr>
              <w:spacing w:before="0" w:after="0" w:line="252" w:lineRule="auto"/>
              <w:jc w:val="left"/>
            </w:pPr>
            <w:r>
              <w:rPr>
                <w:rFonts w:ascii="Times New Roman" w:hAnsi="Times New Roman"/>
                <w:sz w:val="16"/>
              </w:rPr>
              <w:t>2016-10 to 2018-01</w:t>
            </w:r>
          </w:p>
        </w:tc>
        <w:tc>
          <w:tcPr>
            <w:tcW w:type="dxa" w:w="1043"/>
            <w:vAlign w:val="center"/>
            <w:tcW w:w="1042" w:type="dxa"/>
            <w:tcMar>
              <w:top w:w="60" w:type="dxa"/>
              <w:bottom w:w="60" w:type="dxa"/>
              <w:left w:w="80" w:type="dxa"/>
              <w:right w:w="80" w:type="dxa"/>
            </w:tcMar>
          </w:tcPr>
          <w:p>
            <w:pPr>
              <w:spacing w:before="0" w:after="0" w:line="252" w:lineRule="auto"/>
              <w:jc w:val="left"/>
            </w:pPr>
            <w:r>
              <w:rPr>
                <w:rFonts w:ascii="Times New Roman" w:hAnsi="Times New Roman"/>
                <w:sz w:val="16"/>
              </w:rPr>
              <w:t>2018-02 to 2018-03</w:t>
            </w:r>
          </w:p>
        </w:tc>
        <w:tc>
          <w:tcPr>
            <w:tcW w:type="dxa" w:w="632"/>
            <w:vAlign w:val="center"/>
            <w:tcW w:w="632" w:type="dxa"/>
            <w:tcMar>
              <w:top w:w="60" w:type="dxa"/>
              <w:bottom w:w="60" w:type="dxa"/>
              <w:left w:w="80" w:type="dxa"/>
              <w:right w:w="80" w:type="dxa"/>
            </w:tcMar>
          </w:tcPr>
          <w:p>
            <w:pPr>
              <w:spacing w:before="0" w:after="0" w:line="252" w:lineRule="auto"/>
              <w:jc w:val="left"/>
            </w:pPr>
            <w:r>
              <w:rPr>
                <w:rFonts w:ascii="Times New Roman" w:hAnsi="Times New Roman"/>
                <w:sz w:val="16"/>
              </w:rPr>
              <w:t>39,807</w:t>
            </w:r>
          </w:p>
        </w:tc>
        <w:tc>
          <w:tcPr>
            <w:tcW w:type="dxa" w:w="632"/>
            <w:vAlign w:val="center"/>
            <w:tcW w:w="632" w:type="dxa"/>
            <w:tcMar>
              <w:top w:w="60" w:type="dxa"/>
              <w:bottom w:w="60" w:type="dxa"/>
              <w:left w:w="80" w:type="dxa"/>
              <w:right w:w="80" w:type="dxa"/>
            </w:tcMar>
          </w:tcPr>
          <w:p>
            <w:pPr>
              <w:spacing w:before="0" w:after="0" w:line="252" w:lineRule="auto"/>
              <w:jc w:val="left"/>
            </w:pPr>
            <w:r>
              <w:rPr>
                <w:rFonts w:ascii="Times New Roman" w:hAnsi="Times New Roman"/>
                <w:sz w:val="16"/>
              </w:rPr>
              <w:t>7,388</w:t>
            </w:r>
          </w:p>
        </w:tc>
        <w:tc>
          <w:tcPr>
            <w:tcW w:type="dxa" w:w="1546"/>
            <w:vAlign w:val="center"/>
            <w:tcW w:w="1546" w:type="dxa"/>
            <w:tcMar>
              <w:top w:w="60" w:type="dxa"/>
              <w:bottom w:w="60" w:type="dxa"/>
              <w:left w:w="80" w:type="dxa"/>
              <w:right w:w="80" w:type="dxa"/>
            </w:tcMar>
          </w:tcPr>
          <w:p>
            <w:pPr>
              <w:spacing w:before="0" w:after="0" w:line="252" w:lineRule="auto"/>
              <w:jc w:val="center"/>
            </w:pPr>
            <w:r>
              <w:rPr>
                <w:rFonts w:ascii="Cambria Math" w:hAnsi="Cambria Math"/>
                <w:sz w:val="16"/>
              </w:rPr>
              <w:t>7.15</w:t>
            </w:r>
            <w:r>
              <w:rPr>
                <w:rFonts w:ascii="Times New Roman" w:hAnsi="Times New Roman"/>
                <w:sz w:val="16"/>
              </w:rPr>
              <w:t>d</w:t>
            </w:r>
          </w:p>
        </w:tc>
        <w:tc>
          <w:tcPr>
            <w:tcW w:type="dxa" w:w="1453"/>
            <w:vAlign w:val="center"/>
            <w:tcW w:w="1453" w:type="dxa"/>
            <w:tcMar>
              <w:top w:w="60" w:type="dxa"/>
              <w:bottom w:w="60" w:type="dxa"/>
              <w:left w:w="80" w:type="dxa"/>
              <w:right w:w="80" w:type="dxa"/>
            </w:tcMar>
          </w:tcPr>
          <w:p>
            <w:pPr>
              <w:spacing w:before="0" w:after="0" w:line="252" w:lineRule="auto"/>
              <w:jc w:val="center"/>
            </w:pPr>
            <w:r>
              <w:rPr>
                <w:rFonts w:ascii="Times New Roman" w:hAnsi="Times New Roman"/>
                <w:b/>
                <w:sz w:val="16"/>
              </w:rPr>
              <w:t>6.21d</w:t>
            </w:r>
          </w:p>
        </w:tc>
        <w:tc>
          <w:tcPr>
            <w:tcW w:type="dxa" w:w="1422"/>
            <w:vAlign w:val="center"/>
            <w:tcW w:w="1421" w:type="dxa"/>
            <w:tcMar>
              <w:top w:w="60" w:type="dxa"/>
              <w:bottom w:w="60" w:type="dxa"/>
              <w:left w:w="80" w:type="dxa"/>
              <w:right w:w="80" w:type="dxa"/>
            </w:tcMar>
          </w:tcPr>
          <w:p>
            <w:pPr>
              <w:spacing w:before="0" w:after="0" w:line="252" w:lineRule="auto"/>
              <w:jc w:val="center"/>
            </w:pPr>
            <w:r>
              <w:rPr>
                <w:rFonts w:ascii="Cambria Math" w:hAnsi="Cambria Math"/>
                <w:sz w:val="16"/>
              </w:rPr>
              <w:t>0.218</w:t>
            </w:r>
          </w:p>
        </w:tc>
        <w:tc>
          <w:tcPr>
            <w:tcW w:type="dxa" w:w="1422"/>
            <w:vAlign w:val="center"/>
            <w:tcW w:w="1421" w:type="dxa"/>
            <w:tcMar>
              <w:top w:w="60" w:type="dxa"/>
              <w:bottom w:w="60" w:type="dxa"/>
              <w:left w:w="80" w:type="dxa"/>
              <w:right w:w="80" w:type="dxa"/>
            </w:tcMar>
          </w:tcPr>
          <w:p>
            <w:pPr>
              <w:spacing w:before="0" w:after="0" w:line="252" w:lineRule="auto"/>
              <w:jc w:val="center"/>
            </w:pPr>
            <w:r>
              <w:rPr>
                <w:rFonts w:ascii="Times New Roman" w:hAnsi="Times New Roman"/>
                <w:b/>
                <w:sz w:val="16"/>
              </w:rPr>
              <w:t>0.295</w:t>
            </w:r>
          </w:p>
        </w:tc>
      </w:tr>
      <w:tr>
        <w:trPr>
          <w:cantSplit/>
        </w:trPr>
        <w:tc>
          <w:tcPr>
            <w:tcW w:type="dxa" w:w="844"/>
            <w:vAlign w:val="center"/>
            <w:tcW w:w="843"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5</w:t>
            </w:r>
          </w:p>
        </w:tc>
        <w:tc>
          <w:tcPr>
            <w:tcW w:type="dxa" w:w="1043"/>
            <w:vAlign w:val="center"/>
            <w:tcW w:w="1042"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2016-10 to 2018-03</w:t>
            </w:r>
          </w:p>
        </w:tc>
        <w:tc>
          <w:tcPr>
            <w:tcW w:type="dxa" w:w="1043"/>
            <w:vAlign w:val="center"/>
            <w:tcW w:w="1042"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2018-04 to 2018-05</w:t>
            </w:r>
          </w:p>
        </w:tc>
        <w:tc>
          <w:tcPr>
            <w:tcW w:type="dxa" w:w="632"/>
            <w:vAlign w:val="center"/>
            <w:tcW w:w="632"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47,195</w:t>
            </w:r>
          </w:p>
        </w:tc>
        <w:tc>
          <w:tcPr>
            <w:tcW w:type="dxa" w:w="632"/>
            <w:vAlign w:val="center"/>
            <w:tcW w:w="632"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7,510</w:t>
            </w:r>
          </w:p>
        </w:tc>
        <w:tc>
          <w:tcPr>
            <w:tcW w:type="dxa" w:w="1546"/>
            <w:vAlign w:val="center"/>
            <w:tcW w:w="1546"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6.24</w:t>
            </w:r>
            <w:r>
              <w:rPr>
                <w:rFonts w:ascii="Times New Roman" w:hAnsi="Times New Roman"/>
                <w:sz w:val="16"/>
              </w:rPr>
              <w:t>d</w:t>
            </w:r>
          </w:p>
        </w:tc>
        <w:tc>
          <w:tcPr>
            <w:tcW w:type="dxa" w:w="1453"/>
            <w:vAlign w:val="center"/>
            <w:tcW w:w="1453"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b/>
                <w:sz w:val="16"/>
              </w:rPr>
              <w:t>5.46d</w:t>
            </w:r>
          </w:p>
        </w:tc>
        <w:tc>
          <w:tcPr>
            <w:tcW w:type="dxa" w:w="1422"/>
            <w:vAlign w:val="center"/>
            <w:tcW w:w="1421"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0.178</w:t>
            </w:r>
          </w:p>
        </w:tc>
        <w:tc>
          <w:tcPr>
            <w:tcW w:type="dxa" w:w="1422"/>
            <w:vAlign w:val="center"/>
            <w:tcW w:w="1421"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b/>
                <w:sz w:val="16"/>
              </w:rPr>
              <w:t>0.229</w:t>
            </w:r>
          </w:p>
        </w:tc>
      </w:tr>
      <w:tr>
        <w:trPr>
          <w:cantSplit/>
        </w:trPr>
        <w:tc>
          <w:tcPr>
            <w:tcW w:type="dxa" w:w="844"/>
            <w:vAlign w:val="center"/>
            <w:tcW w:w="843" w:type="dxa"/>
            <w:tcMar>
              <w:top w:w="60" w:type="dxa"/>
              <w:bottom w:w="60" w:type="dxa"/>
              <w:left w:w="80" w:type="dxa"/>
              <w:right w:w="80" w:type="dxa"/>
            </w:tcMar>
          </w:tcPr>
          <w:p>
            <w:pPr>
              <w:spacing w:before="0" w:after="0" w:line="252" w:lineRule="auto"/>
              <w:jc w:val="left"/>
            </w:pPr>
            <w:r>
              <w:rPr>
                <w:rFonts w:ascii="Times New Roman" w:hAnsi="Times New Roman"/>
                <w:b/>
                <w:sz w:val="16"/>
              </w:rPr>
              <w:t>Mean ± SD</w:t>
            </w:r>
          </w:p>
        </w:tc>
        <w:tc>
          <w:tcPr>
            <w:tcW w:type="dxa" w:w="1043"/>
            <w:vAlign w:val="center"/>
            <w:tcW w:w="1042" w:type="dxa"/>
            <w:tcMar>
              <w:top w:w="60" w:type="dxa"/>
              <w:bottom w:w="60" w:type="dxa"/>
              <w:left w:w="80" w:type="dxa"/>
              <w:right w:w="80" w:type="dxa"/>
            </w:tcMar>
          </w:tcPr>
          <w:p>
            <w:pPr>
              <w:spacing w:before="0" w:after="0" w:line="252" w:lineRule="auto"/>
              <w:jc w:val="left"/>
            </w:pPr>
            <w:r>
              <w:rPr>
                <w:rFonts w:ascii="Times New Roman" w:hAnsi="Times New Roman"/>
                <w:sz w:val="16"/>
              </w:rPr>
              <w:t>—</w:t>
            </w:r>
          </w:p>
        </w:tc>
        <w:tc>
          <w:tcPr>
            <w:tcW w:type="dxa" w:w="1043"/>
            <w:vAlign w:val="center"/>
            <w:tcW w:w="1042" w:type="dxa"/>
            <w:tcMar>
              <w:top w:w="60" w:type="dxa"/>
              <w:bottom w:w="60" w:type="dxa"/>
              <w:left w:w="80" w:type="dxa"/>
              <w:right w:w="80" w:type="dxa"/>
            </w:tcMar>
          </w:tcPr>
          <w:p>
            <w:pPr>
              <w:spacing w:before="0" w:after="0" w:line="252" w:lineRule="auto"/>
              <w:jc w:val="left"/>
            </w:pPr>
            <w:r>
              <w:rPr>
                <w:rFonts w:ascii="Times New Roman" w:hAnsi="Times New Roman"/>
                <w:sz w:val="16"/>
              </w:rPr>
              <w:t>—</w:t>
            </w:r>
          </w:p>
        </w:tc>
        <w:tc>
          <w:tcPr>
            <w:tcW w:type="dxa" w:w="632"/>
            <w:vAlign w:val="center"/>
            <w:tcW w:w="632" w:type="dxa"/>
            <w:tcMar>
              <w:top w:w="60" w:type="dxa"/>
              <w:bottom w:w="60" w:type="dxa"/>
              <w:left w:w="80" w:type="dxa"/>
              <w:right w:w="80" w:type="dxa"/>
            </w:tcMar>
          </w:tcPr>
          <w:p>
            <w:pPr>
              <w:spacing w:before="0" w:after="0" w:line="252" w:lineRule="auto"/>
              <w:jc w:val="left"/>
            </w:pPr>
            <w:r>
              <w:rPr>
                <w:rFonts w:ascii="Times New Roman" w:hAnsi="Times New Roman"/>
                <w:sz w:val="16"/>
              </w:rPr>
              <w:t>—</w:t>
            </w:r>
          </w:p>
        </w:tc>
        <w:tc>
          <w:tcPr>
            <w:tcW w:type="dxa" w:w="632"/>
            <w:vAlign w:val="center"/>
            <w:tcW w:w="632" w:type="dxa"/>
            <w:tcMar>
              <w:top w:w="60" w:type="dxa"/>
              <w:bottom w:w="60" w:type="dxa"/>
              <w:left w:w="80" w:type="dxa"/>
              <w:right w:w="80" w:type="dxa"/>
            </w:tcMar>
          </w:tcPr>
          <w:p>
            <w:pPr>
              <w:spacing w:before="0" w:after="0" w:line="252" w:lineRule="auto"/>
              <w:jc w:val="left"/>
            </w:pPr>
            <w:r>
              <w:rPr>
                <w:rFonts w:ascii="Times New Roman" w:hAnsi="Times New Roman"/>
                <w:sz w:val="16"/>
              </w:rPr>
              <w:t>—</w:t>
            </w:r>
          </w:p>
        </w:tc>
        <w:tc>
          <w:tcPr>
            <w:tcW w:type="dxa" w:w="1546"/>
            <w:vAlign w:val="center"/>
            <w:tcW w:w="1546" w:type="dxa"/>
            <w:tcMar>
              <w:top w:w="60" w:type="dxa"/>
              <w:bottom w:w="60" w:type="dxa"/>
              <w:left w:w="80" w:type="dxa"/>
              <w:right w:w="80" w:type="dxa"/>
            </w:tcMar>
          </w:tcPr>
          <w:p>
            <w:pPr>
              <w:spacing w:before="0" w:after="0" w:line="252" w:lineRule="auto"/>
              <w:jc w:val="center"/>
            </w:pPr>
            <w:r>
              <w:rPr>
                <w:rFonts w:ascii="Cambria Math" w:hAnsi="Cambria Math"/>
                <w:sz w:val="16"/>
              </w:rPr>
              <w:t>6.04 ± 1.02</w:t>
            </w:r>
            <w:r>
              <w:rPr>
                <w:rFonts w:ascii="Times New Roman" w:hAnsi="Times New Roman"/>
                <w:sz w:val="16"/>
              </w:rPr>
              <w:t>d</w:t>
            </w:r>
          </w:p>
        </w:tc>
        <w:tc>
          <w:tcPr>
            <w:tcW w:type="dxa" w:w="1453"/>
            <w:vAlign w:val="center"/>
            <w:tcW w:w="1453" w:type="dxa"/>
            <w:tcMar>
              <w:top w:w="60" w:type="dxa"/>
              <w:bottom w:w="60" w:type="dxa"/>
              <w:left w:w="80" w:type="dxa"/>
              <w:right w:w="80" w:type="dxa"/>
            </w:tcMar>
          </w:tcPr>
          <w:p>
            <w:pPr>
              <w:spacing w:before="0" w:after="0" w:line="252" w:lineRule="auto"/>
              <w:jc w:val="center"/>
            </w:pPr>
            <w:r>
              <w:rPr>
                <w:rFonts w:ascii="Times New Roman" w:hAnsi="Times New Roman"/>
                <w:b/>
                <w:sz w:val="16"/>
              </w:rPr>
              <w:t>5.24 ± 1.15d</w:t>
            </w:r>
          </w:p>
        </w:tc>
        <w:tc>
          <w:tcPr>
            <w:tcW w:type="dxa" w:w="1422"/>
            <w:vAlign w:val="center"/>
            <w:tcW w:w="1421" w:type="dxa"/>
            <w:tcMar>
              <w:top w:w="60" w:type="dxa"/>
              <w:bottom w:w="60" w:type="dxa"/>
              <w:left w:w="80" w:type="dxa"/>
              <w:right w:w="80" w:type="dxa"/>
            </w:tcMar>
          </w:tcPr>
          <w:p>
            <w:pPr>
              <w:spacing w:before="0" w:after="0" w:line="252" w:lineRule="auto"/>
              <w:jc w:val="center"/>
            </w:pPr>
            <w:r>
              <w:rPr>
                <w:rFonts w:ascii="Cambria Math" w:hAnsi="Cambria Math"/>
                <w:sz w:val="16"/>
              </w:rPr>
              <w:t>0.199 ± 0.020</w:t>
            </w:r>
          </w:p>
        </w:tc>
        <w:tc>
          <w:tcPr>
            <w:tcW w:type="dxa" w:w="1422"/>
            <w:vAlign w:val="center"/>
            <w:tcW w:w="1421" w:type="dxa"/>
            <w:tcMar>
              <w:top w:w="60" w:type="dxa"/>
              <w:bottom w:w="60" w:type="dxa"/>
              <w:left w:w="80" w:type="dxa"/>
              <w:right w:w="80" w:type="dxa"/>
            </w:tcMar>
          </w:tcPr>
          <w:p>
            <w:pPr>
              <w:spacing w:before="0" w:after="0" w:line="252" w:lineRule="auto"/>
              <w:jc w:val="center"/>
            </w:pPr>
            <w:r>
              <w:rPr>
                <w:rFonts w:ascii="Times New Roman" w:hAnsi="Times New Roman"/>
                <w:b/>
                <w:sz w:val="16"/>
              </w:rPr>
              <w:t>0.269 ± 0.045</w:t>
            </w:r>
          </w:p>
        </w:tc>
      </w:tr>
    </w:tbl>
    <w:p>
      <w:pPr>
        <w:spacing w:before="40" w:after="40" w:line="40" w:lineRule="exact"/>
      </w:pPr>
    </w:p>
    <w:p>
      <w:pPr>
        <w:pStyle w:val="Heading2"/>
      </w:pPr>
      <w:r>
        <w:rPr>
          <w:rFonts w:ascii="Times New Roman" w:hAnsi="Times New Roman"/>
          <w:b/>
          <w:sz w:val="25"/>
        </w:rPr>
        <w:t>Table C.2: Complete GridSearchCV Hyperparameter Exploration Matrix (Every Tested Combination for Human Judgement)</w:t>
      </w:r>
    </w:p>
    <w:p>
      <w:pPr/>
      <w:r>
        <w:rPr>
          <w:rFonts w:ascii="Times New Roman" w:hAnsi="Times New Roman"/>
          <w:i/>
          <w:sz w:val="22"/>
        </w:rPr>
        <w:t>Methodology</w:t>
      </w:r>
      <w:r>
        <w:rPr>
          <w:rFonts w:ascii="Times New Roman" w:hAnsi="Times New Roman"/>
          <w:sz w:val="22"/>
        </w:rPr>
        <w:t>: Exhaustive 5-fold chronological expanding-window cross-validation on development split (</w:t>
      </w:r>
      <w:r>
        <w:rPr>
          <w:rFonts w:ascii="Cambria Math" w:hAnsi="Cambria Math"/>
          <w:sz w:val="22"/>
        </w:rPr>
        <w:t>N=77,139</w:t>
      </w:r>
      <w:r>
        <w:rPr>
          <w:rFonts w:ascii="Times New Roman" w:hAnsi="Times New Roman"/>
          <w:sz w:val="22"/>
        </w:rPr>
        <w:t xml:space="preserve"> orders). Every tested combination is logged below to enable human audit and verify why the selected configuration is mathematically optimal.</w:t>
      </w:r>
    </w:p>
    <w:p>
      <w:pPr>
        <w:pStyle w:val="Heading3"/>
      </w:pPr>
      <w:r>
        <w:rPr>
          <w:rFonts w:ascii="Times New Roman" w:hAnsi="Times New Roman"/>
          <w:b/>
          <w:sz w:val="23"/>
        </w:rPr>
        <w:t>Part A: Regression Task (Fulfillment Lead Time in Days — 11-Feature Pipeline with Target Log1p)</w:t>
      </w:r>
    </w:p>
    <w:tbl>
      <w:tblPr>
        <w:tblW w:type="auto" w:w="0"/>
        <w:jc w:val="center"/>
        <w:tblLayout w:type="fixed"/>
        <w:tblLook w:firstColumn="1" w:firstRow="1" w:lastColumn="0" w:lastRow="0" w:noHBand="0" w:noVBand="1" w:val="04A0"/>
        <w:tblBorders>
          <w:top w:val="single" w:sz="8" w:space="0" w:color="1F4E79"/>
          <w:bottom w:val="single" w:sz="8" w:space="0" w:color="1F4E79"/>
          <w:left w:val="single" w:sz="4" w:space="0" w:color="D9D9D9"/>
          <w:right w:val="single" w:sz="4" w:space="0" w:color="D9D9D9"/>
          <w:insideH w:val="single" w:sz="4" w:space="0" w:color="E2E8F0"/>
          <w:insideV w:val="single" w:sz="4" w:space="0" w:color="E2E8F0"/>
        </w:tblBorders>
      </w:tblPr>
      <w:tblGrid>
        <w:gridCol w:w="1255"/>
        <w:gridCol w:w="1255"/>
        <w:gridCol w:w="1255"/>
        <w:gridCol w:w="1255"/>
        <w:gridCol w:w="1255"/>
        <w:gridCol w:w="1255"/>
        <w:gridCol w:w="1255"/>
        <w:gridCol w:w="1255"/>
      </w:tblGrid>
      <w:tr>
        <w:trPr>
          <w:cantSplit/>
          <w:tblHeader/>
        </w:trPr>
        <w:tc>
          <w:tcPr>
            <w:tcW w:type="dxa" w:w="1017"/>
            <w:vAlign w:val="center"/>
            <w:tcW w:w="1017"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6"/>
              </w:rPr>
              <w:t>Model Family</w:t>
            </w:r>
          </w:p>
        </w:tc>
        <w:tc>
          <w:tcPr>
            <w:tcW w:type="dxa" w:w="1307"/>
            <w:vAlign w:val="center"/>
            <w:tcW w:w="1307"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6"/>
              </w:rPr>
              <w:t>Evaluated Hyperparameters</w:t>
            </w:r>
          </w:p>
        </w:tc>
        <w:tc>
          <w:tcPr>
            <w:tcW w:type="dxa" w:w="1094"/>
            <w:vAlign w:val="center"/>
            <w:tcW w:w="1093" w:type="dxa"/>
            <w:tcMar>
              <w:top w:w="60" w:type="dxa"/>
              <w:bottom w:w="60" w:type="dxa"/>
              <w:left w:w="80" w:type="dxa"/>
              <w:right w:w="80" w:type="dxa"/>
            </w:tcMar>
            <w:shd w:val="clear" w:color="auto" w:fill="E8EEF5"/>
          </w:tcPr>
          <w:p>
            <w:pPr>
              <w:spacing w:before="0" w:after="0" w:line="252" w:lineRule="auto"/>
              <w:jc w:val="center"/>
            </w:pPr>
            <w:r>
              <w:rPr>
                <w:rFonts w:ascii="Times New Roman" w:hAnsi="Times New Roman"/>
                <w:b/>
                <w:sz w:val="16"/>
              </w:rPr>
              <w:t>Mean Val MAE (days)</w:t>
            </w:r>
          </w:p>
        </w:tc>
        <w:tc>
          <w:tcPr>
            <w:tcW w:type="dxa" w:w="897"/>
            <w:vAlign w:val="center"/>
            <w:tcW w:w="896" w:type="dxa"/>
            <w:tcMar>
              <w:top w:w="60" w:type="dxa"/>
              <w:bottom w:w="60" w:type="dxa"/>
              <w:left w:w="80" w:type="dxa"/>
              <w:right w:w="80" w:type="dxa"/>
            </w:tcMar>
            <w:shd w:val="clear" w:color="auto" w:fill="E8EEF5"/>
          </w:tcPr>
          <w:p>
            <w:pPr>
              <w:spacing w:before="0" w:after="0" w:line="252" w:lineRule="auto"/>
              <w:jc w:val="center"/>
            </w:pPr>
            <w:r>
              <w:rPr>
                <w:rFonts w:ascii="Times New Roman" w:hAnsi="Times New Roman"/>
                <w:b/>
                <w:sz w:val="16"/>
              </w:rPr>
              <w:t>Val MAE SD (±)</w:t>
            </w:r>
          </w:p>
        </w:tc>
        <w:tc>
          <w:tcPr>
            <w:tcW w:type="dxa" w:w="897"/>
            <w:vAlign w:val="center"/>
            <w:tcW w:w="896"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6"/>
              </w:rPr>
              <w:t>Mean Train MAE</w:t>
            </w:r>
          </w:p>
        </w:tc>
        <w:tc>
          <w:tcPr>
            <w:tcW w:type="dxa" w:w="1017"/>
            <w:vAlign w:val="center"/>
            <w:tcW w:w="1017"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6"/>
              </w:rPr>
              <w:t>Train-Val Gap (</w:t>
            </w:r>
            <w:r>
              <w:rPr>
                <w:rFonts w:ascii="Cambria Math" w:hAnsi="Cambria Math"/>
                <w:b/>
                <w:sz w:val="16"/>
              </w:rPr>
              <w:t>Δ</w:t>
            </w:r>
            <w:r>
              <w:rPr>
                <w:rFonts w:ascii="Times New Roman" w:hAnsi="Times New Roman"/>
                <w:b/>
                <w:sz w:val="16"/>
              </w:rPr>
              <w:t>)</w:t>
            </w:r>
          </w:p>
        </w:tc>
        <w:tc>
          <w:tcPr>
            <w:tcW w:type="dxa" w:w="978"/>
            <w:vAlign w:val="center"/>
            <w:tcW w:w="978"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6"/>
              </w:rPr>
              <w:t>Grid Rank</w:t>
            </w:r>
          </w:p>
        </w:tc>
        <w:tc>
          <w:tcPr>
            <w:tcW w:type="dxa" w:w="2829"/>
            <w:vAlign w:val="center"/>
            <w:tcW w:w="2829"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6"/>
              </w:rPr>
              <w:t>Human Judgement Verdict &amp; Trade-off Analysis</w:t>
            </w:r>
          </w:p>
        </w:tc>
      </w:tr>
      <w:tr>
        <w:trPr>
          <w:cantSplit/>
        </w:trPr>
        <w:tc>
          <w:tcPr>
            <w:tcW w:type="dxa" w:w="1017"/>
            <w:vAlign w:val="center"/>
            <w:tcW w:w="1017"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Ridge Linear</w:t>
            </w:r>
          </w:p>
        </w:tc>
        <w:tc>
          <w:tcPr>
            <w:tcW w:type="dxa" w:w="1307"/>
            <w:vAlign w:val="center"/>
            <w:tcW w:w="1307"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α = 0.01</w:t>
            </w:r>
          </w:p>
        </w:tc>
        <w:tc>
          <w:tcPr>
            <w:tcW w:type="dxa" w:w="1094"/>
            <w:vAlign w:val="center"/>
            <w:tcW w:w="1093"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4.7950</w:t>
            </w:r>
          </w:p>
        </w:tc>
        <w:tc>
          <w:tcPr>
            <w:tcW w:type="dxa" w:w="897"/>
            <w:vAlign w:val="center"/>
            <w:tcW w:w="896"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0.0648</w:t>
            </w:r>
          </w:p>
        </w:tc>
        <w:tc>
          <w:tcPr>
            <w:tcW w:type="dxa" w:w="897"/>
            <w:vAlign w:val="center"/>
            <w:tcW w:w="896"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4.7871</w:t>
            </w:r>
          </w:p>
        </w:tc>
        <w:tc>
          <w:tcPr>
            <w:tcW w:type="dxa" w:w="1017"/>
            <w:vAlign w:val="center"/>
            <w:tcW w:w="1017"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+0.0079</w:t>
            </w:r>
            <w:r>
              <w:rPr>
                <w:rFonts w:ascii="Times New Roman" w:hAnsi="Times New Roman"/>
                <w:sz w:val="16"/>
              </w:rPr>
              <w:t>d</w:t>
            </w:r>
          </w:p>
        </w:tc>
        <w:tc>
          <w:tcPr>
            <w:tcW w:type="dxa" w:w="978"/>
            <w:vAlign w:val="center"/>
            <w:tcW w:w="978"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3</w:t>
            </w:r>
          </w:p>
        </w:tc>
        <w:tc>
          <w:tcPr>
            <w:tcW w:type="dxa" w:w="2829"/>
            <w:vAlign w:val="center"/>
            <w:tcW w:w="2829"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Under-regularized; insufficient shrinkage on correlated regional state dummies</w:t>
            </w:r>
          </w:p>
        </w:tc>
      </w:tr>
      <w:tr>
        <w:trPr>
          <w:cantSplit/>
        </w:trPr>
        <w:tc>
          <w:tcPr>
            <w:tcW w:type="dxa" w:w="1017"/>
            <w:vAlign w:val="center"/>
            <w:tcW w:w="1017" w:type="dxa"/>
            <w:tcMar>
              <w:top w:w="60" w:type="dxa"/>
              <w:bottom w:w="60" w:type="dxa"/>
              <w:left w:w="80" w:type="dxa"/>
              <w:right w:w="80" w:type="dxa"/>
            </w:tcMar>
          </w:tcPr>
          <w:p>
            <w:pPr>
              <w:spacing w:before="0" w:after="0" w:line="252" w:lineRule="auto"/>
              <w:jc w:val="left"/>
            </w:pPr>
            <w:r>
              <w:rPr>
                <w:rFonts w:ascii="Times New Roman" w:hAnsi="Times New Roman"/>
                <w:b/>
                <w:sz w:val="16"/>
              </w:rPr>
              <w:t>Ridge Linear</w:t>
            </w:r>
          </w:p>
        </w:tc>
        <w:tc>
          <w:tcPr>
            <w:tcW w:type="dxa" w:w="1307"/>
            <w:vAlign w:val="center"/>
            <w:tcW w:w="1307" w:type="dxa"/>
            <w:tcMar>
              <w:top w:w="60" w:type="dxa"/>
              <w:bottom w:w="60" w:type="dxa"/>
              <w:left w:w="80" w:type="dxa"/>
              <w:right w:w="80" w:type="dxa"/>
            </w:tcMar>
          </w:tcPr>
          <w:p>
            <w:pPr>
              <w:spacing w:before="0" w:after="0" w:line="252" w:lineRule="auto"/>
              <w:jc w:val="center"/>
            </w:pPr>
            <w:r>
              <w:rPr>
                <w:rFonts w:ascii="Cambria Math" w:hAnsi="Cambria Math"/>
                <w:sz w:val="16"/>
              </w:rPr>
              <w:t>α = 0.1</w:t>
            </w:r>
          </w:p>
        </w:tc>
        <w:tc>
          <w:tcPr>
            <w:tcW w:type="dxa" w:w="1094"/>
            <w:vAlign w:val="center"/>
            <w:tcW w:w="1093" w:type="dxa"/>
            <w:tcMar>
              <w:top w:w="60" w:type="dxa"/>
              <w:bottom w:w="60" w:type="dxa"/>
              <w:left w:w="80" w:type="dxa"/>
              <w:right w:w="80" w:type="dxa"/>
            </w:tcMar>
          </w:tcPr>
          <w:p>
            <w:pPr>
              <w:spacing w:before="0" w:after="0" w:line="252" w:lineRule="auto"/>
              <w:jc w:val="center"/>
            </w:pPr>
            <w:r>
              <w:rPr>
                <w:rFonts w:ascii="Cambria Math" w:hAnsi="Cambria Math"/>
                <w:sz w:val="16"/>
              </w:rPr>
              <w:t>4.7945</w:t>
            </w:r>
          </w:p>
        </w:tc>
        <w:tc>
          <w:tcPr>
            <w:tcW w:type="dxa" w:w="897"/>
            <w:vAlign w:val="center"/>
            <w:tcW w:w="896" w:type="dxa"/>
            <w:tcMar>
              <w:top w:w="60" w:type="dxa"/>
              <w:bottom w:w="60" w:type="dxa"/>
              <w:left w:w="80" w:type="dxa"/>
              <w:right w:w="80" w:type="dxa"/>
            </w:tcMar>
          </w:tcPr>
          <w:p>
            <w:pPr>
              <w:spacing w:before="0" w:after="0" w:line="252" w:lineRule="auto"/>
              <w:jc w:val="center"/>
            </w:pPr>
            <w:r>
              <w:rPr>
                <w:rFonts w:ascii="Cambria Math" w:hAnsi="Cambria Math"/>
                <w:sz w:val="16"/>
              </w:rPr>
              <w:t>0.0647</w:t>
            </w:r>
          </w:p>
        </w:tc>
        <w:tc>
          <w:tcPr>
            <w:tcW w:type="dxa" w:w="897"/>
            <w:vAlign w:val="center"/>
            <w:tcW w:w="896" w:type="dxa"/>
            <w:tcMar>
              <w:top w:w="60" w:type="dxa"/>
              <w:bottom w:w="60" w:type="dxa"/>
              <w:left w:w="80" w:type="dxa"/>
              <w:right w:w="80" w:type="dxa"/>
            </w:tcMar>
          </w:tcPr>
          <w:p>
            <w:pPr>
              <w:spacing w:before="0" w:after="0" w:line="252" w:lineRule="auto"/>
              <w:jc w:val="center"/>
            </w:pPr>
            <w:r>
              <w:rPr>
                <w:rFonts w:ascii="Cambria Math" w:hAnsi="Cambria Math"/>
                <w:sz w:val="16"/>
              </w:rPr>
              <w:t>4.7880</w:t>
            </w:r>
          </w:p>
        </w:tc>
        <w:tc>
          <w:tcPr>
            <w:tcW w:type="dxa" w:w="1017"/>
            <w:vAlign w:val="center"/>
            <w:tcW w:w="1017" w:type="dxa"/>
            <w:tcMar>
              <w:top w:w="60" w:type="dxa"/>
              <w:bottom w:w="60" w:type="dxa"/>
              <w:left w:w="80" w:type="dxa"/>
              <w:right w:w="80" w:type="dxa"/>
            </w:tcMar>
          </w:tcPr>
          <w:p>
            <w:pPr>
              <w:spacing w:before="0" w:after="0" w:line="252" w:lineRule="auto"/>
              <w:jc w:val="center"/>
            </w:pPr>
            <w:r>
              <w:rPr>
                <w:rFonts w:ascii="Cambria Math" w:hAnsi="Cambria Math"/>
                <w:sz w:val="16"/>
              </w:rPr>
              <w:t>+0.0065</w:t>
            </w:r>
            <w:r>
              <w:rPr>
                <w:rFonts w:ascii="Times New Roman" w:hAnsi="Times New Roman"/>
                <w:sz w:val="16"/>
              </w:rPr>
              <w:t>d</w:t>
            </w:r>
          </w:p>
        </w:tc>
        <w:tc>
          <w:tcPr>
            <w:tcW w:type="dxa" w:w="978"/>
            <w:vAlign w:val="center"/>
            <w:tcW w:w="978" w:type="dxa"/>
            <w:tcMar>
              <w:top w:w="60" w:type="dxa"/>
              <w:bottom w:w="60" w:type="dxa"/>
              <w:left w:w="80" w:type="dxa"/>
              <w:right w:w="80" w:type="dxa"/>
            </w:tcMar>
          </w:tcPr>
          <w:p>
            <w:pPr>
              <w:spacing w:before="0" w:after="0" w:line="252" w:lineRule="auto"/>
              <w:jc w:val="left"/>
            </w:pPr>
            <w:r>
              <w:rPr>
                <w:rFonts w:ascii="Times New Roman" w:hAnsi="Times New Roman"/>
                <w:sz w:val="16"/>
              </w:rPr>
              <w:t>2</w:t>
            </w:r>
          </w:p>
        </w:tc>
        <w:tc>
          <w:tcPr>
            <w:tcW w:type="dxa" w:w="2829"/>
            <w:vAlign w:val="center"/>
            <w:tcW w:w="2829" w:type="dxa"/>
            <w:tcMar>
              <w:top w:w="60" w:type="dxa"/>
              <w:bottom w:w="60" w:type="dxa"/>
              <w:left w:w="80" w:type="dxa"/>
              <w:right w:w="80" w:type="dxa"/>
            </w:tcMar>
          </w:tcPr>
          <w:p>
            <w:pPr>
              <w:spacing w:before="0" w:after="0" w:line="252" w:lineRule="auto"/>
              <w:jc w:val="left"/>
            </w:pPr>
            <w:r>
              <w:rPr>
                <w:rFonts w:ascii="Times New Roman" w:hAnsi="Times New Roman"/>
                <w:sz w:val="16"/>
              </w:rPr>
              <w:t>Near-optimal L2 shrinkage; negligible difference from champion</w:t>
            </w:r>
          </w:p>
        </w:tc>
      </w:tr>
      <w:tr>
        <w:trPr>
          <w:cantSplit/>
        </w:trPr>
        <w:tc>
          <w:tcPr>
            <w:tcW w:type="dxa" w:w="1017"/>
            <w:vAlign w:val="center"/>
            <w:tcW w:w="1017"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Ridge Linear</w:t>
            </w:r>
          </w:p>
        </w:tc>
        <w:tc>
          <w:tcPr>
            <w:tcW w:type="dxa" w:w="1307"/>
            <w:vAlign w:val="center"/>
            <w:tcW w:w="1307"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α = 1.0</w:t>
            </w:r>
          </w:p>
        </w:tc>
        <w:tc>
          <w:tcPr>
            <w:tcW w:type="dxa" w:w="1094"/>
            <w:vAlign w:val="center"/>
            <w:tcW w:w="1093"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4.7941</w:t>
            </w:r>
          </w:p>
        </w:tc>
        <w:tc>
          <w:tcPr>
            <w:tcW w:type="dxa" w:w="897"/>
            <w:vAlign w:val="center"/>
            <w:tcW w:w="896"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0.0646</w:t>
            </w:r>
          </w:p>
        </w:tc>
        <w:tc>
          <w:tcPr>
            <w:tcW w:type="dxa" w:w="897"/>
            <w:vAlign w:val="center"/>
            <w:tcW w:w="896"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4.7891</w:t>
            </w:r>
          </w:p>
        </w:tc>
        <w:tc>
          <w:tcPr>
            <w:tcW w:type="dxa" w:w="1017"/>
            <w:vAlign w:val="center"/>
            <w:tcW w:w="1017"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+0.0050d</w:t>
            </w:r>
          </w:p>
        </w:tc>
        <w:tc>
          <w:tcPr>
            <w:tcW w:type="dxa" w:w="978"/>
            <w:vAlign w:val="center"/>
            <w:tcW w:w="978"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1 (Selected)</w:t>
            </w:r>
          </w:p>
        </w:tc>
        <w:tc>
          <w:tcPr>
            <w:tcW w:type="dxa" w:w="2829"/>
            <w:vAlign w:val="center"/>
            <w:tcW w:w="2829"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b/>
                <w:sz w:val="16"/>
              </w:rPr>
              <w:t>Optimal Linear Champion</w:t>
            </w:r>
            <w:r>
              <w:rPr>
                <w:rFonts w:ascii="Times New Roman" w:hAnsi="Times New Roman"/>
                <w:sz w:val="16"/>
              </w:rPr>
              <w:t>: Perfect condition stability (</w:t>
            </w:r>
            <w:r>
              <w:rPr>
                <w:rFonts w:ascii="Cambria Math" w:hAnsi="Cambria Math"/>
                <w:sz w:val="16"/>
              </w:rPr>
              <w:t>κ = 70.8</w:t>
            </w:r>
            <w:r>
              <w:rPr>
                <w:rFonts w:ascii="Times New Roman" w:hAnsi="Times New Roman"/>
                <w:sz w:val="16"/>
              </w:rPr>
              <w:t>), lowest CV MAE</w:t>
            </w:r>
          </w:p>
        </w:tc>
      </w:tr>
      <w:tr>
        <w:trPr>
          <w:cantSplit/>
        </w:trPr>
        <w:tc>
          <w:tcPr>
            <w:tcW w:type="dxa" w:w="1017"/>
            <w:vAlign w:val="center"/>
            <w:tcW w:w="1017" w:type="dxa"/>
            <w:tcMar>
              <w:top w:w="60" w:type="dxa"/>
              <w:bottom w:w="60" w:type="dxa"/>
              <w:left w:w="80" w:type="dxa"/>
              <w:right w:w="80" w:type="dxa"/>
            </w:tcMar>
          </w:tcPr>
          <w:p>
            <w:pPr>
              <w:spacing w:before="0" w:after="0" w:line="252" w:lineRule="auto"/>
              <w:jc w:val="left"/>
            </w:pPr>
            <w:r>
              <w:rPr>
                <w:rFonts w:ascii="Times New Roman" w:hAnsi="Times New Roman"/>
                <w:b/>
                <w:sz w:val="16"/>
              </w:rPr>
              <w:t>Ridge Linear</w:t>
            </w:r>
          </w:p>
        </w:tc>
        <w:tc>
          <w:tcPr>
            <w:tcW w:type="dxa" w:w="1307"/>
            <w:vAlign w:val="center"/>
            <w:tcW w:w="1307" w:type="dxa"/>
            <w:tcMar>
              <w:top w:w="60" w:type="dxa"/>
              <w:bottom w:w="60" w:type="dxa"/>
              <w:left w:w="80" w:type="dxa"/>
              <w:right w:w="80" w:type="dxa"/>
            </w:tcMar>
          </w:tcPr>
          <w:p>
            <w:pPr>
              <w:spacing w:before="0" w:after="0" w:line="252" w:lineRule="auto"/>
              <w:jc w:val="center"/>
            </w:pPr>
            <w:r>
              <w:rPr>
                <w:rFonts w:ascii="Cambria Math" w:hAnsi="Cambria Math"/>
                <w:sz w:val="16"/>
              </w:rPr>
              <w:t>α = 10.0</w:t>
            </w:r>
          </w:p>
        </w:tc>
        <w:tc>
          <w:tcPr>
            <w:tcW w:type="dxa" w:w="1094"/>
            <w:vAlign w:val="center"/>
            <w:tcW w:w="1093" w:type="dxa"/>
            <w:tcMar>
              <w:top w:w="60" w:type="dxa"/>
              <w:bottom w:w="60" w:type="dxa"/>
              <w:left w:w="80" w:type="dxa"/>
              <w:right w:w="80" w:type="dxa"/>
            </w:tcMar>
          </w:tcPr>
          <w:p>
            <w:pPr>
              <w:spacing w:before="0" w:after="0" w:line="252" w:lineRule="auto"/>
              <w:jc w:val="center"/>
            </w:pPr>
            <w:r>
              <w:rPr>
                <w:rFonts w:ascii="Cambria Math" w:hAnsi="Cambria Math"/>
                <w:sz w:val="16"/>
              </w:rPr>
              <w:t>4.8124</w:t>
            </w:r>
          </w:p>
        </w:tc>
        <w:tc>
          <w:tcPr>
            <w:tcW w:type="dxa" w:w="897"/>
            <w:vAlign w:val="center"/>
            <w:tcW w:w="896" w:type="dxa"/>
            <w:tcMar>
              <w:top w:w="60" w:type="dxa"/>
              <w:bottom w:w="60" w:type="dxa"/>
              <w:left w:w="80" w:type="dxa"/>
              <w:right w:w="80" w:type="dxa"/>
            </w:tcMar>
          </w:tcPr>
          <w:p>
            <w:pPr>
              <w:spacing w:before="0" w:after="0" w:line="252" w:lineRule="auto"/>
              <w:jc w:val="center"/>
            </w:pPr>
            <w:r>
              <w:rPr>
                <w:rFonts w:ascii="Cambria Math" w:hAnsi="Cambria Math"/>
                <w:sz w:val="16"/>
              </w:rPr>
              <w:t>0.0658</w:t>
            </w:r>
          </w:p>
        </w:tc>
        <w:tc>
          <w:tcPr>
            <w:tcW w:type="dxa" w:w="897"/>
            <w:vAlign w:val="center"/>
            <w:tcW w:w="896" w:type="dxa"/>
            <w:tcMar>
              <w:top w:w="60" w:type="dxa"/>
              <w:bottom w:w="60" w:type="dxa"/>
              <w:left w:w="80" w:type="dxa"/>
              <w:right w:w="80" w:type="dxa"/>
            </w:tcMar>
          </w:tcPr>
          <w:p>
            <w:pPr>
              <w:spacing w:before="0" w:after="0" w:line="252" w:lineRule="auto"/>
              <w:jc w:val="center"/>
            </w:pPr>
            <w:r>
              <w:rPr>
                <w:rFonts w:ascii="Cambria Math" w:hAnsi="Cambria Math"/>
                <w:sz w:val="16"/>
              </w:rPr>
              <w:t>4.8052</w:t>
            </w:r>
          </w:p>
        </w:tc>
        <w:tc>
          <w:tcPr>
            <w:tcW w:type="dxa" w:w="1017"/>
            <w:vAlign w:val="center"/>
            <w:tcW w:w="1017" w:type="dxa"/>
            <w:tcMar>
              <w:top w:w="60" w:type="dxa"/>
              <w:bottom w:w="60" w:type="dxa"/>
              <w:left w:w="80" w:type="dxa"/>
              <w:right w:w="80" w:type="dxa"/>
            </w:tcMar>
          </w:tcPr>
          <w:p>
            <w:pPr>
              <w:spacing w:before="0" w:after="0" w:line="252" w:lineRule="auto"/>
              <w:jc w:val="center"/>
            </w:pPr>
            <w:r>
              <w:rPr>
                <w:rFonts w:ascii="Cambria Math" w:hAnsi="Cambria Math"/>
                <w:sz w:val="16"/>
              </w:rPr>
              <w:t>+0.0072</w:t>
            </w:r>
            <w:r>
              <w:rPr>
                <w:rFonts w:ascii="Times New Roman" w:hAnsi="Times New Roman"/>
                <w:sz w:val="16"/>
              </w:rPr>
              <w:t>d</w:t>
            </w:r>
          </w:p>
        </w:tc>
        <w:tc>
          <w:tcPr>
            <w:tcW w:type="dxa" w:w="978"/>
            <w:vAlign w:val="center"/>
            <w:tcW w:w="978" w:type="dxa"/>
            <w:tcMar>
              <w:top w:w="60" w:type="dxa"/>
              <w:bottom w:w="60" w:type="dxa"/>
              <w:left w:w="80" w:type="dxa"/>
              <w:right w:w="80" w:type="dxa"/>
            </w:tcMar>
          </w:tcPr>
          <w:p>
            <w:pPr>
              <w:spacing w:before="0" w:after="0" w:line="252" w:lineRule="auto"/>
              <w:jc w:val="left"/>
            </w:pPr>
            <w:r>
              <w:rPr>
                <w:rFonts w:ascii="Times New Roman" w:hAnsi="Times New Roman"/>
                <w:sz w:val="16"/>
              </w:rPr>
              <w:t>4</w:t>
            </w:r>
          </w:p>
        </w:tc>
        <w:tc>
          <w:tcPr>
            <w:tcW w:type="dxa" w:w="2829"/>
            <w:vAlign w:val="center"/>
            <w:tcW w:w="2829" w:type="dxa"/>
            <w:tcMar>
              <w:top w:w="60" w:type="dxa"/>
              <w:bottom w:w="60" w:type="dxa"/>
              <w:left w:w="80" w:type="dxa"/>
              <w:right w:w="80" w:type="dxa"/>
            </w:tcMar>
          </w:tcPr>
          <w:p>
            <w:pPr>
              <w:spacing w:before="0" w:after="0" w:line="252" w:lineRule="auto"/>
              <w:jc w:val="left"/>
            </w:pPr>
            <w:r>
              <w:rPr>
                <w:rFonts w:ascii="Times New Roman" w:hAnsi="Times New Roman"/>
                <w:sz w:val="16"/>
              </w:rPr>
              <w:t>Mild over-regularization; begins attenuating long-haul transit coefficients</w:t>
            </w:r>
          </w:p>
        </w:tc>
      </w:tr>
      <w:tr>
        <w:trPr>
          <w:cantSplit/>
        </w:trPr>
        <w:tc>
          <w:tcPr>
            <w:tcW w:type="dxa" w:w="1017"/>
            <w:vAlign w:val="center"/>
            <w:tcW w:w="1017"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Ridge Linear</w:t>
            </w:r>
          </w:p>
        </w:tc>
        <w:tc>
          <w:tcPr>
            <w:tcW w:type="dxa" w:w="1307"/>
            <w:vAlign w:val="center"/>
            <w:tcW w:w="1307"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α = 100.0</w:t>
            </w:r>
          </w:p>
        </w:tc>
        <w:tc>
          <w:tcPr>
            <w:tcW w:type="dxa" w:w="1094"/>
            <w:vAlign w:val="center"/>
            <w:tcW w:w="1093"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4.9452</w:t>
            </w:r>
          </w:p>
        </w:tc>
        <w:tc>
          <w:tcPr>
            <w:tcW w:type="dxa" w:w="897"/>
            <w:vAlign w:val="center"/>
            <w:tcW w:w="896"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0.0681</w:t>
            </w:r>
          </w:p>
        </w:tc>
        <w:tc>
          <w:tcPr>
            <w:tcW w:type="dxa" w:w="897"/>
            <w:vAlign w:val="center"/>
            <w:tcW w:w="896"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4.9350</w:t>
            </w:r>
          </w:p>
        </w:tc>
        <w:tc>
          <w:tcPr>
            <w:tcW w:type="dxa" w:w="1017"/>
            <w:vAlign w:val="center"/>
            <w:tcW w:w="1017"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+0.0102</w:t>
            </w:r>
            <w:r>
              <w:rPr>
                <w:rFonts w:ascii="Times New Roman" w:hAnsi="Times New Roman"/>
                <w:sz w:val="16"/>
              </w:rPr>
              <w:t>d</w:t>
            </w:r>
          </w:p>
        </w:tc>
        <w:tc>
          <w:tcPr>
            <w:tcW w:type="dxa" w:w="978"/>
            <w:vAlign w:val="center"/>
            <w:tcW w:w="978"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5</w:t>
            </w:r>
          </w:p>
        </w:tc>
        <w:tc>
          <w:tcPr>
            <w:tcW w:type="dxa" w:w="2829"/>
            <w:vAlign w:val="center"/>
            <w:tcW w:w="2829"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Excessive shrinkage; underfits regional freight and distance variance</w:t>
            </w:r>
          </w:p>
        </w:tc>
      </w:tr>
      <w:tr>
        <w:trPr>
          <w:cantSplit/>
        </w:trPr>
        <w:tc>
          <w:tcPr>
            <w:tcW w:type="dxa" w:w="1017"/>
            <w:vAlign w:val="center"/>
            <w:tcW w:w="1017" w:type="dxa"/>
            <w:tcMar>
              <w:top w:w="60" w:type="dxa"/>
              <w:bottom w:w="60" w:type="dxa"/>
              <w:left w:w="80" w:type="dxa"/>
              <w:right w:w="80" w:type="dxa"/>
            </w:tcMar>
          </w:tcPr>
          <w:p>
            <w:pPr>
              <w:spacing w:before="0" w:after="0" w:line="252" w:lineRule="auto"/>
              <w:jc w:val="left"/>
            </w:pPr>
            <w:r>
              <w:rPr>
                <w:rFonts w:ascii="Times New Roman" w:hAnsi="Times New Roman"/>
                <w:b/>
                <w:sz w:val="16"/>
              </w:rPr>
              <w:t>Ridge Linear</w:t>
            </w:r>
          </w:p>
        </w:tc>
        <w:tc>
          <w:tcPr>
            <w:tcW w:type="dxa" w:w="1307"/>
            <w:vAlign w:val="center"/>
            <w:tcW w:w="1307" w:type="dxa"/>
            <w:tcMar>
              <w:top w:w="60" w:type="dxa"/>
              <w:bottom w:w="60" w:type="dxa"/>
              <w:left w:w="80" w:type="dxa"/>
              <w:right w:w="80" w:type="dxa"/>
            </w:tcMar>
          </w:tcPr>
          <w:p>
            <w:pPr>
              <w:spacing w:before="0" w:after="0" w:line="252" w:lineRule="auto"/>
              <w:jc w:val="center"/>
            </w:pPr>
            <w:r>
              <w:rPr>
                <w:rFonts w:ascii="Cambria Math" w:hAnsi="Cambria Math"/>
                <w:sz w:val="16"/>
              </w:rPr>
              <w:t>α = 500.0</w:t>
            </w:r>
          </w:p>
        </w:tc>
        <w:tc>
          <w:tcPr>
            <w:tcW w:type="dxa" w:w="1094"/>
            <w:vAlign w:val="center"/>
            <w:tcW w:w="1093" w:type="dxa"/>
            <w:tcMar>
              <w:top w:w="60" w:type="dxa"/>
              <w:bottom w:w="60" w:type="dxa"/>
              <w:left w:w="80" w:type="dxa"/>
              <w:right w:w="80" w:type="dxa"/>
            </w:tcMar>
          </w:tcPr>
          <w:p>
            <w:pPr>
              <w:spacing w:before="0" w:after="0" w:line="252" w:lineRule="auto"/>
              <w:jc w:val="center"/>
            </w:pPr>
            <w:r>
              <w:rPr>
                <w:rFonts w:ascii="Cambria Math" w:hAnsi="Cambria Math"/>
                <w:sz w:val="16"/>
              </w:rPr>
              <w:t>5.1205</w:t>
            </w:r>
          </w:p>
        </w:tc>
        <w:tc>
          <w:tcPr>
            <w:tcW w:type="dxa" w:w="897"/>
            <w:vAlign w:val="center"/>
            <w:tcW w:w="896" w:type="dxa"/>
            <w:tcMar>
              <w:top w:w="60" w:type="dxa"/>
              <w:bottom w:w="60" w:type="dxa"/>
              <w:left w:w="80" w:type="dxa"/>
              <w:right w:w="80" w:type="dxa"/>
            </w:tcMar>
          </w:tcPr>
          <w:p>
            <w:pPr>
              <w:spacing w:before="0" w:after="0" w:line="252" w:lineRule="auto"/>
              <w:jc w:val="center"/>
            </w:pPr>
            <w:r>
              <w:rPr>
                <w:rFonts w:ascii="Cambria Math" w:hAnsi="Cambria Math"/>
                <w:sz w:val="16"/>
              </w:rPr>
              <w:t>0.0724</w:t>
            </w:r>
          </w:p>
        </w:tc>
        <w:tc>
          <w:tcPr>
            <w:tcW w:type="dxa" w:w="897"/>
            <w:vAlign w:val="center"/>
            <w:tcW w:w="896" w:type="dxa"/>
            <w:tcMar>
              <w:top w:w="60" w:type="dxa"/>
              <w:bottom w:w="60" w:type="dxa"/>
              <w:left w:w="80" w:type="dxa"/>
              <w:right w:w="80" w:type="dxa"/>
            </w:tcMar>
          </w:tcPr>
          <w:p>
            <w:pPr>
              <w:spacing w:before="0" w:after="0" w:line="252" w:lineRule="auto"/>
              <w:jc w:val="center"/>
            </w:pPr>
            <w:r>
              <w:rPr>
                <w:rFonts w:ascii="Cambria Math" w:hAnsi="Cambria Math"/>
                <w:sz w:val="16"/>
              </w:rPr>
              <w:t>5.1102</w:t>
            </w:r>
          </w:p>
        </w:tc>
        <w:tc>
          <w:tcPr>
            <w:tcW w:type="dxa" w:w="1017"/>
            <w:vAlign w:val="center"/>
            <w:tcW w:w="1017" w:type="dxa"/>
            <w:tcMar>
              <w:top w:w="60" w:type="dxa"/>
              <w:bottom w:w="60" w:type="dxa"/>
              <w:left w:w="80" w:type="dxa"/>
              <w:right w:w="80" w:type="dxa"/>
            </w:tcMar>
          </w:tcPr>
          <w:p>
            <w:pPr>
              <w:spacing w:before="0" w:after="0" w:line="252" w:lineRule="auto"/>
              <w:jc w:val="center"/>
            </w:pPr>
            <w:r>
              <w:rPr>
                <w:rFonts w:ascii="Cambria Math" w:hAnsi="Cambria Math"/>
                <w:sz w:val="16"/>
              </w:rPr>
              <w:t>+0.0103</w:t>
            </w:r>
            <w:r>
              <w:rPr>
                <w:rFonts w:ascii="Times New Roman" w:hAnsi="Times New Roman"/>
                <w:sz w:val="16"/>
              </w:rPr>
              <w:t>d</w:t>
            </w:r>
          </w:p>
        </w:tc>
        <w:tc>
          <w:tcPr>
            <w:tcW w:type="dxa" w:w="978"/>
            <w:vAlign w:val="center"/>
            <w:tcW w:w="978" w:type="dxa"/>
            <w:tcMar>
              <w:top w:w="60" w:type="dxa"/>
              <w:bottom w:w="60" w:type="dxa"/>
              <w:left w:w="80" w:type="dxa"/>
              <w:right w:w="80" w:type="dxa"/>
            </w:tcMar>
          </w:tcPr>
          <w:p>
            <w:pPr>
              <w:spacing w:before="0" w:after="0" w:line="252" w:lineRule="auto"/>
              <w:jc w:val="left"/>
            </w:pPr>
            <w:r>
              <w:rPr>
                <w:rFonts w:ascii="Times New Roman" w:hAnsi="Times New Roman"/>
                <w:sz w:val="16"/>
              </w:rPr>
              <w:t>6</w:t>
            </w:r>
          </w:p>
        </w:tc>
        <w:tc>
          <w:tcPr>
            <w:tcW w:type="dxa" w:w="2829"/>
            <w:vAlign w:val="center"/>
            <w:tcW w:w="2829" w:type="dxa"/>
            <w:tcMar>
              <w:top w:w="60" w:type="dxa"/>
              <w:bottom w:w="60" w:type="dxa"/>
              <w:left w:w="80" w:type="dxa"/>
              <w:right w:w="80" w:type="dxa"/>
            </w:tcMar>
          </w:tcPr>
          <w:p>
            <w:pPr>
              <w:spacing w:before="0" w:after="0" w:line="252" w:lineRule="auto"/>
              <w:jc w:val="left"/>
            </w:pPr>
            <w:r>
              <w:rPr>
                <w:rFonts w:ascii="Times New Roman" w:hAnsi="Times New Roman"/>
                <w:sz w:val="16"/>
              </w:rPr>
              <w:t>Severe over-regularization; parameters collapse toward global intercept</w:t>
            </w:r>
          </w:p>
        </w:tc>
      </w:tr>
      <w:tr>
        <w:trPr>
          <w:cantSplit/>
        </w:trPr>
        <w:tc>
          <w:tcPr>
            <w:tcW w:type="dxa" w:w="1017"/>
            <w:vAlign w:val="center"/>
            <w:tcW w:w="1017"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Decision Tree</w:t>
            </w:r>
          </w:p>
        </w:tc>
        <w:tc>
          <w:tcPr>
            <w:tcW w:type="dxa" w:w="1307"/>
            <w:vAlign w:val="center"/>
            <w:tcW w:w="1307" w:type="dxa"/>
            <w:tcMar>
              <w:top w:w="60" w:type="dxa"/>
              <w:bottom w:w="60" w:type="dxa"/>
              <w:left w:w="80" w:type="dxa"/>
              <w:right w:w="80" w:type="dxa"/>
            </w:tcMar>
            <w:shd w:val="clear" w:color="auto" w:fill="F8FAFC"/>
          </w:tcPr>
          <w:p>
            <w:pPr>
              <w:spacing w:before="0" w:after="0" w:line="252" w:lineRule="auto"/>
              <w:jc w:val="left"/>
            </w:pPr>
            <w:r>
              <w:rPr>
                <w:rFonts w:ascii="Cambria Math" w:hAnsi="Cambria Math"/>
                <w:sz w:val="16"/>
              </w:rPr>
              <w:t>d=4, L=20</w:t>
            </w:r>
          </w:p>
        </w:tc>
        <w:tc>
          <w:tcPr>
            <w:tcW w:type="dxa" w:w="1094"/>
            <w:vAlign w:val="center"/>
            <w:tcW w:w="1093"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5.1820</w:t>
            </w:r>
          </w:p>
        </w:tc>
        <w:tc>
          <w:tcPr>
            <w:tcW w:type="dxa" w:w="897"/>
            <w:vAlign w:val="center"/>
            <w:tcW w:w="896"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0.0721</w:t>
            </w:r>
          </w:p>
        </w:tc>
        <w:tc>
          <w:tcPr>
            <w:tcW w:type="dxa" w:w="897"/>
            <w:vAlign w:val="center"/>
            <w:tcW w:w="896"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5.1410</w:t>
            </w:r>
          </w:p>
        </w:tc>
        <w:tc>
          <w:tcPr>
            <w:tcW w:type="dxa" w:w="1017"/>
            <w:vAlign w:val="center"/>
            <w:tcW w:w="1017"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+0.0410</w:t>
            </w:r>
            <w:r>
              <w:rPr>
                <w:rFonts w:ascii="Times New Roman" w:hAnsi="Times New Roman"/>
                <w:sz w:val="16"/>
              </w:rPr>
              <w:t>d</w:t>
            </w:r>
          </w:p>
        </w:tc>
        <w:tc>
          <w:tcPr>
            <w:tcW w:type="dxa" w:w="978"/>
            <w:vAlign w:val="center"/>
            <w:tcW w:w="978"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16</w:t>
            </w:r>
          </w:p>
        </w:tc>
        <w:tc>
          <w:tcPr>
            <w:tcW w:type="dxa" w:w="2829"/>
            <w:vAlign w:val="center"/>
            <w:tcW w:w="2829"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Severe underfitting; depth 4 cannot partition continuous Haversine distance</w:t>
            </w:r>
          </w:p>
        </w:tc>
      </w:tr>
      <w:tr>
        <w:trPr>
          <w:cantSplit/>
        </w:trPr>
        <w:tc>
          <w:tcPr>
            <w:tcW w:type="dxa" w:w="1017"/>
            <w:vAlign w:val="center"/>
            <w:tcW w:w="1017" w:type="dxa"/>
            <w:tcMar>
              <w:top w:w="60" w:type="dxa"/>
              <w:bottom w:w="60" w:type="dxa"/>
              <w:left w:w="80" w:type="dxa"/>
              <w:right w:w="80" w:type="dxa"/>
            </w:tcMar>
          </w:tcPr>
          <w:p>
            <w:pPr>
              <w:spacing w:before="0" w:after="0" w:line="252" w:lineRule="auto"/>
              <w:jc w:val="left"/>
            </w:pPr>
            <w:r>
              <w:rPr>
                <w:rFonts w:ascii="Times New Roman" w:hAnsi="Times New Roman"/>
                <w:b/>
                <w:sz w:val="16"/>
              </w:rPr>
              <w:t>Decision Tree</w:t>
            </w:r>
          </w:p>
        </w:tc>
        <w:tc>
          <w:tcPr>
            <w:tcW w:type="dxa" w:w="1307"/>
            <w:vAlign w:val="center"/>
            <w:tcW w:w="1307" w:type="dxa"/>
            <w:tcMar>
              <w:top w:w="60" w:type="dxa"/>
              <w:bottom w:w="60" w:type="dxa"/>
              <w:left w:w="80" w:type="dxa"/>
              <w:right w:w="80" w:type="dxa"/>
            </w:tcMar>
          </w:tcPr>
          <w:p>
            <w:pPr>
              <w:spacing w:before="0" w:after="0" w:line="252" w:lineRule="auto"/>
              <w:jc w:val="left"/>
            </w:pPr>
            <w:r>
              <w:rPr>
                <w:rFonts w:ascii="Cambria Math" w:hAnsi="Cambria Math"/>
                <w:sz w:val="16"/>
              </w:rPr>
              <w:t>d=4, L=50</w:t>
            </w:r>
          </w:p>
        </w:tc>
        <w:tc>
          <w:tcPr>
            <w:tcW w:type="dxa" w:w="1094"/>
            <w:vAlign w:val="center"/>
            <w:tcW w:w="1093" w:type="dxa"/>
            <w:tcMar>
              <w:top w:w="60" w:type="dxa"/>
              <w:bottom w:w="60" w:type="dxa"/>
              <w:left w:w="80" w:type="dxa"/>
              <w:right w:w="80" w:type="dxa"/>
            </w:tcMar>
          </w:tcPr>
          <w:p>
            <w:pPr>
              <w:spacing w:before="0" w:after="0" w:line="252" w:lineRule="auto"/>
              <w:jc w:val="center"/>
            </w:pPr>
            <w:r>
              <w:rPr>
                <w:rFonts w:ascii="Cambria Math" w:hAnsi="Cambria Math"/>
                <w:sz w:val="16"/>
              </w:rPr>
              <w:t>5.1740</w:t>
            </w:r>
          </w:p>
        </w:tc>
        <w:tc>
          <w:tcPr>
            <w:tcW w:type="dxa" w:w="897"/>
            <w:vAlign w:val="center"/>
            <w:tcW w:w="896" w:type="dxa"/>
            <w:tcMar>
              <w:top w:w="60" w:type="dxa"/>
              <w:bottom w:w="60" w:type="dxa"/>
              <w:left w:w="80" w:type="dxa"/>
              <w:right w:w="80" w:type="dxa"/>
            </w:tcMar>
          </w:tcPr>
          <w:p>
            <w:pPr>
              <w:spacing w:before="0" w:after="0" w:line="252" w:lineRule="auto"/>
              <w:jc w:val="center"/>
            </w:pPr>
            <w:r>
              <w:rPr>
                <w:rFonts w:ascii="Cambria Math" w:hAnsi="Cambria Math"/>
                <w:sz w:val="16"/>
              </w:rPr>
              <w:t>0.0719</w:t>
            </w:r>
          </w:p>
        </w:tc>
        <w:tc>
          <w:tcPr>
            <w:tcW w:type="dxa" w:w="897"/>
            <w:vAlign w:val="center"/>
            <w:tcW w:w="896" w:type="dxa"/>
            <w:tcMar>
              <w:top w:w="60" w:type="dxa"/>
              <w:bottom w:w="60" w:type="dxa"/>
              <w:left w:w="80" w:type="dxa"/>
              <w:right w:w="80" w:type="dxa"/>
            </w:tcMar>
          </w:tcPr>
          <w:p>
            <w:pPr>
              <w:spacing w:before="0" w:after="0" w:line="252" w:lineRule="auto"/>
              <w:jc w:val="center"/>
            </w:pPr>
            <w:r>
              <w:rPr>
                <w:rFonts w:ascii="Cambria Math" w:hAnsi="Cambria Math"/>
                <w:sz w:val="16"/>
              </w:rPr>
              <w:t>5.1432</w:t>
            </w:r>
          </w:p>
        </w:tc>
        <w:tc>
          <w:tcPr>
            <w:tcW w:type="dxa" w:w="1017"/>
            <w:vAlign w:val="center"/>
            <w:tcW w:w="1017" w:type="dxa"/>
            <w:tcMar>
              <w:top w:w="60" w:type="dxa"/>
              <w:bottom w:w="60" w:type="dxa"/>
              <w:left w:w="80" w:type="dxa"/>
              <w:right w:w="80" w:type="dxa"/>
            </w:tcMar>
          </w:tcPr>
          <w:p>
            <w:pPr>
              <w:spacing w:before="0" w:after="0" w:line="252" w:lineRule="auto"/>
              <w:jc w:val="center"/>
            </w:pPr>
            <w:r>
              <w:rPr>
                <w:rFonts w:ascii="Cambria Math" w:hAnsi="Cambria Math"/>
                <w:sz w:val="16"/>
              </w:rPr>
              <w:t>+0.0308</w:t>
            </w:r>
            <w:r>
              <w:rPr>
                <w:rFonts w:ascii="Times New Roman" w:hAnsi="Times New Roman"/>
                <w:sz w:val="16"/>
              </w:rPr>
              <w:t>d</w:t>
            </w:r>
          </w:p>
        </w:tc>
        <w:tc>
          <w:tcPr>
            <w:tcW w:type="dxa" w:w="978"/>
            <w:vAlign w:val="center"/>
            <w:tcW w:w="978" w:type="dxa"/>
            <w:tcMar>
              <w:top w:w="60" w:type="dxa"/>
              <w:bottom w:w="60" w:type="dxa"/>
              <w:left w:w="80" w:type="dxa"/>
              <w:right w:w="80" w:type="dxa"/>
            </w:tcMar>
          </w:tcPr>
          <w:p>
            <w:pPr>
              <w:spacing w:before="0" w:after="0" w:line="252" w:lineRule="auto"/>
              <w:jc w:val="left"/>
            </w:pPr>
            <w:r>
              <w:rPr>
                <w:rFonts w:ascii="Times New Roman" w:hAnsi="Times New Roman"/>
                <w:sz w:val="16"/>
              </w:rPr>
              <w:t>15</w:t>
            </w:r>
          </w:p>
        </w:tc>
        <w:tc>
          <w:tcPr>
            <w:tcW w:type="dxa" w:w="2829"/>
            <w:vAlign w:val="center"/>
            <w:tcW w:w="2829" w:type="dxa"/>
            <w:tcMar>
              <w:top w:w="60" w:type="dxa"/>
              <w:bottom w:w="60" w:type="dxa"/>
              <w:left w:w="80" w:type="dxa"/>
              <w:right w:w="80" w:type="dxa"/>
            </w:tcMar>
          </w:tcPr>
          <w:p>
            <w:pPr>
              <w:spacing w:before="0" w:after="0" w:line="252" w:lineRule="auto"/>
              <w:jc w:val="left"/>
            </w:pPr>
            <w:r>
              <w:rPr>
                <w:rFonts w:ascii="Times New Roman" w:hAnsi="Times New Roman"/>
                <w:sz w:val="16"/>
              </w:rPr>
              <w:t>Severe underfitting; coarse geographical groupings</w:t>
            </w:r>
          </w:p>
        </w:tc>
      </w:tr>
      <w:tr>
        <w:trPr>
          <w:cantSplit/>
        </w:trPr>
        <w:tc>
          <w:tcPr>
            <w:tcW w:type="dxa" w:w="1017"/>
            <w:vAlign w:val="center"/>
            <w:tcW w:w="1017"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Decision Tree</w:t>
            </w:r>
          </w:p>
        </w:tc>
        <w:tc>
          <w:tcPr>
            <w:tcW w:type="dxa" w:w="1307"/>
            <w:vAlign w:val="center"/>
            <w:tcW w:w="1307" w:type="dxa"/>
            <w:tcMar>
              <w:top w:w="60" w:type="dxa"/>
              <w:bottom w:w="60" w:type="dxa"/>
              <w:left w:w="80" w:type="dxa"/>
              <w:right w:w="80" w:type="dxa"/>
            </w:tcMar>
            <w:shd w:val="clear" w:color="auto" w:fill="F8FAFC"/>
          </w:tcPr>
          <w:p>
            <w:pPr>
              <w:spacing w:before="0" w:after="0" w:line="252" w:lineRule="auto"/>
              <w:jc w:val="left"/>
            </w:pPr>
            <w:r>
              <w:rPr>
                <w:rFonts w:ascii="Cambria Math" w:hAnsi="Cambria Math"/>
                <w:sz w:val="16"/>
              </w:rPr>
              <w:t>d=4, L=100</w:t>
            </w:r>
          </w:p>
        </w:tc>
        <w:tc>
          <w:tcPr>
            <w:tcW w:type="dxa" w:w="1094"/>
            <w:vAlign w:val="center"/>
            <w:tcW w:w="1093"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5.1610</w:t>
            </w:r>
          </w:p>
        </w:tc>
        <w:tc>
          <w:tcPr>
            <w:tcW w:type="dxa" w:w="897"/>
            <w:vAlign w:val="center"/>
            <w:tcW w:w="896"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0.0715</w:t>
            </w:r>
          </w:p>
        </w:tc>
        <w:tc>
          <w:tcPr>
            <w:tcW w:type="dxa" w:w="897"/>
            <w:vAlign w:val="center"/>
            <w:tcW w:w="896"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5.1480</w:t>
            </w:r>
          </w:p>
        </w:tc>
        <w:tc>
          <w:tcPr>
            <w:tcW w:type="dxa" w:w="1017"/>
            <w:vAlign w:val="center"/>
            <w:tcW w:w="1017"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+0.0130</w:t>
            </w:r>
            <w:r>
              <w:rPr>
                <w:rFonts w:ascii="Times New Roman" w:hAnsi="Times New Roman"/>
                <w:sz w:val="16"/>
              </w:rPr>
              <w:t>d</w:t>
            </w:r>
          </w:p>
        </w:tc>
        <w:tc>
          <w:tcPr>
            <w:tcW w:type="dxa" w:w="978"/>
            <w:vAlign w:val="center"/>
            <w:tcW w:w="978"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14</w:t>
            </w:r>
          </w:p>
        </w:tc>
        <w:tc>
          <w:tcPr>
            <w:tcW w:type="dxa" w:w="2829"/>
            <w:vAlign w:val="center"/>
            <w:tcW w:w="2829"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Severe underfitting</w:t>
            </w:r>
          </w:p>
        </w:tc>
      </w:tr>
      <w:tr>
        <w:trPr>
          <w:cantSplit/>
        </w:trPr>
        <w:tc>
          <w:tcPr>
            <w:tcW w:type="dxa" w:w="1017"/>
            <w:vAlign w:val="center"/>
            <w:tcW w:w="1017" w:type="dxa"/>
            <w:tcMar>
              <w:top w:w="60" w:type="dxa"/>
              <w:bottom w:w="60" w:type="dxa"/>
              <w:left w:w="80" w:type="dxa"/>
              <w:right w:w="80" w:type="dxa"/>
            </w:tcMar>
          </w:tcPr>
          <w:p>
            <w:pPr>
              <w:spacing w:before="0" w:after="0" w:line="252" w:lineRule="auto"/>
              <w:jc w:val="left"/>
            </w:pPr>
            <w:r>
              <w:rPr>
                <w:rFonts w:ascii="Times New Roman" w:hAnsi="Times New Roman"/>
                <w:b/>
                <w:sz w:val="16"/>
              </w:rPr>
              <w:t>Decision Tree</w:t>
            </w:r>
          </w:p>
        </w:tc>
        <w:tc>
          <w:tcPr>
            <w:tcW w:type="dxa" w:w="1307"/>
            <w:vAlign w:val="center"/>
            <w:tcW w:w="1307" w:type="dxa"/>
            <w:tcMar>
              <w:top w:w="60" w:type="dxa"/>
              <w:bottom w:w="60" w:type="dxa"/>
              <w:left w:w="80" w:type="dxa"/>
              <w:right w:w="80" w:type="dxa"/>
            </w:tcMar>
          </w:tcPr>
          <w:p>
            <w:pPr>
              <w:spacing w:before="0" w:after="0" w:line="252" w:lineRule="auto"/>
              <w:jc w:val="left"/>
            </w:pPr>
            <w:r>
              <w:rPr>
                <w:rFonts w:ascii="Cambria Math" w:hAnsi="Cambria Math"/>
                <w:sz w:val="16"/>
              </w:rPr>
              <w:t>d=4, L=200</w:t>
            </w:r>
          </w:p>
        </w:tc>
        <w:tc>
          <w:tcPr>
            <w:tcW w:type="dxa" w:w="1094"/>
            <w:vAlign w:val="center"/>
            <w:tcW w:w="1093" w:type="dxa"/>
            <w:tcMar>
              <w:top w:w="60" w:type="dxa"/>
              <w:bottom w:w="60" w:type="dxa"/>
              <w:left w:w="80" w:type="dxa"/>
              <w:right w:w="80" w:type="dxa"/>
            </w:tcMar>
          </w:tcPr>
          <w:p>
            <w:pPr>
              <w:spacing w:before="0" w:after="0" w:line="252" w:lineRule="auto"/>
              <w:jc w:val="center"/>
            </w:pPr>
            <w:r>
              <w:rPr>
                <w:rFonts w:ascii="Cambria Math" w:hAnsi="Cambria Math"/>
                <w:sz w:val="16"/>
              </w:rPr>
              <w:t>5.1520</w:t>
            </w:r>
          </w:p>
        </w:tc>
        <w:tc>
          <w:tcPr>
            <w:tcW w:type="dxa" w:w="897"/>
            <w:vAlign w:val="center"/>
            <w:tcW w:w="896" w:type="dxa"/>
            <w:tcMar>
              <w:top w:w="60" w:type="dxa"/>
              <w:bottom w:w="60" w:type="dxa"/>
              <w:left w:w="80" w:type="dxa"/>
              <w:right w:w="80" w:type="dxa"/>
            </w:tcMar>
          </w:tcPr>
          <w:p>
            <w:pPr>
              <w:spacing w:before="0" w:after="0" w:line="252" w:lineRule="auto"/>
              <w:jc w:val="center"/>
            </w:pPr>
            <w:r>
              <w:rPr>
                <w:rFonts w:ascii="Cambria Math" w:hAnsi="Cambria Math"/>
                <w:sz w:val="16"/>
              </w:rPr>
              <w:t>0.0712</w:t>
            </w:r>
          </w:p>
        </w:tc>
        <w:tc>
          <w:tcPr>
            <w:tcW w:type="dxa" w:w="897"/>
            <w:vAlign w:val="center"/>
            <w:tcW w:w="896" w:type="dxa"/>
            <w:tcMar>
              <w:top w:w="60" w:type="dxa"/>
              <w:bottom w:w="60" w:type="dxa"/>
              <w:left w:w="80" w:type="dxa"/>
              <w:right w:w="80" w:type="dxa"/>
            </w:tcMar>
          </w:tcPr>
          <w:p>
            <w:pPr>
              <w:spacing w:before="0" w:after="0" w:line="252" w:lineRule="auto"/>
              <w:jc w:val="center"/>
            </w:pPr>
            <w:r>
              <w:rPr>
                <w:rFonts w:ascii="Cambria Math" w:hAnsi="Cambria Math"/>
                <w:sz w:val="16"/>
              </w:rPr>
              <w:t>5.1501</w:t>
            </w:r>
          </w:p>
        </w:tc>
        <w:tc>
          <w:tcPr>
            <w:tcW w:type="dxa" w:w="1017"/>
            <w:vAlign w:val="center"/>
            <w:tcW w:w="1017" w:type="dxa"/>
            <w:tcMar>
              <w:top w:w="60" w:type="dxa"/>
              <w:bottom w:w="60" w:type="dxa"/>
              <w:left w:w="80" w:type="dxa"/>
              <w:right w:w="80" w:type="dxa"/>
            </w:tcMar>
          </w:tcPr>
          <w:p>
            <w:pPr>
              <w:spacing w:before="0" w:after="0" w:line="252" w:lineRule="auto"/>
              <w:jc w:val="center"/>
            </w:pPr>
            <w:r>
              <w:rPr>
                <w:rFonts w:ascii="Cambria Math" w:hAnsi="Cambria Math"/>
                <w:sz w:val="16"/>
              </w:rPr>
              <w:t>+0.0019</w:t>
            </w:r>
            <w:r>
              <w:rPr>
                <w:rFonts w:ascii="Times New Roman" w:hAnsi="Times New Roman"/>
                <w:sz w:val="16"/>
              </w:rPr>
              <w:t>d</w:t>
            </w:r>
          </w:p>
        </w:tc>
        <w:tc>
          <w:tcPr>
            <w:tcW w:type="dxa" w:w="978"/>
            <w:vAlign w:val="center"/>
            <w:tcW w:w="978" w:type="dxa"/>
            <w:tcMar>
              <w:top w:w="60" w:type="dxa"/>
              <w:bottom w:w="60" w:type="dxa"/>
              <w:left w:w="80" w:type="dxa"/>
              <w:right w:w="80" w:type="dxa"/>
            </w:tcMar>
          </w:tcPr>
          <w:p>
            <w:pPr>
              <w:spacing w:before="0" w:after="0" w:line="252" w:lineRule="auto"/>
              <w:jc w:val="left"/>
            </w:pPr>
            <w:r>
              <w:rPr>
                <w:rFonts w:ascii="Times New Roman" w:hAnsi="Times New Roman"/>
                <w:sz w:val="16"/>
              </w:rPr>
              <w:t>13</w:t>
            </w:r>
          </w:p>
        </w:tc>
        <w:tc>
          <w:tcPr>
            <w:tcW w:type="dxa" w:w="2829"/>
            <w:vAlign w:val="center"/>
            <w:tcW w:w="2829" w:type="dxa"/>
            <w:tcMar>
              <w:top w:w="60" w:type="dxa"/>
              <w:bottom w:w="60" w:type="dxa"/>
              <w:left w:w="80" w:type="dxa"/>
              <w:right w:w="80" w:type="dxa"/>
            </w:tcMar>
          </w:tcPr>
          <w:p>
            <w:pPr>
              <w:spacing w:before="0" w:after="0" w:line="252" w:lineRule="auto"/>
              <w:jc w:val="left"/>
            </w:pPr>
            <w:r>
              <w:rPr>
                <w:rFonts w:ascii="Times New Roman" w:hAnsi="Times New Roman"/>
                <w:sz w:val="16"/>
              </w:rPr>
              <w:t>Severe underfitting</w:t>
            </w:r>
          </w:p>
        </w:tc>
      </w:tr>
      <w:tr>
        <w:trPr>
          <w:cantSplit/>
        </w:trPr>
        <w:tc>
          <w:tcPr>
            <w:tcW w:type="dxa" w:w="1017"/>
            <w:vAlign w:val="center"/>
            <w:tcW w:w="1017"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Decision Tree</w:t>
            </w:r>
          </w:p>
        </w:tc>
        <w:tc>
          <w:tcPr>
            <w:tcW w:type="dxa" w:w="1307"/>
            <w:vAlign w:val="center"/>
            <w:tcW w:w="1307" w:type="dxa"/>
            <w:tcMar>
              <w:top w:w="60" w:type="dxa"/>
              <w:bottom w:w="60" w:type="dxa"/>
              <w:left w:w="80" w:type="dxa"/>
              <w:right w:w="80" w:type="dxa"/>
            </w:tcMar>
            <w:shd w:val="clear" w:color="auto" w:fill="F8FAFC"/>
          </w:tcPr>
          <w:p>
            <w:pPr>
              <w:spacing w:before="0" w:after="0" w:line="252" w:lineRule="auto"/>
              <w:jc w:val="left"/>
            </w:pPr>
            <w:r>
              <w:rPr>
                <w:rFonts w:ascii="Cambria Math" w:hAnsi="Cambria Math"/>
                <w:sz w:val="16"/>
              </w:rPr>
              <w:t>d=6, L=20</w:t>
            </w:r>
          </w:p>
        </w:tc>
        <w:tc>
          <w:tcPr>
            <w:tcW w:type="dxa" w:w="1094"/>
            <w:vAlign w:val="center"/>
            <w:tcW w:w="1093"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5.0412</w:t>
            </w:r>
          </w:p>
        </w:tc>
        <w:tc>
          <w:tcPr>
            <w:tcW w:type="dxa" w:w="897"/>
            <w:vAlign w:val="center"/>
            <w:tcW w:w="896"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0.0711</w:t>
            </w:r>
          </w:p>
        </w:tc>
        <w:tc>
          <w:tcPr>
            <w:tcW w:type="dxa" w:w="897"/>
            <w:vAlign w:val="center"/>
            <w:tcW w:w="896"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4.9620</w:t>
            </w:r>
          </w:p>
        </w:tc>
        <w:tc>
          <w:tcPr>
            <w:tcW w:type="dxa" w:w="1017"/>
            <w:vAlign w:val="center"/>
            <w:tcW w:w="1017"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+0.0792</w:t>
            </w:r>
            <w:r>
              <w:rPr>
                <w:rFonts w:ascii="Times New Roman" w:hAnsi="Times New Roman"/>
                <w:sz w:val="16"/>
              </w:rPr>
              <w:t>d</w:t>
            </w:r>
          </w:p>
        </w:tc>
        <w:tc>
          <w:tcPr>
            <w:tcW w:type="dxa" w:w="978"/>
            <w:vAlign w:val="center"/>
            <w:tcW w:w="978"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12</w:t>
            </w:r>
          </w:p>
        </w:tc>
        <w:tc>
          <w:tcPr>
            <w:tcW w:type="dxa" w:w="2829"/>
            <w:vAlign w:val="center"/>
            <w:tcW w:w="2829"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Moderate underfitting; fails to capture nonlinear state-freight interactions</w:t>
            </w:r>
          </w:p>
        </w:tc>
      </w:tr>
      <w:tr>
        <w:trPr>
          <w:cantSplit/>
        </w:trPr>
        <w:tc>
          <w:tcPr>
            <w:tcW w:type="dxa" w:w="1017"/>
            <w:vAlign w:val="center"/>
            <w:tcW w:w="1017" w:type="dxa"/>
            <w:tcMar>
              <w:top w:w="60" w:type="dxa"/>
              <w:bottom w:w="60" w:type="dxa"/>
              <w:left w:w="80" w:type="dxa"/>
              <w:right w:w="80" w:type="dxa"/>
            </w:tcMar>
          </w:tcPr>
          <w:p>
            <w:pPr>
              <w:spacing w:before="0" w:after="0" w:line="252" w:lineRule="auto"/>
              <w:jc w:val="left"/>
            </w:pPr>
            <w:r>
              <w:rPr>
                <w:rFonts w:ascii="Times New Roman" w:hAnsi="Times New Roman"/>
                <w:b/>
                <w:sz w:val="16"/>
              </w:rPr>
              <w:t>Decision Tree</w:t>
            </w:r>
          </w:p>
        </w:tc>
        <w:tc>
          <w:tcPr>
            <w:tcW w:type="dxa" w:w="1307"/>
            <w:vAlign w:val="center"/>
            <w:tcW w:w="1307" w:type="dxa"/>
            <w:tcMar>
              <w:top w:w="60" w:type="dxa"/>
              <w:bottom w:w="60" w:type="dxa"/>
              <w:left w:w="80" w:type="dxa"/>
              <w:right w:w="80" w:type="dxa"/>
            </w:tcMar>
          </w:tcPr>
          <w:p>
            <w:pPr>
              <w:spacing w:before="0" w:after="0" w:line="252" w:lineRule="auto"/>
              <w:jc w:val="left"/>
            </w:pPr>
            <w:r>
              <w:rPr>
                <w:rFonts w:ascii="Cambria Math" w:hAnsi="Cambria Math"/>
                <w:sz w:val="16"/>
              </w:rPr>
              <w:t>d=6, L=50</w:t>
            </w:r>
          </w:p>
        </w:tc>
        <w:tc>
          <w:tcPr>
            <w:tcW w:type="dxa" w:w="1094"/>
            <w:vAlign w:val="center"/>
            <w:tcW w:w="1093" w:type="dxa"/>
            <w:tcMar>
              <w:top w:w="60" w:type="dxa"/>
              <w:bottom w:w="60" w:type="dxa"/>
              <w:left w:w="80" w:type="dxa"/>
              <w:right w:w="80" w:type="dxa"/>
            </w:tcMar>
          </w:tcPr>
          <w:p>
            <w:pPr>
              <w:spacing w:before="0" w:after="0" w:line="252" w:lineRule="auto"/>
              <w:jc w:val="center"/>
            </w:pPr>
            <w:r>
              <w:rPr>
                <w:rFonts w:ascii="Cambria Math" w:hAnsi="Cambria Math"/>
                <w:sz w:val="16"/>
              </w:rPr>
              <w:t>5.0230</w:t>
            </w:r>
          </w:p>
        </w:tc>
        <w:tc>
          <w:tcPr>
            <w:tcW w:type="dxa" w:w="897"/>
            <w:vAlign w:val="center"/>
            <w:tcW w:w="896" w:type="dxa"/>
            <w:tcMar>
              <w:top w:w="60" w:type="dxa"/>
              <w:bottom w:w="60" w:type="dxa"/>
              <w:left w:w="80" w:type="dxa"/>
              <w:right w:w="80" w:type="dxa"/>
            </w:tcMar>
          </w:tcPr>
          <w:p>
            <w:pPr>
              <w:spacing w:before="0" w:after="0" w:line="252" w:lineRule="auto"/>
              <w:jc w:val="center"/>
            </w:pPr>
            <w:r>
              <w:rPr>
                <w:rFonts w:ascii="Cambria Math" w:hAnsi="Cambria Math"/>
                <w:sz w:val="16"/>
              </w:rPr>
              <w:t>0.0709</w:t>
            </w:r>
          </w:p>
        </w:tc>
        <w:tc>
          <w:tcPr>
            <w:tcW w:type="dxa" w:w="897"/>
            <w:vAlign w:val="center"/>
            <w:tcW w:w="896" w:type="dxa"/>
            <w:tcMar>
              <w:top w:w="60" w:type="dxa"/>
              <w:bottom w:w="60" w:type="dxa"/>
              <w:left w:w="80" w:type="dxa"/>
              <w:right w:w="80" w:type="dxa"/>
            </w:tcMar>
          </w:tcPr>
          <w:p>
            <w:pPr>
              <w:spacing w:before="0" w:after="0" w:line="252" w:lineRule="auto"/>
              <w:jc w:val="center"/>
            </w:pPr>
            <w:r>
              <w:rPr>
                <w:rFonts w:ascii="Cambria Math" w:hAnsi="Cambria Math"/>
                <w:sz w:val="16"/>
              </w:rPr>
              <w:t>4.9710</w:t>
            </w:r>
          </w:p>
        </w:tc>
        <w:tc>
          <w:tcPr>
            <w:tcW w:type="dxa" w:w="1017"/>
            <w:vAlign w:val="center"/>
            <w:tcW w:w="1017" w:type="dxa"/>
            <w:tcMar>
              <w:top w:w="60" w:type="dxa"/>
              <w:bottom w:w="60" w:type="dxa"/>
              <w:left w:w="80" w:type="dxa"/>
              <w:right w:w="80" w:type="dxa"/>
            </w:tcMar>
          </w:tcPr>
          <w:p>
            <w:pPr>
              <w:spacing w:before="0" w:after="0" w:line="252" w:lineRule="auto"/>
              <w:jc w:val="center"/>
            </w:pPr>
            <w:r>
              <w:rPr>
                <w:rFonts w:ascii="Cambria Math" w:hAnsi="Cambria Math"/>
                <w:sz w:val="16"/>
              </w:rPr>
              <w:t>+0.0520</w:t>
            </w:r>
            <w:r>
              <w:rPr>
                <w:rFonts w:ascii="Times New Roman" w:hAnsi="Times New Roman"/>
                <w:sz w:val="16"/>
              </w:rPr>
              <w:t>d</w:t>
            </w:r>
          </w:p>
        </w:tc>
        <w:tc>
          <w:tcPr>
            <w:tcW w:type="dxa" w:w="978"/>
            <w:vAlign w:val="center"/>
            <w:tcW w:w="978" w:type="dxa"/>
            <w:tcMar>
              <w:top w:w="60" w:type="dxa"/>
              <w:bottom w:w="60" w:type="dxa"/>
              <w:left w:w="80" w:type="dxa"/>
              <w:right w:w="80" w:type="dxa"/>
            </w:tcMar>
          </w:tcPr>
          <w:p>
            <w:pPr>
              <w:spacing w:before="0" w:after="0" w:line="252" w:lineRule="auto"/>
              <w:jc w:val="left"/>
            </w:pPr>
            <w:r>
              <w:rPr>
                <w:rFonts w:ascii="Times New Roman" w:hAnsi="Times New Roman"/>
                <w:sz w:val="16"/>
              </w:rPr>
              <w:t>11</w:t>
            </w:r>
          </w:p>
        </w:tc>
        <w:tc>
          <w:tcPr>
            <w:tcW w:type="dxa" w:w="2829"/>
            <w:vAlign w:val="center"/>
            <w:tcW w:w="2829" w:type="dxa"/>
            <w:tcMar>
              <w:top w:w="60" w:type="dxa"/>
              <w:bottom w:w="60" w:type="dxa"/>
              <w:left w:w="80" w:type="dxa"/>
              <w:right w:w="80" w:type="dxa"/>
            </w:tcMar>
          </w:tcPr>
          <w:p>
            <w:pPr>
              <w:spacing w:before="0" w:after="0" w:line="252" w:lineRule="auto"/>
              <w:jc w:val="left"/>
            </w:pPr>
            <w:r>
              <w:rPr>
                <w:rFonts w:ascii="Times New Roman" w:hAnsi="Times New Roman"/>
                <w:sz w:val="16"/>
              </w:rPr>
              <w:t>Moderate underfitting</w:t>
            </w:r>
          </w:p>
        </w:tc>
      </w:tr>
      <w:tr>
        <w:trPr>
          <w:cantSplit/>
        </w:trPr>
        <w:tc>
          <w:tcPr>
            <w:tcW w:type="dxa" w:w="1017"/>
            <w:vAlign w:val="center"/>
            <w:tcW w:w="1017"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Decision Tree</w:t>
            </w:r>
          </w:p>
        </w:tc>
        <w:tc>
          <w:tcPr>
            <w:tcW w:type="dxa" w:w="1307"/>
            <w:vAlign w:val="center"/>
            <w:tcW w:w="1307" w:type="dxa"/>
            <w:tcMar>
              <w:top w:w="60" w:type="dxa"/>
              <w:bottom w:w="60" w:type="dxa"/>
              <w:left w:w="80" w:type="dxa"/>
              <w:right w:w="80" w:type="dxa"/>
            </w:tcMar>
            <w:shd w:val="clear" w:color="auto" w:fill="F8FAFC"/>
          </w:tcPr>
          <w:p>
            <w:pPr>
              <w:spacing w:before="0" w:after="0" w:line="252" w:lineRule="auto"/>
              <w:jc w:val="left"/>
            </w:pPr>
            <w:r>
              <w:rPr>
                <w:rFonts w:ascii="Cambria Math" w:hAnsi="Cambria Math"/>
                <w:sz w:val="16"/>
              </w:rPr>
              <w:t>d=6, L=100</w:t>
            </w:r>
          </w:p>
        </w:tc>
        <w:tc>
          <w:tcPr>
            <w:tcW w:type="dxa" w:w="1094"/>
            <w:vAlign w:val="center"/>
            <w:tcW w:w="1093"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5.0145</w:t>
            </w:r>
          </w:p>
        </w:tc>
        <w:tc>
          <w:tcPr>
            <w:tcW w:type="dxa" w:w="897"/>
            <w:vAlign w:val="center"/>
            <w:tcW w:w="896"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0.0705</w:t>
            </w:r>
          </w:p>
        </w:tc>
        <w:tc>
          <w:tcPr>
            <w:tcW w:type="dxa" w:w="897"/>
            <w:vAlign w:val="center"/>
            <w:tcW w:w="896"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4.9802</w:t>
            </w:r>
          </w:p>
        </w:tc>
        <w:tc>
          <w:tcPr>
            <w:tcW w:type="dxa" w:w="1017"/>
            <w:vAlign w:val="center"/>
            <w:tcW w:w="1017"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+0.0343</w:t>
            </w:r>
            <w:r>
              <w:rPr>
                <w:rFonts w:ascii="Times New Roman" w:hAnsi="Times New Roman"/>
                <w:sz w:val="16"/>
              </w:rPr>
              <w:t>d</w:t>
            </w:r>
          </w:p>
        </w:tc>
        <w:tc>
          <w:tcPr>
            <w:tcW w:type="dxa" w:w="978"/>
            <w:vAlign w:val="center"/>
            <w:tcW w:w="978"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10</w:t>
            </w:r>
          </w:p>
        </w:tc>
        <w:tc>
          <w:tcPr>
            <w:tcW w:type="dxa" w:w="2829"/>
            <w:vAlign w:val="center"/>
            <w:tcW w:w="2829"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Moderate underfitting</w:t>
            </w:r>
          </w:p>
        </w:tc>
      </w:tr>
      <w:tr>
        <w:trPr>
          <w:cantSplit/>
        </w:trPr>
        <w:tc>
          <w:tcPr>
            <w:tcW w:type="dxa" w:w="1017"/>
            <w:vAlign w:val="center"/>
            <w:tcW w:w="1017" w:type="dxa"/>
            <w:tcMar>
              <w:top w:w="60" w:type="dxa"/>
              <w:bottom w:w="60" w:type="dxa"/>
              <w:left w:w="80" w:type="dxa"/>
              <w:right w:w="80" w:type="dxa"/>
            </w:tcMar>
          </w:tcPr>
          <w:p>
            <w:pPr>
              <w:spacing w:before="0" w:after="0" w:line="252" w:lineRule="auto"/>
              <w:jc w:val="left"/>
            </w:pPr>
            <w:r>
              <w:rPr>
                <w:rFonts w:ascii="Times New Roman" w:hAnsi="Times New Roman"/>
                <w:b/>
                <w:sz w:val="16"/>
              </w:rPr>
              <w:t>Decision Tree</w:t>
            </w:r>
          </w:p>
        </w:tc>
        <w:tc>
          <w:tcPr>
            <w:tcW w:type="dxa" w:w="1307"/>
            <w:vAlign w:val="center"/>
            <w:tcW w:w="1307" w:type="dxa"/>
            <w:tcMar>
              <w:top w:w="60" w:type="dxa"/>
              <w:bottom w:w="60" w:type="dxa"/>
              <w:left w:w="80" w:type="dxa"/>
              <w:right w:w="80" w:type="dxa"/>
            </w:tcMar>
          </w:tcPr>
          <w:p>
            <w:pPr>
              <w:spacing w:before="0" w:after="0" w:line="252" w:lineRule="auto"/>
              <w:jc w:val="left"/>
            </w:pPr>
            <w:r>
              <w:rPr>
                <w:rFonts w:ascii="Cambria Math" w:hAnsi="Cambria Math"/>
                <w:sz w:val="16"/>
              </w:rPr>
              <w:t>d=6, L=200</w:t>
            </w:r>
          </w:p>
        </w:tc>
        <w:tc>
          <w:tcPr>
            <w:tcW w:type="dxa" w:w="1094"/>
            <w:vAlign w:val="center"/>
            <w:tcW w:w="1093" w:type="dxa"/>
            <w:tcMar>
              <w:top w:w="60" w:type="dxa"/>
              <w:bottom w:w="60" w:type="dxa"/>
              <w:left w:w="80" w:type="dxa"/>
              <w:right w:w="80" w:type="dxa"/>
            </w:tcMar>
          </w:tcPr>
          <w:p>
            <w:pPr>
              <w:spacing w:before="0" w:after="0" w:line="252" w:lineRule="auto"/>
              <w:jc w:val="center"/>
            </w:pPr>
            <w:r>
              <w:rPr>
                <w:rFonts w:ascii="Cambria Math" w:hAnsi="Cambria Math"/>
                <w:sz w:val="16"/>
              </w:rPr>
              <w:t>5.0190</w:t>
            </w:r>
          </w:p>
        </w:tc>
        <w:tc>
          <w:tcPr>
            <w:tcW w:type="dxa" w:w="897"/>
            <w:vAlign w:val="center"/>
            <w:tcW w:w="896" w:type="dxa"/>
            <w:tcMar>
              <w:top w:w="60" w:type="dxa"/>
              <w:bottom w:w="60" w:type="dxa"/>
              <w:left w:w="80" w:type="dxa"/>
              <w:right w:w="80" w:type="dxa"/>
            </w:tcMar>
          </w:tcPr>
          <w:p>
            <w:pPr>
              <w:spacing w:before="0" w:after="0" w:line="252" w:lineRule="auto"/>
              <w:jc w:val="center"/>
            </w:pPr>
            <w:r>
              <w:rPr>
                <w:rFonts w:ascii="Cambria Math" w:hAnsi="Cambria Math"/>
                <w:sz w:val="16"/>
              </w:rPr>
              <w:t>0.0703</w:t>
            </w:r>
          </w:p>
        </w:tc>
        <w:tc>
          <w:tcPr>
            <w:tcW w:type="dxa" w:w="897"/>
            <w:vAlign w:val="center"/>
            <w:tcW w:w="896" w:type="dxa"/>
            <w:tcMar>
              <w:top w:w="60" w:type="dxa"/>
              <w:bottom w:w="60" w:type="dxa"/>
              <w:left w:w="80" w:type="dxa"/>
              <w:right w:w="80" w:type="dxa"/>
            </w:tcMar>
          </w:tcPr>
          <w:p>
            <w:pPr>
              <w:spacing w:before="0" w:after="0" w:line="252" w:lineRule="auto"/>
              <w:jc w:val="center"/>
            </w:pPr>
            <w:r>
              <w:rPr>
                <w:rFonts w:ascii="Cambria Math" w:hAnsi="Cambria Math"/>
                <w:sz w:val="16"/>
              </w:rPr>
              <w:t>4.9912</w:t>
            </w:r>
          </w:p>
        </w:tc>
        <w:tc>
          <w:tcPr>
            <w:tcW w:type="dxa" w:w="1017"/>
            <w:vAlign w:val="center"/>
            <w:tcW w:w="1017" w:type="dxa"/>
            <w:tcMar>
              <w:top w:w="60" w:type="dxa"/>
              <w:bottom w:w="60" w:type="dxa"/>
              <w:left w:w="80" w:type="dxa"/>
              <w:right w:w="80" w:type="dxa"/>
            </w:tcMar>
          </w:tcPr>
          <w:p>
            <w:pPr>
              <w:spacing w:before="0" w:after="0" w:line="252" w:lineRule="auto"/>
              <w:jc w:val="center"/>
            </w:pPr>
            <w:r>
              <w:rPr>
                <w:rFonts w:ascii="Cambria Math" w:hAnsi="Cambria Math"/>
                <w:sz w:val="16"/>
              </w:rPr>
              <w:t>+0.0278</w:t>
            </w:r>
            <w:r>
              <w:rPr>
                <w:rFonts w:ascii="Times New Roman" w:hAnsi="Times New Roman"/>
                <w:sz w:val="16"/>
              </w:rPr>
              <w:t>d</w:t>
            </w:r>
          </w:p>
        </w:tc>
        <w:tc>
          <w:tcPr>
            <w:tcW w:type="dxa" w:w="978"/>
            <w:vAlign w:val="center"/>
            <w:tcW w:w="978" w:type="dxa"/>
            <w:tcMar>
              <w:top w:w="60" w:type="dxa"/>
              <w:bottom w:w="60" w:type="dxa"/>
              <w:left w:w="80" w:type="dxa"/>
              <w:right w:w="80" w:type="dxa"/>
            </w:tcMar>
          </w:tcPr>
          <w:p>
            <w:pPr>
              <w:spacing w:before="0" w:after="0" w:line="252" w:lineRule="auto"/>
              <w:jc w:val="left"/>
            </w:pPr>
            <w:r>
              <w:rPr>
                <w:rFonts w:ascii="Times New Roman" w:hAnsi="Times New Roman"/>
                <w:sz w:val="16"/>
              </w:rPr>
              <w:t>9</w:t>
            </w:r>
          </w:p>
        </w:tc>
        <w:tc>
          <w:tcPr>
            <w:tcW w:type="dxa" w:w="2829"/>
            <w:vAlign w:val="center"/>
            <w:tcW w:w="2829" w:type="dxa"/>
            <w:tcMar>
              <w:top w:w="60" w:type="dxa"/>
              <w:bottom w:w="60" w:type="dxa"/>
              <w:left w:w="80" w:type="dxa"/>
              <w:right w:w="80" w:type="dxa"/>
            </w:tcMar>
          </w:tcPr>
          <w:p>
            <w:pPr>
              <w:spacing w:before="0" w:after="0" w:line="252" w:lineRule="auto"/>
              <w:jc w:val="left"/>
            </w:pPr>
            <w:r>
              <w:rPr>
                <w:rFonts w:ascii="Times New Roman" w:hAnsi="Times New Roman"/>
                <w:sz w:val="16"/>
              </w:rPr>
              <w:t>Moderate underfitting; leaf constraint too restrictive for depth 6</w:t>
            </w:r>
          </w:p>
        </w:tc>
      </w:tr>
      <w:tr>
        <w:trPr>
          <w:cantSplit/>
        </w:trPr>
        <w:tc>
          <w:tcPr>
            <w:tcW w:type="dxa" w:w="1017"/>
            <w:vAlign w:val="center"/>
            <w:tcW w:w="1017"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Decision Tree</w:t>
            </w:r>
          </w:p>
        </w:tc>
        <w:tc>
          <w:tcPr>
            <w:tcW w:type="dxa" w:w="1307"/>
            <w:vAlign w:val="center"/>
            <w:tcW w:w="1307" w:type="dxa"/>
            <w:tcMar>
              <w:top w:w="60" w:type="dxa"/>
              <w:bottom w:w="60" w:type="dxa"/>
              <w:left w:w="80" w:type="dxa"/>
              <w:right w:w="80" w:type="dxa"/>
            </w:tcMar>
            <w:shd w:val="clear" w:color="auto" w:fill="F8FAFC"/>
          </w:tcPr>
          <w:p>
            <w:pPr>
              <w:spacing w:before="0" w:after="0" w:line="252" w:lineRule="auto"/>
              <w:jc w:val="left"/>
            </w:pPr>
            <w:r>
              <w:rPr>
                <w:rFonts w:ascii="Cambria Math" w:hAnsi="Cambria Math"/>
                <w:sz w:val="16"/>
              </w:rPr>
              <w:t>d=8, L=20</w:t>
            </w:r>
          </w:p>
        </w:tc>
        <w:tc>
          <w:tcPr>
            <w:tcW w:type="dxa" w:w="1094"/>
            <w:vAlign w:val="center"/>
            <w:tcW w:w="1093"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4.9420</w:t>
            </w:r>
          </w:p>
        </w:tc>
        <w:tc>
          <w:tcPr>
            <w:tcW w:type="dxa" w:w="897"/>
            <w:vAlign w:val="center"/>
            <w:tcW w:w="896"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0.0704</w:t>
            </w:r>
          </w:p>
        </w:tc>
        <w:tc>
          <w:tcPr>
            <w:tcW w:type="dxa" w:w="897"/>
            <w:vAlign w:val="center"/>
            <w:tcW w:w="896"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4.8120</w:t>
            </w:r>
          </w:p>
        </w:tc>
        <w:tc>
          <w:tcPr>
            <w:tcW w:type="dxa" w:w="1017"/>
            <w:vAlign w:val="center"/>
            <w:tcW w:w="1017"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+0.1300</w:t>
            </w:r>
            <w:r>
              <w:rPr>
                <w:rFonts w:ascii="Times New Roman" w:hAnsi="Times New Roman"/>
                <w:sz w:val="16"/>
              </w:rPr>
              <w:t>d</w:t>
            </w:r>
          </w:p>
        </w:tc>
        <w:tc>
          <w:tcPr>
            <w:tcW w:type="dxa" w:w="978"/>
            <w:vAlign w:val="center"/>
            <w:tcW w:w="978"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8</w:t>
            </w:r>
          </w:p>
        </w:tc>
        <w:tc>
          <w:tcPr>
            <w:tcW w:type="dxa" w:w="2829"/>
            <w:vAlign w:val="center"/>
            <w:tcW w:w="2829"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Captures primary distance non-linearities, but leaves exhibit sample variance</w:t>
            </w:r>
          </w:p>
        </w:tc>
      </w:tr>
      <w:tr>
        <w:trPr>
          <w:cantSplit/>
        </w:trPr>
        <w:tc>
          <w:tcPr>
            <w:tcW w:type="dxa" w:w="1017"/>
            <w:vAlign w:val="center"/>
            <w:tcW w:w="1017" w:type="dxa"/>
            <w:tcMar>
              <w:top w:w="60" w:type="dxa"/>
              <w:bottom w:w="60" w:type="dxa"/>
              <w:left w:w="80" w:type="dxa"/>
              <w:right w:w="80" w:type="dxa"/>
            </w:tcMar>
          </w:tcPr>
          <w:p>
            <w:pPr>
              <w:spacing w:before="0" w:after="0" w:line="252" w:lineRule="auto"/>
              <w:jc w:val="left"/>
            </w:pPr>
            <w:r>
              <w:rPr>
                <w:rFonts w:ascii="Times New Roman" w:hAnsi="Times New Roman"/>
                <w:b/>
                <w:sz w:val="16"/>
              </w:rPr>
              <w:t>Decision Tree</w:t>
            </w:r>
          </w:p>
        </w:tc>
        <w:tc>
          <w:tcPr>
            <w:tcW w:type="dxa" w:w="1307"/>
            <w:vAlign w:val="center"/>
            <w:tcW w:w="1307" w:type="dxa"/>
            <w:tcMar>
              <w:top w:w="60" w:type="dxa"/>
              <w:bottom w:w="60" w:type="dxa"/>
              <w:left w:w="80" w:type="dxa"/>
              <w:right w:w="80" w:type="dxa"/>
            </w:tcMar>
          </w:tcPr>
          <w:p>
            <w:pPr>
              <w:spacing w:before="0" w:after="0" w:line="252" w:lineRule="auto"/>
              <w:jc w:val="left"/>
            </w:pPr>
            <w:r>
              <w:rPr>
                <w:rFonts w:ascii="Cambria Math" w:hAnsi="Cambria Math"/>
                <w:sz w:val="16"/>
              </w:rPr>
              <w:t>d=8, L=50</w:t>
            </w:r>
          </w:p>
        </w:tc>
        <w:tc>
          <w:tcPr>
            <w:tcW w:type="dxa" w:w="1094"/>
            <w:vAlign w:val="center"/>
            <w:tcW w:w="1093" w:type="dxa"/>
            <w:tcMar>
              <w:top w:w="60" w:type="dxa"/>
              <w:bottom w:w="60" w:type="dxa"/>
              <w:left w:w="80" w:type="dxa"/>
              <w:right w:w="80" w:type="dxa"/>
            </w:tcMar>
          </w:tcPr>
          <w:p>
            <w:pPr>
              <w:spacing w:before="0" w:after="0" w:line="252" w:lineRule="auto"/>
              <w:jc w:val="center"/>
            </w:pPr>
            <w:r>
              <w:rPr>
                <w:rFonts w:ascii="Cambria Math" w:hAnsi="Cambria Math"/>
                <w:sz w:val="16"/>
              </w:rPr>
              <w:t>4.9215</w:t>
            </w:r>
          </w:p>
        </w:tc>
        <w:tc>
          <w:tcPr>
            <w:tcW w:type="dxa" w:w="897"/>
            <w:vAlign w:val="center"/>
            <w:tcW w:w="896" w:type="dxa"/>
            <w:tcMar>
              <w:top w:w="60" w:type="dxa"/>
              <w:bottom w:w="60" w:type="dxa"/>
              <w:left w:w="80" w:type="dxa"/>
              <w:right w:w="80" w:type="dxa"/>
            </w:tcMar>
          </w:tcPr>
          <w:p>
            <w:pPr>
              <w:spacing w:before="0" w:after="0" w:line="252" w:lineRule="auto"/>
              <w:jc w:val="center"/>
            </w:pPr>
            <w:r>
              <w:rPr>
                <w:rFonts w:ascii="Cambria Math" w:hAnsi="Cambria Math"/>
                <w:sz w:val="16"/>
              </w:rPr>
              <w:t>0.0699</w:t>
            </w:r>
          </w:p>
        </w:tc>
        <w:tc>
          <w:tcPr>
            <w:tcW w:type="dxa" w:w="897"/>
            <w:vAlign w:val="center"/>
            <w:tcW w:w="896" w:type="dxa"/>
            <w:tcMar>
              <w:top w:w="60" w:type="dxa"/>
              <w:bottom w:w="60" w:type="dxa"/>
              <w:left w:w="80" w:type="dxa"/>
              <w:right w:w="80" w:type="dxa"/>
            </w:tcMar>
          </w:tcPr>
          <w:p>
            <w:pPr>
              <w:spacing w:before="0" w:after="0" w:line="252" w:lineRule="auto"/>
              <w:jc w:val="center"/>
            </w:pPr>
            <w:r>
              <w:rPr>
                <w:rFonts w:ascii="Cambria Math" w:hAnsi="Cambria Math"/>
                <w:sz w:val="16"/>
              </w:rPr>
              <w:t>4.8340</w:t>
            </w:r>
          </w:p>
        </w:tc>
        <w:tc>
          <w:tcPr>
            <w:tcW w:type="dxa" w:w="1017"/>
            <w:vAlign w:val="center"/>
            <w:tcW w:w="1017" w:type="dxa"/>
            <w:tcMar>
              <w:top w:w="60" w:type="dxa"/>
              <w:bottom w:w="60" w:type="dxa"/>
              <w:left w:w="80" w:type="dxa"/>
              <w:right w:w="80" w:type="dxa"/>
            </w:tcMar>
          </w:tcPr>
          <w:p>
            <w:pPr>
              <w:spacing w:before="0" w:after="0" w:line="252" w:lineRule="auto"/>
              <w:jc w:val="center"/>
            </w:pPr>
            <w:r>
              <w:rPr>
                <w:rFonts w:ascii="Cambria Math" w:hAnsi="Cambria Math"/>
                <w:sz w:val="16"/>
              </w:rPr>
              <w:t>+0.0875</w:t>
            </w:r>
            <w:r>
              <w:rPr>
                <w:rFonts w:ascii="Times New Roman" w:hAnsi="Times New Roman"/>
                <w:sz w:val="16"/>
              </w:rPr>
              <w:t>d</w:t>
            </w:r>
          </w:p>
        </w:tc>
        <w:tc>
          <w:tcPr>
            <w:tcW w:type="dxa" w:w="978"/>
            <w:vAlign w:val="center"/>
            <w:tcW w:w="978" w:type="dxa"/>
            <w:tcMar>
              <w:top w:w="60" w:type="dxa"/>
              <w:bottom w:w="60" w:type="dxa"/>
              <w:left w:w="80" w:type="dxa"/>
              <w:right w:w="80" w:type="dxa"/>
            </w:tcMar>
          </w:tcPr>
          <w:p>
            <w:pPr>
              <w:spacing w:before="0" w:after="0" w:line="252" w:lineRule="auto"/>
              <w:jc w:val="left"/>
            </w:pPr>
            <w:r>
              <w:rPr>
                <w:rFonts w:ascii="Times New Roman" w:hAnsi="Times New Roman"/>
                <w:sz w:val="16"/>
              </w:rPr>
              <w:t>7</w:t>
            </w:r>
          </w:p>
        </w:tc>
        <w:tc>
          <w:tcPr>
            <w:tcW w:type="dxa" w:w="2829"/>
            <w:vAlign w:val="center"/>
            <w:tcW w:w="2829" w:type="dxa"/>
            <w:tcMar>
              <w:top w:w="60" w:type="dxa"/>
              <w:bottom w:w="60" w:type="dxa"/>
              <w:left w:w="80" w:type="dxa"/>
              <w:right w:w="80" w:type="dxa"/>
            </w:tcMar>
          </w:tcPr>
          <w:p>
            <w:pPr>
              <w:spacing w:before="0" w:after="0" w:line="252" w:lineRule="auto"/>
              <w:jc w:val="left"/>
            </w:pPr>
            <w:r>
              <w:rPr>
                <w:rFonts w:ascii="Times New Roman" w:hAnsi="Times New Roman"/>
                <w:sz w:val="16"/>
              </w:rPr>
              <w:t>Good generalization, but depth 8 leaves room for deeper valid splits</w:t>
            </w:r>
          </w:p>
        </w:tc>
      </w:tr>
      <w:tr>
        <w:trPr>
          <w:cantSplit/>
        </w:trPr>
        <w:tc>
          <w:tcPr>
            <w:tcW w:type="dxa" w:w="1017"/>
            <w:vAlign w:val="center"/>
            <w:tcW w:w="1017"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Decision Tree</w:t>
            </w:r>
          </w:p>
        </w:tc>
        <w:tc>
          <w:tcPr>
            <w:tcW w:type="dxa" w:w="1307"/>
            <w:vAlign w:val="center"/>
            <w:tcW w:w="1307" w:type="dxa"/>
            <w:tcMar>
              <w:top w:w="60" w:type="dxa"/>
              <w:bottom w:w="60" w:type="dxa"/>
              <w:left w:w="80" w:type="dxa"/>
              <w:right w:w="80" w:type="dxa"/>
            </w:tcMar>
            <w:shd w:val="clear" w:color="auto" w:fill="F8FAFC"/>
          </w:tcPr>
          <w:p>
            <w:pPr>
              <w:spacing w:before="0" w:after="0" w:line="252" w:lineRule="auto"/>
              <w:jc w:val="left"/>
            </w:pPr>
            <w:r>
              <w:rPr>
                <w:rFonts w:ascii="Cambria Math" w:hAnsi="Cambria Math"/>
                <w:sz w:val="16"/>
              </w:rPr>
              <w:t>d=8, L=100</w:t>
            </w:r>
          </w:p>
        </w:tc>
        <w:tc>
          <w:tcPr>
            <w:tcW w:type="dxa" w:w="1094"/>
            <w:vAlign w:val="center"/>
            <w:tcW w:w="1093"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4.9120</w:t>
            </w:r>
          </w:p>
        </w:tc>
        <w:tc>
          <w:tcPr>
            <w:tcW w:type="dxa" w:w="897"/>
            <w:vAlign w:val="center"/>
            <w:tcW w:w="896"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0.0694</w:t>
            </w:r>
          </w:p>
        </w:tc>
        <w:tc>
          <w:tcPr>
            <w:tcW w:type="dxa" w:w="897"/>
            <w:vAlign w:val="center"/>
            <w:tcW w:w="896"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4.8510</w:t>
            </w:r>
          </w:p>
        </w:tc>
        <w:tc>
          <w:tcPr>
            <w:tcW w:type="dxa" w:w="1017"/>
            <w:vAlign w:val="center"/>
            <w:tcW w:w="1017"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+0.0610</w:t>
            </w:r>
            <w:r>
              <w:rPr>
                <w:rFonts w:ascii="Times New Roman" w:hAnsi="Times New Roman"/>
                <w:sz w:val="16"/>
              </w:rPr>
              <w:t>d</w:t>
            </w:r>
          </w:p>
        </w:tc>
        <w:tc>
          <w:tcPr>
            <w:tcW w:type="dxa" w:w="978"/>
            <w:vAlign w:val="center"/>
            <w:tcW w:w="978"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6</w:t>
            </w:r>
          </w:p>
        </w:tc>
        <w:tc>
          <w:tcPr>
            <w:tcW w:type="dxa" w:w="2829"/>
            <w:vAlign w:val="center"/>
            <w:tcW w:w="2829"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Balanced intermediate configuration</w:t>
            </w:r>
          </w:p>
        </w:tc>
      </w:tr>
      <w:tr>
        <w:trPr>
          <w:cantSplit/>
        </w:trPr>
        <w:tc>
          <w:tcPr>
            <w:tcW w:type="dxa" w:w="1017"/>
            <w:vAlign w:val="center"/>
            <w:tcW w:w="1017" w:type="dxa"/>
            <w:tcMar>
              <w:top w:w="60" w:type="dxa"/>
              <w:bottom w:w="60" w:type="dxa"/>
              <w:left w:w="80" w:type="dxa"/>
              <w:right w:w="80" w:type="dxa"/>
            </w:tcMar>
          </w:tcPr>
          <w:p>
            <w:pPr>
              <w:spacing w:before="0" w:after="0" w:line="252" w:lineRule="auto"/>
              <w:jc w:val="left"/>
            </w:pPr>
            <w:r>
              <w:rPr>
                <w:rFonts w:ascii="Times New Roman" w:hAnsi="Times New Roman"/>
                <w:b/>
                <w:sz w:val="16"/>
              </w:rPr>
              <w:t>Decision Tree</w:t>
            </w:r>
          </w:p>
        </w:tc>
        <w:tc>
          <w:tcPr>
            <w:tcW w:type="dxa" w:w="1307"/>
            <w:vAlign w:val="center"/>
            <w:tcW w:w="1307" w:type="dxa"/>
            <w:tcMar>
              <w:top w:w="60" w:type="dxa"/>
              <w:bottom w:w="60" w:type="dxa"/>
              <w:left w:w="80" w:type="dxa"/>
              <w:right w:w="80" w:type="dxa"/>
            </w:tcMar>
          </w:tcPr>
          <w:p>
            <w:pPr>
              <w:spacing w:before="0" w:after="0" w:line="252" w:lineRule="auto"/>
              <w:jc w:val="left"/>
            </w:pPr>
            <w:r>
              <w:rPr>
                <w:rFonts w:ascii="Cambria Math" w:hAnsi="Cambria Math"/>
                <w:sz w:val="16"/>
              </w:rPr>
              <w:t>d=8, L=200</w:t>
            </w:r>
          </w:p>
        </w:tc>
        <w:tc>
          <w:tcPr>
            <w:tcW w:type="dxa" w:w="1094"/>
            <w:vAlign w:val="center"/>
            <w:tcW w:w="1093" w:type="dxa"/>
            <w:tcMar>
              <w:top w:w="60" w:type="dxa"/>
              <w:bottom w:w="60" w:type="dxa"/>
              <w:left w:w="80" w:type="dxa"/>
              <w:right w:w="80" w:type="dxa"/>
            </w:tcMar>
          </w:tcPr>
          <w:p>
            <w:pPr>
              <w:spacing w:before="0" w:after="0" w:line="252" w:lineRule="auto"/>
              <w:jc w:val="center"/>
            </w:pPr>
            <w:r>
              <w:rPr>
                <w:rFonts w:ascii="Cambria Math" w:hAnsi="Cambria Math"/>
                <w:sz w:val="16"/>
              </w:rPr>
              <w:t>4.9240</w:t>
            </w:r>
          </w:p>
        </w:tc>
        <w:tc>
          <w:tcPr>
            <w:tcW w:type="dxa" w:w="897"/>
            <w:vAlign w:val="center"/>
            <w:tcW w:w="896" w:type="dxa"/>
            <w:tcMar>
              <w:top w:w="60" w:type="dxa"/>
              <w:bottom w:w="60" w:type="dxa"/>
              <w:left w:w="80" w:type="dxa"/>
              <w:right w:w="80" w:type="dxa"/>
            </w:tcMar>
          </w:tcPr>
          <w:p>
            <w:pPr>
              <w:spacing w:before="0" w:after="0" w:line="252" w:lineRule="auto"/>
              <w:jc w:val="center"/>
            </w:pPr>
            <w:r>
              <w:rPr>
                <w:rFonts w:ascii="Cambria Math" w:hAnsi="Cambria Math"/>
                <w:sz w:val="16"/>
              </w:rPr>
              <w:t>0.0691</w:t>
            </w:r>
          </w:p>
        </w:tc>
        <w:tc>
          <w:tcPr>
            <w:tcW w:type="dxa" w:w="897"/>
            <w:vAlign w:val="center"/>
            <w:tcW w:w="896" w:type="dxa"/>
            <w:tcMar>
              <w:top w:w="60" w:type="dxa"/>
              <w:bottom w:w="60" w:type="dxa"/>
              <w:left w:w="80" w:type="dxa"/>
              <w:right w:w="80" w:type="dxa"/>
            </w:tcMar>
          </w:tcPr>
          <w:p>
            <w:pPr>
              <w:spacing w:before="0" w:after="0" w:line="252" w:lineRule="auto"/>
              <w:jc w:val="center"/>
            </w:pPr>
            <w:r>
              <w:rPr>
                <w:rFonts w:ascii="Cambria Math" w:hAnsi="Cambria Math"/>
                <w:sz w:val="16"/>
              </w:rPr>
              <w:t>4.8720</w:t>
            </w:r>
          </w:p>
        </w:tc>
        <w:tc>
          <w:tcPr>
            <w:tcW w:type="dxa" w:w="1017"/>
            <w:vAlign w:val="center"/>
            <w:tcW w:w="1017" w:type="dxa"/>
            <w:tcMar>
              <w:top w:w="60" w:type="dxa"/>
              <w:bottom w:w="60" w:type="dxa"/>
              <w:left w:w="80" w:type="dxa"/>
              <w:right w:w="80" w:type="dxa"/>
            </w:tcMar>
          </w:tcPr>
          <w:p>
            <w:pPr>
              <w:spacing w:before="0" w:after="0" w:line="252" w:lineRule="auto"/>
              <w:jc w:val="center"/>
            </w:pPr>
            <w:r>
              <w:rPr>
                <w:rFonts w:ascii="Cambria Math" w:hAnsi="Cambria Math"/>
                <w:sz w:val="16"/>
              </w:rPr>
              <w:t>+0.0520</w:t>
            </w:r>
            <w:r>
              <w:rPr>
                <w:rFonts w:ascii="Times New Roman" w:hAnsi="Times New Roman"/>
                <w:sz w:val="16"/>
              </w:rPr>
              <w:t>d</w:t>
            </w:r>
          </w:p>
        </w:tc>
        <w:tc>
          <w:tcPr>
            <w:tcW w:type="dxa" w:w="978"/>
            <w:vAlign w:val="center"/>
            <w:tcW w:w="978" w:type="dxa"/>
            <w:tcMar>
              <w:top w:w="60" w:type="dxa"/>
              <w:bottom w:w="60" w:type="dxa"/>
              <w:left w:w="80" w:type="dxa"/>
              <w:right w:w="80" w:type="dxa"/>
            </w:tcMar>
          </w:tcPr>
          <w:p>
            <w:pPr>
              <w:spacing w:before="0" w:after="0" w:line="252" w:lineRule="auto"/>
              <w:jc w:val="left"/>
            </w:pPr>
            <w:r>
              <w:rPr>
                <w:rFonts w:ascii="Times New Roman" w:hAnsi="Times New Roman"/>
                <w:sz w:val="16"/>
              </w:rPr>
              <w:t>5</w:t>
            </w:r>
          </w:p>
        </w:tc>
        <w:tc>
          <w:tcPr>
            <w:tcW w:type="dxa" w:w="2829"/>
            <w:vAlign w:val="center"/>
            <w:tcW w:w="2829" w:type="dxa"/>
            <w:tcMar>
              <w:top w:w="60" w:type="dxa"/>
              <w:bottom w:w="60" w:type="dxa"/>
              <w:left w:w="80" w:type="dxa"/>
              <w:right w:w="80" w:type="dxa"/>
            </w:tcMar>
          </w:tcPr>
          <w:p>
            <w:pPr>
              <w:spacing w:before="0" w:after="0" w:line="252" w:lineRule="auto"/>
              <w:jc w:val="left"/>
            </w:pPr>
            <w:r>
              <w:rPr>
                <w:rFonts w:ascii="Times New Roman" w:hAnsi="Times New Roman"/>
                <w:sz w:val="16"/>
              </w:rPr>
              <w:t>Over-pruned; leaf threshold limits fine spatial granularity</w:t>
            </w:r>
          </w:p>
        </w:tc>
      </w:tr>
      <w:tr>
        <w:trPr>
          <w:cantSplit/>
        </w:trPr>
        <w:tc>
          <w:tcPr>
            <w:tcW w:type="dxa" w:w="1017"/>
            <w:vAlign w:val="center"/>
            <w:tcW w:w="1017"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Decision Tree</w:t>
            </w:r>
          </w:p>
        </w:tc>
        <w:tc>
          <w:tcPr>
            <w:tcW w:type="dxa" w:w="1307"/>
            <w:vAlign w:val="center"/>
            <w:tcW w:w="1307" w:type="dxa"/>
            <w:tcMar>
              <w:top w:w="60" w:type="dxa"/>
              <w:bottom w:w="60" w:type="dxa"/>
              <w:left w:w="80" w:type="dxa"/>
              <w:right w:w="80" w:type="dxa"/>
            </w:tcMar>
            <w:shd w:val="clear" w:color="auto" w:fill="F8FAFC"/>
          </w:tcPr>
          <w:p>
            <w:pPr>
              <w:spacing w:before="0" w:after="0" w:line="252" w:lineRule="auto"/>
              <w:jc w:val="left"/>
            </w:pPr>
            <w:r>
              <w:rPr>
                <w:rFonts w:ascii="Cambria Math" w:hAnsi="Cambria Math"/>
                <w:sz w:val="16"/>
              </w:rPr>
              <w:t>d=10, L=20</w:t>
            </w:r>
          </w:p>
        </w:tc>
        <w:tc>
          <w:tcPr>
            <w:tcW w:type="dxa" w:w="1094"/>
            <w:vAlign w:val="center"/>
            <w:tcW w:w="1093"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4.9105</w:t>
            </w:r>
          </w:p>
        </w:tc>
        <w:tc>
          <w:tcPr>
            <w:tcW w:type="dxa" w:w="897"/>
            <w:vAlign w:val="center"/>
            <w:tcW w:w="896"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0.0712</w:t>
            </w:r>
          </w:p>
        </w:tc>
        <w:tc>
          <w:tcPr>
            <w:tcW w:type="dxa" w:w="897"/>
            <w:vAlign w:val="center"/>
            <w:tcW w:w="896"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4.7120</w:t>
            </w:r>
          </w:p>
        </w:tc>
        <w:tc>
          <w:tcPr>
            <w:tcW w:type="dxa" w:w="1017"/>
            <w:vAlign w:val="center"/>
            <w:tcW w:w="1017"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+0.1985</w:t>
            </w:r>
            <w:r>
              <w:rPr>
                <w:rFonts w:ascii="Times New Roman" w:hAnsi="Times New Roman"/>
                <w:sz w:val="16"/>
              </w:rPr>
              <w:t>d</w:t>
            </w:r>
          </w:p>
        </w:tc>
        <w:tc>
          <w:tcPr>
            <w:tcW w:type="dxa" w:w="978"/>
            <w:vAlign w:val="center"/>
            <w:tcW w:w="978"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4</w:t>
            </w:r>
          </w:p>
        </w:tc>
        <w:tc>
          <w:tcPr>
            <w:tcW w:type="dxa" w:w="2829"/>
            <w:vAlign w:val="center"/>
            <w:tcW w:w="2829"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Overfitting; small leaf sample size (</w:t>
            </w:r>
            <w:r>
              <w:rPr>
                <w:rFonts w:ascii="Cambria Math" w:hAnsi="Cambria Math"/>
                <w:sz w:val="16"/>
              </w:rPr>
              <w:t>L=20</w:t>
            </w:r>
            <w:r>
              <w:rPr>
                <w:rFonts w:ascii="Times New Roman" w:hAnsi="Times New Roman"/>
                <w:sz w:val="16"/>
              </w:rPr>
              <w:t>) memorizes local postal outliers</w:t>
            </w:r>
          </w:p>
        </w:tc>
      </w:tr>
      <w:tr>
        <w:trPr>
          <w:cantSplit/>
        </w:trPr>
        <w:tc>
          <w:tcPr>
            <w:tcW w:type="dxa" w:w="1017"/>
            <w:vAlign w:val="center"/>
            <w:tcW w:w="1017" w:type="dxa"/>
            <w:tcMar>
              <w:top w:w="60" w:type="dxa"/>
              <w:bottom w:w="60" w:type="dxa"/>
              <w:left w:w="80" w:type="dxa"/>
              <w:right w:w="80" w:type="dxa"/>
            </w:tcMar>
          </w:tcPr>
          <w:p>
            <w:pPr>
              <w:spacing w:before="0" w:after="0" w:line="252" w:lineRule="auto"/>
              <w:jc w:val="left"/>
            </w:pPr>
            <w:r>
              <w:rPr>
                <w:rFonts w:ascii="Times New Roman" w:hAnsi="Times New Roman"/>
                <w:b/>
                <w:sz w:val="16"/>
              </w:rPr>
              <w:t>Decision Tree</w:t>
            </w:r>
          </w:p>
        </w:tc>
        <w:tc>
          <w:tcPr>
            <w:tcW w:type="dxa" w:w="1307"/>
            <w:vAlign w:val="center"/>
            <w:tcW w:w="1307" w:type="dxa"/>
            <w:tcMar>
              <w:top w:w="60" w:type="dxa"/>
              <w:bottom w:w="60" w:type="dxa"/>
              <w:left w:w="80" w:type="dxa"/>
              <w:right w:w="80" w:type="dxa"/>
            </w:tcMar>
          </w:tcPr>
          <w:p>
            <w:pPr>
              <w:spacing w:before="0" w:after="0" w:line="252" w:lineRule="auto"/>
              <w:jc w:val="left"/>
            </w:pPr>
            <w:r>
              <w:rPr>
                <w:rFonts w:ascii="Cambria Math" w:hAnsi="Cambria Math"/>
                <w:sz w:val="16"/>
              </w:rPr>
              <w:t>d=10, L=50</w:t>
            </w:r>
          </w:p>
        </w:tc>
        <w:tc>
          <w:tcPr>
            <w:tcW w:type="dxa" w:w="1094"/>
            <w:vAlign w:val="center"/>
            <w:tcW w:w="1093" w:type="dxa"/>
            <w:tcMar>
              <w:top w:w="60" w:type="dxa"/>
              <w:bottom w:w="60" w:type="dxa"/>
              <w:left w:w="80" w:type="dxa"/>
              <w:right w:w="80" w:type="dxa"/>
            </w:tcMar>
          </w:tcPr>
          <w:p>
            <w:pPr>
              <w:spacing w:before="0" w:after="0" w:line="252" w:lineRule="auto"/>
              <w:jc w:val="center"/>
            </w:pPr>
            <w:r>
              <w:rPr>
                <w:rFonts w:ascii="Cambria Math" w:hAnsi="Cambria Math"/>
                <w:sz w:val="16"/>
              </w:rPr>
              <w:t>4.8720</w:t>
            </w:r>
          </w:p>
        </w:tc>
        <w:tc>
          <w:tcPr>
            <w:tcW w:type="dxa" w:w="897"/>
            <w:vAlign w:val="center"/>
            <w:tcW w:w="896" w:type="dxa"/>
            <w:tcMar>
              <w:top w:w="60" w:type="dxa"/>
              <w:bottom w:w="60" w:type="dxa"/>
              <w:left w:w="80" w:type="dxa"/>
              <w:right w:w="80" w:type="dxa"/>
            </w:tcMar>
          </w:tcPr>
          <w:p>
            <w:pPr>
              <w:spacing w:before="0" w:after="0" w:line="252" w:lineRule="auto"/>
              <w:jc w:val="center"/>
            </w:pPr>
            <w:r>
              <w:rPr>
                <w:rFonts w:ascii="Cambria Math" w:hAnsi="Cambria Math"/>
                <w:sz w:val="16"/>
              </w:rPr>
              <w:t>0.0704</w:t>
            </w:r>
          </w:p>
        </w:tc>
        <w:tc>
          <w:tcPr>
            <w:tcW w:type="dxa" w:w="897"/>
            <w:vAlign w:val="center"/>
            <w:tcW w:w="896" w:type="dxa"/>
            <w:tcMar>
              <w:top w:w="60" w:type="dxa"/>
              <w:bottom w:w="60" w:type="dxa"/>
              <w:left w:w="80" w:type="dxa"/>
              <w:right w:w="80" w:type="dxa"/>
            </w:tcMar>
          </w:tcPr>
          <w:p>
            <w:pPr>
              <w:spacing w:before="0" w:after="0" w:line="252" w:lineRule="auto"/>
              <w:jc w:val="center"/>
            </w:pPr>
            <w:r>
              <w:rPr>
                <w:rFonts w:ascii="Cambria Math" w:hAnsi="Cambria Math"/>
                <w:sz w:val="16"/>
              </w:rPr>
              <w:t>4.7610</w:t>
            </w:r>
          </w:p>
        </w:tc>
        <w:tc>
          <w:tcPr>
            <w:tcW w:type="dxa" w:w="1017"/>
            <w:vAlign w:val="center"/>
            <w:tcW w:w="1017" w:type="dxa"/>
            <w:tcMar>
              <w:top w:w="60" w:type="dxa"/>
              <w:bottom w:w="60" w:type="dxa"/>
              <w:left w:w="80" w:type="dxa"/>
              <w:right w:w="80" w:type="dxa"/>
            </w:tcMar>
          </w:tcPr>
          <w:p>
            <w:pPr>
              <w:spacing w:before="0" w:after="0" w:line="252" w:lineRule="auto"/>
              <w:jc w:val="center"/>
            </w:pPr>
            <w:r>
              <w:rPr>
                <w:rFonts w:ascii="Cambria Math" w:hAnsi="Cambria Math"/>
                <w:sz w:val="16"/>
              </w:rPr>
              <w:t>+0.1110</w:t>
            </w:r>
            <w:r>
              <w:rPr>
                <w:rFonts w:ascii="Times New Roman" w:hAnsi="Times New Roman"/>
                <w:sz w:val="16"/>
              </w:rPr>
              <w:t>d</w:t>
            </w:r>
          </w:p>
        </w:tc>
        <w:tc>
          <w:tcPr>
            <w:tcW w:type="dxa" w:w="978"/>
            <w:vAlign w:val="center"/>
            <w:tcW w:w="978" w:type="dxa"/>
            <w:tcMar>
              <w:top w:w="60" w:type="dxa"/>
              <w:bottom w:w="60" w:type="dxa"/>
              <w:left w:w="80" w:type="dxa"/>
              <w:right w:w="80" w:type="dxa"/>
            </w:tcMar>
          </w:tcPr>
          <w:p>
            <w:pPr>
              <w:spacing w:before="0" w:after="0" w:line="252" w:lineRule="auto"/>
              <w:jc w:val="left"/>
            </w:pPr>
            <w:r>
              <w:rPr>
                <w:rFonts w:ascii="Times New Roman" w:hAnsi="Times New Roman"/>
                <w:sz w:val="16"/>
              </w:rPr>
              <w:t>2</w:t>
            </w:r>
          </w:p>
        </w:tc>
        <w:tc>
          <w:tcPr>
            <w:tcW w:type="dxa" w:w="2829"/>
            <w:vAlign w:val="center"/>
            <w:tcW w:w="2829" w:type="dxa"/>
            <w:tcMar>
              <w:top w:w="60" w:type="dxa"/>
              <w:bottom w:w="60" w:type="dxa"/>
              <w:left w:w="80" w:type="dxa"/>
              <w:right w:w="80" w:type="dxa"/>
            </w:tcMar>
          </w:tcPr>
          <w:p>
            <w:pPr>
              <w:spacing w:before="0" w:after="0" w:line="252" w:lineRule="auto"/>
              <w:jc w:val="left"/>
            </w:pPr>
            <w:r>
              <w:rPr>
                <w:rFonts w:ascii="Times New Roman" w:hAnsi="Times New Roman"/>
                <w:sz w:val="16"/>
              </w:rPr>
              <w:t xml:space="preserve">Strong performance, but leaf variance higher than </w:t>
            </w:r>
            <w:r>
              <w:rPr>
                <w:rFonts w:ascii="Cambria Math" w:hAnsi="Cambria Math"/>
                <w:sz w:val="16"/>
              </w:rPr>
              <w:t>L=100</w:t>
            </w:r>
          </w:p>
        </w:tc>
      </w:tr>
      <w:tr>
        <w:trPr>
          <w:cantSplit/>
        </w:trPr>
        <w:tc>
          <w:tcPr>
            <w:tcW w:type="dxa" w:w="1017"/>
            <w:vAlign w:val="center"/>
            <w:tcW w:w="1017"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Decision Tree</w:t>
            </w:r>
          </w:p>
        </w:tc>
        <w:tc>
          <w:tcPr>
            <w:tcW w:type="dxa" w:w="1307"/>
            <w:vAlign w:val="center"/>
            <w:tcW w:w="1307" w:type="dxa"/>
            <w:tcMar>
              <w:top w:w="60" w:type="dxa"/>
              <w:bottom w:w="60" w:type="dxa"/>
              <w:left w:w="80" w:type="dxa"/>
              <w:right w:w="80" w:type="dxa"/>
            </w:tcMar>
            <w:shd w:val="clear" w:color="auto" w:fill="F8FAFC"/>
          </w:tcPr>
          <w:p>
            <w:pPr>
              <w:spacing w:before="0" w:after="0" w:line="252" w:lineRule="auto"/>
              <w:jc w:val="left"/>
            </w:pPr>
            <w:r>
              <w:rPr>
                <w:rFonts w:ascii="Cambria Math" w:hAnsi="Cambria Math"/>
                <w:sz w:val="16"/>
              </w:rPr>
              <w:t>d=10, L=100</w:t>
            </w:r>
          </w:p>
        </w:tc>
        <w:tc>
          <w:tcPr>
            <w:tcW w:type="dxa" w:w="1094"/>
            <w:vAlign w:val="center"/>
            <w:tcW w:w="1093"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4.8565</w:t>
            </w:r>
          </w:p>
        </w:tc>
        <w:tc>
          <w:tcPr>
            <w:tcW w:type="dxa" w:w="897"/>
            <w:vAlign w:val="center"/>
            <w:tcW w:w="896"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0.0702</w:t>
            </w:r>
          </w:p>
        </w:tc>
        <w:tc>
          <w:tcPr>
            <w:tcW w:type="dxa" w:w="897"/>
            <w:vAlign w:val="center"/>
            <w:tcW w:w="896"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4.7990</w:t>
            </w:r>
          </w:p>
        </w:tc>
        <w:tc>
          <w:tcPr>
            <w:tcW w:type="dxa" w:w="1017"/>
            <w:vAlign w:val="center"/>
            <w:tcW w:w="1017"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+0.0575d</w:t>
            </w:r>
          </w:p>
        </w:tc>
        <w:tc>
          <w:tcPr>
            <w:tcW w:type="dxa" w:w="978"/>
            <w:vAlign w:val="center"/>
            <w:tcW w:w="978"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1 (Selected)</w:t>
            </w:r>
          </w:p>
        </w:tc>
        <w:tc>
          <w:tcPr>
            <w:tcW w:type="dxa" w:w="2829"/>
            <w:vAlign w:val="center"/>
            <w:tcW w:w="2829"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b/>
                <w:sz w:val="16"/>
              </w:rPr>
              <w:t>Optimal Tree Champion</w:t>
            </w:r>
            <w:r>
              <w:rPr>
                <w:rFonts w:ascii="Times New Roman" w:hAnsi="Times New Roman"/>
                <w:sz w:val="16"/>
              </w:rPr>
              <w:t xml:space="preserve">: </w:t>
            </w:r>
            <w:r>
              <w:rPr>
                <w:rFonts w:ascii="Cambria Math" w:hAnsi="Cambria Math"/>
                <w:sz w:val="16"/>
              </w:rPr>
              <w:t>-7.7\%</w:t>
            </w:r>
            <w:r>
              <w:rPr>
                <w:rFonts w:ascii="Times New Roman" w:hAnsi="Times New Roman"/>
                <w:sz w:val="16"/>
              </w:rPr>
              <w:t xml:space="preserve"> MAE drop vs. default; robust </w:t>
            </w:r>
            <w:r>
              <w:rPr>
                <w:rFonts w:ascii="Cambria Math" w:hAnsi="Cambria Math"/>
                <w:sz w:val="16"/>
              </w:rPr>
              <w:t>≥ 100</w:t>
            </w:r>
            <w:r>
              <w:rPr>
                <w:rFonts w:ascii="Times New Roman" w:hAnsi="Times New Roman"/>
                <w:sz w:val="16"/>
              </w:rPr>
              <w:t xml:space="preserve"> order leaves</w:t>
            </w:r>
          </w:p>
        </w:tc>
      </w:tr>
      <w:tr>
        <w:trPr>
          <w:cantSplit/>
        </w:trPr>
        <w:tc>
          <w:tcPr>
            <w:tcW w:type="dxa" w:w="1017"/>
            <w:vAlign w:val="center"/>
            <w:tcW w:w="1017" w:type="dxa"/>
            <w:tcMar>
              <w:top w:w="60" w:type="dxa"/>
              <w:bottom w:w="60" w:type="dxa"/>
              <w:left w:w="80" w:type="dxa"/>
              <w:right w:w="80" w:type="dxa"/>
            </w:tcMar>
          </w:tcPr>
          <w:p>
            <w:pPr>
              <w:spacing w:before="0" w:after="0" w:line="252" w:lineRule="auto"/>
              <w:jc w:val="left"/>
            </w:pPr>
            <w:r>
              <w:rPr>
                <w:rFonts w:ascii="Times New Roman" w:hAnsi="Times New Roman"/>
                <w:b/>
                <w:sz w:val="16"/>
              </w:rPr>
              <w:t>Decision Tree</w:t>
            </w:r>
          </w:p>
        </w:tc>
        <w:tc>
          <w:tcPr>
            <w:tcW w:type="dxa" w:w="1307"/>
            <w:vAlign w:val="center"/>
            <w:tcW w:w="1307" w:type="dxa"/>
            <w:tcMar>
              <w:top w:w="60" w:type="dxa"/>
              <w:bottom w:w="60" w:type="dxa"/>
              <w:left w:w="80" w:type="dxa"/>
              <w:right w:w="80" w:type="dxa"/>
            </w:tcMar>
          </w:tcPr>
          <w:p>
            <w:pPr>
              <w:spacing w:before="0" w:after="0" w:line="252" w:lineRule="auto"/>
              <w:jc w:val="left"/>
            </w:pPr>
            <w:r>
              <w:rPr>
                <w:rFonts w:ascii="Cambria Math" w:hAnsi="Cambria Math"/>
                <w:sz w:val="16"/>
              </w:rPr>
              <w:t>d=10, L=200</w:t>
            </w:r>
          </w:p>
        </w:tc>
        <w:tc>
          <w:tcPr>
            <w:tcW w:type="dxa" w:w="1094"/>
            <w:vAlign w:val="center"/>
            <w:tcW w:w="1093" w:type="dxa"/>
            <w:tcMar>
              <w:top w:w="60" w:type="dxa"/>
              <w:bottom w:w="60" w:type="dxa"/>
              <w:left w:w="80" w:type="dxa"/>
              <w:right w:w="80" w:type="dxa"/>
            </w:tcMar>
          </w:tcPr>
          <w:p>
            <w:pPr>
              <w:spacing w:before="0" w:after="0" w:line="252" w:lineRule="auto"/>
              <w:jc w:val="center"/>
            </w:pPr>
            <w:r>
              <w:rPr>
                <w:rFonts w:ascii="Cambria Math" w:hAnsi="Cambria Math"/>
                <w:sz w:val="16"/>
              </w:rPr>
              <w:t>4.8810</w:t>
            </w:r>
          </w:p>
        </w:tc>
        <w:tc>
          <w:tcPr>
            <w:tcW w:type="dxa" w:w="897"/>
            <w:vAlign w:val="center"/>
            <w:tcW w:w="896" w:type="dxa"/>
            <w:tcMar>
              <w:top w:w="60" w:type="dxa"/>
              <w:bottom w:w="60" w:type="dxa"/>
              <w:left w:w="80" w:type="dxa"/>
              <w:right w:w="80" w:type="dxa"/>
            </w:tcMar>
          </w:tcPr>
          <w:p>
            <w:pPr>
              <w:spacing w:before="0" w:after="0" w:line="252" w:lineRule="auto"/>
              <w:jc w:val="center"/>
            </w:pPr>
            <w:r>
              <w:rPr>
                <w:rFonts w:ascii="Cambria Math" w:hAnsi="Cambria Math"/>
                <w:sz w:val="16"/>
              </w:rPr>
              <w:t>0.0693</w:t>
            </w:r>
          </w:p>
        </w:tc>
        <w:tc>
          <w:tcPr>
            <w:tcW w:type="dxa" w:w="897"/>
            <w:vAlign w:val="center"/>
            <w:tcW w:w="896" w:type="dxa"/>
            <w:tcMar>
              <w:top w:w="60" w:type="dxa"/>
              <w:bottom w:w="60" w:type="dxa"/>
              <w:left w:w="80" w:type="dxa"/>
              <w:right w:w="80" w:type="dxa"/>
            </w:tcMar>
          </w:tcPr>
          <w:p>
            <w:pPr>
              <w:spacing w:before="0" w:after="0" w:line="252" w:lineRule="auto"/>
              <w:jc w:val="center"/>
            </w:pPr>
            <w:r>
              <w:rPr>
                <w:rFonts w:ascii="Cambria Math" w:hAnsi="Cambria Math"/>
                <w:sz w:val="16"/>
              </w:rPr>
              <w:t>4.8210</w:t>
            </w:r>
          </w:p>
        </w:tc>
        <w:tc>
          <w:tcPr>
            <w:tcW w:type="dxa" w:w="1017"/>
            <w:vAlign w:val="center"/>
            <w:tcW w:w="1017" w:type="dxa"/>
            <w:tcMar>
              <w:top w:w="60" w:type="dxa"/>
              <w:bottom w:w="60" w:type="dxa"/>
              <w:left w:w="80" w:type="dxa"/>
              <w:right w:w="80" w:type="dxa"/>
            </w:tcMar>
          </w:tcPr>
          <w:p>
            <w:pPr>
              <w:spacing w:before="0" w:after="0" w:line="252" w:lineRule="auto"/>
              <w:jc w:val="center"/>
            </w:pPr>
            <w:r>
              <w:rPr>
                <w:rFonts w:ascii="Cambria Math" w:hAnsi="Cambria Math"/>
                <w:sz w:val="16"/>
              </w:rPr>
              <w:t>+0.0600</w:t>
            </w:r>
            <w:r>
              <w:rPr>
                <w:rFonts w:ascii="Times New Roman" w:hAnsi="Times New Roman"/>
                <w:sz w:val="16"/>
              </w:rPr>
              <w:t>d</w:t>
            </w:r>
          </w:p>
        </w:tc>
        <w:tc>
          <w:tcPr>
            <w:tcW w:type="dxa" w:w="978"/>
            <w:vAlign w:val="center"/>
            <w:tcW w:w="978" w:type="dxa"/>
            <w:tcMar>
              <w:top w:w="60" w:type="dxa"/>
              <w:bottom w:w="60" w:type="dxa"/>
              <w:left w:w="80" w:type="dxa"/>
              <w:right w:w="80" w:type="dxa"/>
            </w:tcMar>
          </w:tcPr>
          <w:p>
            <w:pPr>
              <w:spacing w:before="0" w:after="0" w:line="252" w:lineRule="auto"/>
              <w:jc w:val="left"/>
            </w:pPr>
            <w:r>
              <w:rPr>
                <w:rFonts w:ascii="Times New Roman" w:hAnsi="Times New Roman"/>
                <w:sz w:val="16"/>
              </w:rPr>
              <w:t>3</w:t>
            </w:r>
          </w:p>
        </w:tc>
        <w:tc>
          <w:tcPr>
            <w:tcW w:type="dxa" w:w="2829"/>
            <w:vAlign w:val="center"/>
            <w:tcW w:w="2829" w:type="dxa"/>
            <w:tcMar>
              <w:top w:w="60" w:type="dxa"/>
              <w:bottom w:w="60" w:type="dxa"/>
              <w:left w:w="80" w:type="dxa"/>
              <w:right w:w="80" w:type="dxa"/>
            </w:tcMar>
          </w:tcPr>
          <w:p>
            <w:pPr>
              <w:spacing w:before="0" w:after="0" w:line="252" w:lineRule="auto"/>
              <w:jc w:val="left"/>
            </w:pPr>
            <w:r>
              <w:rPr>
                <w:rFonts w:ascii="Times New Roman" w:hAnsi="Times New Roman"/>
                <w:sz w:val="16"/>
              </w:rPr>
              <w:t>Over-pruned; suppresses genuine interstate transit differences</w:t>
            </w:r>
          </w:p>
        </w:tc>
      </w:tr>
      <w:tr>
        <w:trPr>
          <w:cantSplit/>
        </w:trPr>
        <w:tc>
          <w:tcPr>
            <w:tcW w:type="dxa" w:w="1017"/>
            <w:vAlign w:val="center"/>
            <w:tcW w:w="1017"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Random Forest</w:t>
            </w:r>
          </w:p>
        </w:tc>
        <w:tc>
          <w:tcPr>
            <w:tcW w:type="dxa" w:w="1307"/>
            <w:vAlign w:val="center"/>
            <w:tcW w:w="1307" w:type="dxa"/>
            <w:tcMar>
              <w:top w:w="60" w:type="dxa"/>
              <w:bottom w:w="60" w:type="dxa"/>
              <w:left w:w="80" w:type="dxa"/>
              <w:right w:w="80" w:type="dxa"/>
            </w:tcMar>
            <w:shd w:val="clear" w:color="auto" w:fill="F8FAFC"/>
          </w:tcPr>
          <w:p>
            <w:pPr>
              <w:spacing w:before="0" w:after="0" w:line="252" w:lineRule="auto"/>
              <w:jc w:val="left"/>
            </w:pPr>
            <w:r>
              <w:rPr>
                <w:rFonts w:ascii="Cambria Math" w:hAnsi="Cambria Math"/>
                <w:sz w:val="16"/>
              </w:rPr>
              <w:t>d=6, L=20</w:t>
            </w:r>
          </w:p>
        </w:tc>
        <w:tc>
          <w:tcPr>
            <w:tcW w:type="dxa" w:w="1094"/>
            <w:vAlign w:val="center"/>
            <w:tcW w:w="1093"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4.8820</w:t>
            </w:r>
          </w:p>
        </w:tc>
        <w:tc>
          <w:tcPr>
            <w:tcW w:type="dxa" w:w="897"/>
            <w:vAlign w:val="center"/>
            <w:tcW w:w="896"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0.0682</w:t>
            </w:r>
          </w:p>
        </w:tc>
        <w:tc>
          <w:tcPr>
            <w:tcW w:type="dxa" w:w="897"/>
            <w:vAlign w:val="center"/>
            <w:tcW w:w="896"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4.7210</w:t>
            </w:r>
          </w:p>
        </w:tc>
        <w:tc>
          <w:tcPr>
            <w:tcW w:type="dxa" w:w="1017"/>
            <w:vAlign w:val="center"/>
            <w:tcW w:w="1017"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+0.1610</w:t>
            </w:r>
            <w:r>
              <w:rPr>
                <w:rFonts w:ascii="Times New Roman" w:hAnsi="Times New Roman"/>
                <w:sz w:val="16"/>
              </w:rPr>
              <w:t>d</w:t>
            </w:r>
          </w:p>
        </w:tc>
        <w:tc>
          <w:tcPr>
            <w:tcW w:type="dxa" w:w="978"/>
            <w:vAlign w:val="center"/>
            <w:tcW w:w="978"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6</w:t>
            </w:r>
          </w:p>
        </w:tc>
        <w:tc>
          <w:tcPr>
            <w:tcW w:type="dxa" w:w="2829"/>
            <w:vAlign w:val="center"/>
            <w:tcW w:w="2829"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Underfitting depth capacity; ensemble cannot exploit full spatial interaction</w:t>
            </w:r>
          </w:p>
        </w:tc>
      </w:tr>
      <w:tr>
        <w:trPr>
          <w:cantSplit/>
        </w:trPr>
        <w:tc>
          <w:tcPr>
            <w:tcW w:type="dxa" w:w="1017"/>
            <w:vAlign w:val="center"/>
            <w:tcW w:w="1017" w:type="dxa"/>
            <w:tcMar>
              <w:top w:w="60" w:type="dxa"/>
              <w:bottom w:w="60" w:type="dxa"/>
              <w:left w:w="80" w:type="dxa"/>
              <w:right w:w="80" w:type="dxa"/>
            </w:tcMar>
          </w:tcPr>
          <w:p>
            <w:pPr>
              <w:spacing w:before="0" w:after="0" w:line="252" w:lineRule="auto"/>
              <w:jc w:val="left"/>
            </w:pPr>
            <w:r>
              <w:rPr>
                <w:rFonts w:ascii="Times New Roman" w:hAnsi="Times New Roman"/>
                <w:b/>
                <w:sz w:val="16"/>
              </w:rPr>
              <w:t>Random Forest</w:t>
            </w:r>
          </w:p>
        </w:tc>
        <w:tc>
          <w:tcPr>
            <w:tcW w:type="dxa" w:w="1307"/>
            <w:vAlign w:val="center"/>
            <w:tcW w:w="1307" w:type="dxa"/>
            <w:tcMar>
              <w:top w:w="60" w:type="dxa"/>
              <w:bottom w:w="60" w:type="dxa"/>
              <w:left w:w="80" w:type="dxa"/>
              <w:right w:w="80" w:type="dxa"/>
            </w:tcMar>
          </w:tcPr>
          <w:p>
            <w:pPr>
              <w:spacing w:before="0" w:after="0" w:line="252" w:lineRule="auto"/>
              <w:jc w:val="left"/>
            </w:pPr>
            <w:r>
              <w:rPr>
                <w:rFonts w:ascii="Cambria Math" w:hAnsi="Cambria Math"/>
                <w:sz w:val="16"/>
              </w:rPr>
              <w:t>d=6, L=50</w:t>
            </w:r>
          </w:p>
        </w:tc>
        <w:tc>
          <w:tcPr>
            <w:tcW w:type="dxa" w:w="1094"/>
            <w:vAlign w:val="center"/>
            <w:tcW w:w="1093" w:type="dxa"/>
            <w:tcMar>
              <w:top w:w="60" w:type="dxa"/>
              <w:bottom w:w="60" w:type="dxa"/>
              <w:left w:w="80" w:type="dxa"/>
              <w:right w:w="80" w:type="dxa"/>
            </w:tcMar>
          </w:tcPr>
          <w:p>
            <w:pPr>
              <w:spacing w:before="0" w:after="0" w:line="252" w:lineRule="auto"/>
              <w:jc w:val="center"/>
            </w:pPr>
            <w:r>
              <w:rPr>
                <w:rFonts w:ascii="Cambria Math" w:hAnsi="Cambria Math"/>
                <w:sz w:val="16"/>
              </w:rPr>
              <w:t>4.9015</w:t>
            </w:r>
          </w:p>
        </w:tc>
        <w:tc>
          <w:tcPr>
            <w:tcW w:type="dxa" w:w="897"/>
            <w:vAlign w:val="center"/>
            <w:tcW w:w="896" w:type="dxa"/>
            <w:tcMar>
              <w:top w:w="60" w:type="dxa"/>
              <w:bottom w:w="60" w:type="dxa"/>
              <w:left w:w="80" w:type="dxa"/>
              <w:right w:w="80" w:type="dxa"/>
            </w:tcMar>
          </w:tcPr>
          <w:p>
            <w:pPr>
              <w:spacing w:before="0" w:after="0" w:line="252" w:lineRule="auto"/>
              <w:jc w:val="center"/>
            </w:pPr>
            <w:r>
              <w:rPr>
                <w:rFonts w:ascii="Cambria Math" w:hAnsi="Cambria Math"/>
                <w:sz w:val="16"/>
              </w:rPr>
              <w:t>0.0680</w:t>
            </w:r>
          </w:p>
        </w:tc>
        <w:tc>
          <w:tcPr>
            <w:tcW w:type="dxa" w:w="897"/>
            <w:vAlign w:val="center"/>
            <w:tcW w:w="896" w:type="dxa"/>
            <w:tcMar>
              <w:top w:w="60" w:type="dxa"/>
              <w:bottom w:w="60" w:type="dxa"/>
              <w:left w:w="80" w:type="dxa"/>
              <w:right w:w="80" w:type="dxa"/>
            </w:tcMar>
          </w:tcPr>
          <w:p>
            <w:pPr>
              <w:spacing w:before="0" w:after="0" w:line="252" w:lineRule="auto"/>
              <w:jc w:val="center"/>
            </w:pPr>
            <w:r>
              <w:rPr>
                <w:rFonts w:ascii="Cambria Math" w:hAnsi="Cambria Math"/>
                <w:sz w:val="16"/>
              </w:rPr>
              <w:t>4.7520</w:t>
            </w:r>
          </w:p>
        </w:tc>
        <w:tc>
          <w:tcPr>
            <w:tcW w:type="dxa" w:w="1017"/>
            <w:vAlign w:val="center"/>
            <w:tcW w:w="1017" w:type="dxa"/>
            <w:tcMar>
              <w:top w:w="60" w:type="dxa"/>
              <w:bottom w:w="60" w:type="dxa"/>
              <w:left w:w="80" w:type="dxa"/>
              <w:right w:w="80" w:type="dxa"/>
            </w:tcMar>
          </w:tcPr>
          <w:p>
            <w:pPr>
              <w:spacing w:before="0" w:after="0" w:line="252" w:lineRule="auto"/>
              <w:jc w:val="center"/>
            </w:pPr>
            <w:r>
              <w:rPr>
                <w:rFonts w:ascii="Cambria Math" w:hAnsi="Cambria Math"/>
                <w:sz w:val="16"/>
              </w:rPr>
              <w:t>+0.1495</w:t>
            </w:r>
            <w:r>
              <w:rPr>
                <w:rFonts w:ascii="Times New Roman" w:hAnsi="Times New Roman"/>
                <w:sz w:val="16"/>
              </w:rPr>
              <w:t>d</w:t>
            </w:r>
          </w:p>
        </w:tc>
        <w:tc>
          <w:tcPr>
            <w:tcW w:type="dxa" w:w="978"/>
            <w:vAlign w:val="center"/>
            <w:tcW w:w="978" w:type="dxa"/>
            <w:tcMar>
              <w:top w:w="60" w:type="dxa"/>
              <w:bottom w:w="60" w:type="dxa"/>
              <w:left w:w="80" w:type="dxa"/>
              <w:right w:w="80" w:type="dxa"/>
            </w:tcMar>
          </w:tcPr>
          <w:p>
            <w:pPr>
              <w:spacing w:before="0" w:after="0" w:line="252" w:lineRule="auto"/>
              <w:jc w:val="left"/>
            </w:pPr>
            <w:r>
              <w:rPr>
                <w:rFonts w:ascii="Times New Roman" w:hAnsi="Times New Roman"/>
                <w:sz w:val="16"/>
              </w:rPr>
              <w:t>5</w:t>
            </w:r>
          </w:p>
        </w:tc>
        <w:tc>
          <w:tcPr>
            <w:tcW w:type="dxa" w:w="2829"/>
            <w:vAlign w:val="center"/>
            <w:tcW w:w="2829" w:type="dxa"/>
            <w:tcMar>
              <w:top w:w="60" w:type="dxa"/>
              <w:bottom w:w="60" w:type="dxa"/>
              <w:left w:w="80" w:type="dxa"/>
              <w:right w:w="80" w:type="dxa"/>
            </w:tcMar>
          </w:tcPr>
          <w:p>
            <w:pPr>
              <w:spacing w:before="0" w:after="0" w:line="252" w:lineRule="auto"/>
              <w:jc w:val="left"/>
            </w:pPr>
            <w:r>
              <w:rPr>
                <w:rFonts w:ascii="Times New Roman" w:hAnsi="Times New Roman"/>
                <w:sz w:val="16"/>
              </w:rPr>
              <w:t>Underfitting; depth 6 is overly shallow for 50-tree bagging</w:t>
            </w:r>
          </w:p>
        </w:tc>
      </w:tr>
      <w:tr>
        <w:trPr>
          <w:cantSplit/>
        </w:trPr>
        <w:tc>
          <w:tcPr>
            <w:tcW w:type="dxa" w:w="1017"/>
            <w:vAlign w:val="center"/>
            <w:tcW w:w="1017"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Random Forest</w:t>
            </w:r>
          </w:p>
        </w:tc>
        <w:tc>
          <w:tcPr>
            <w:tcW w:type="dxa" w:w="1307"/>
            <w:vAlign w:val="center"/>
            <w:tcW w:w="1307" w:type="dxa"/>
            <w:tcMar>
              <w:top w:w="60" w:type="dxa"/>
              <w:bottom w:w="60" w:type="dxa"/>
              <w:left w:w="80" w:type="dxa"/>
              <w:right w:w="80" w:type="dxa"/>
            </w:tcMar>
            <w:shd w:val="clear" w:color="auto" w:fill="F8FAFC"/>
          </w:tcPr>
          <w:p>
            <w:pPr>
              <w:spacing w:before="0" w:after="0" w:line="252" w:lineRule="auto"/>
              <w:jc w:val="left"/>
            </w:pPr>
            <w:r>
              <w:rPr>
                <w:rFonts w:ascii="Cambria Math" w:hAnsi="Cambria Math"/>
                <w:sz w:val="16"/>
              </w:rPr>
              <w:t>d=10, L=50</w:t>
            </w:r>
          </w:p>
        </w:tc>
        <w:tc>
          <w:tcPr>
            <w:tcW w:type="dxa" w:w="1094"/>
            <w:vAlign w:val="center"/>
            <w:tcW w:w="1093"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4.8110</w:t>
            </w:r>
          </w:p>
        </w:tc>
        <w:tc>
          <w:tcPr>
            <w:tcW w:type="dxa" w:w="897"/>
            <w:vAlign w:val="center"/>
            <w:tcW w:w="896"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0.0671</w:t>
            </w:r>
          </w:p>
        </w:tc>
        <w:tc>
          <w:tcPr>
            <w:tcW w:type="dxa" w:w="897"/>
            <w:vAlign w:val="center"/>
            <w:tcW w:w="896"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4.6310</w:t>
            </w:r>
          </w:p>
        </w:tc>
        <w:tc>
          <w:tcPr>
            <w:tcW w:type="dxa" w:w="1017"/>
            <w:vAlign w:val="center"/>
            <w:tcW w:w="1017"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+0.1800</w:t>
            </w:r>
            <w:r>
              <w:rPr>
                <w:rFonts w:ascii="Times New Roman" w:hAnsi="Times New Roman"/>
                <w:sz w:val="16"/>
              </w:rPr>
              <w:t>d</w:t>
            </w:r>
          </w:p>
        </w:tc>
        <w:tc>
          <w:tcPr>
            <w:tcW w:type="dxa" w:w="978"/>
            <w:vAlign w:val="center"/>
            <w:tcW w:w="978"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4</w:t>
            </w:r>
          </w:p>
        </w:tc>
        <w:tc>
          <w:tcPr>
            <w:tcW w:type="dxa" w:w="2829"/>
            <w:vAlign w:val="center"/>
            <w:tcW w:w="2829"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Solid ensemble performance, but constrained by depth 10 ceiling</w:t>
            </w:r>
          </w:p>
        </w:tc>
      </w:tr>
      <w:tr>
        <w:trPr>
          <w:cantSplit/>
        </w:trPr>
        <w:tc>
          <w:tcPr>
            <w:tcW w:type="dxa" w:w="1017"/>
            <w:vAlign w:val="center"/>
            <w:tcW w:w="1017" w:type="dxa"/>
            <w:tcMar>
              <w:top w:w="60" w:type="dxa"/>
              <w:bottom w:w="60" w:type="dxa"/>
              <w:left w:w="80" w:type="dxa"/>
              <w:right w:w="80" w:type="dxa"/>
            </w:tcMar>
          </w:tcPr>
          <w:p>
            <w:pPr>
              <w:spacing w:before="0" w:after="0" w:line="252" w:lineRule="auto"/>
              <w:jc w:val="left"/>
            </w:pPr>
            <w:r>
              <w:rPr>
                <w:rFonts w:ascii="Times New Roman" w:hAnsi="Times New Roman"/>
                <w:b/>
                <w:sz w:val="16"/>
              </w:rPr>
              <w:t>Random Forest</w:t>
            </w:r>
          </w:p>
        </w:tc>
        <w:tc>
          <w:tcPr>
            <w:tcW w:type="dxa" w:w="1307"/>
            <w:vAlign w:val="center"/>
            <w:tcW w:w="1307" w:type="dxa"/>
            <w:tcMar>
              <w:top w:w="60" w:type="dxa"/>
              <w:bottom w:w="60" w:type="dxa"/>
              <w:left w:w="80" w:type="dxa"/>
              <w:right w:w="80" w:type="dxa"/>
            </w:tcMar>
          </w:tcPr>
          <w:p>
            <w:pPr>
              <w:spacing w:before="0" w:after="0" w:line="252" w:lineRule="auto"/>
              <w:jc w:val="left"/>
            </w:pPr>
            <w:r>
              <w:rPr>
                <w:rFonts w:ascii="Cambria Math" w:hAnsi="Cambria Math"/>
                <w:sz w:val="16"/>
              </w:rPr>
              <w:t>d=10, L=20</w:t>
            </w:r>
          </w:p>
        </w:tc>
        <w:tc>
          <w:tcPr>
            <w:tcW w:type="dxa" w:w="1094"/>
            <w:vAlign w:val="center"/>
            <w:tcW w:w="1093" w:type="dxa"/>
            <w:tcMar>
              <w:top w:w="60" w:type="dxa"/>
              <w:bottom w:w="60" w:type="dxa"/>
              <w:left w:w="80" w:type="dxa"/>
              <w:right w:w="80" w:type="dxa"/>
            </w:tcMar>
          </w:tcPr>
          <w:p>
            <w:pPr>
              <w:spacing w:before="0" w:after="0" w:line="252" w:lineRule="auto"/>
              <w:jc w:val="center"/>
            </w:pPr>
            <w:r>
              <w:rPr>
                <w:rFonts w:ascii="Cambria Math" w:hAnsi="Cambria Math"/>
                <w:sz w:val="16"/>
              </w:rPr>
              <w:t>4.7820</w:t>
            </w:r>
          </w:p>
        </w:tc>
        <w:tc>
          <w:tcPr>
            <w:tcW w:type="dxa" w:w="897"/>
            <w:vAlign w:val="center"/>
            <w:tcW w:w="896" w:type="dxa"/>
            <w:tcMar>
              <w:top w:w="60" w:type="dxa"/>
              <w:bottom w:w="60" w:type="dxa"/>
              <w:left w:w="80" w:type="dxa"/>
              <w:right w:w="80" w:type="dxa"/>
            </w:tcMar>
          </w:tcPr>
          <w:p>
            <w:pPr>
              <w:spacing w:before="0" w:after="0" w:line="252" w:lineRule="auto"/>
              <w:jc w:val="center"/>
            </w:pPr>
            <w:r>
              <w:rPr>
                <w:rFonts w:ascii="Cambria Math" w:hAnsi="Cambria Math"/>
                <w:sz w:val="16"/>
              </w:rPr>
              <w:t>0.0669</w:t>
            </w:r>
          </w:p>
        </w:tc>
        <w:tc>
          <w:tcPr>
            <w:tcW w:type="dxa" w:w="897"/>
            <w:vAlign w:val="center"/>
            <w:tcW w:w="896" w:type="dxa"/>
            <w:tcMar>
              <w:top w:w="60" w:type="dxa"/>
              <w:bottom w:w="60" w:type="dxa"/>
              <w:left w:w="80" w:type="dxa"/>
              <w:right w:w="80" w:type="dxa"/>
            </w:tcMar>
          </w:tcPr>
          <w:p>
            <w:pPr>
              <w:spacing w:before="0" w:after="0" w:line="252" w:lineRule="auto"/>
              <w:jc w:val="center"/>
            </w:pPr>
            <w:r>
              <w:rPr>
                <w:rFonts w:ascii="Cambria Math" w:hAnsi="Cambria Math"/>
                <w:sz w:val="16"/>
              </w:rPr>
              <w:t>4.5920</w:t>
            </w:r>
          </w:p>
        </w:tc>
        <w:tc>
          <w:tcPr>
            <w:tcW w:type="dxa" w:w="1017"/>
            <w:vAlign w:val="center"/>
            <w:tcW w:w="1017" w:type="dxa"/>
            <w:tcMar>
              <w:top w:w="60" w:type="dxa"/>
              <w:bottom w:w="60" w:type="dxa"/>
              <w:left w:w="80" w:type="dxa"/>
              <w:right w:w="80" w:type="dxa"/>
            </w:tcMar>
          </w:tcPr>
          <w:p>
            <w:pPr>
              <w:spacing w:before="0" w:after="0" w:line="252" w:lineRule="auto"/>
              <w:jc w:val="center"/>
            </w:pPr>
            <w:r>
              <w:rPr>
                <w:rFonts w:ascii="Cambria Math" w:hAnsi="Cambria Math"/>
                <w:sz w:val="16"/>
              </w:rPr>
              <w:t>+0.1900</w:t>
            </w:r>
            <w:r>
              <w:rPr>
                <w:rFonts w:ascii="Times New Roman" w:hAnsi="Times New Roman"/>
                <w:sz w:val="16"/>
              </w:rPr>
              <w:t>d</w:t>
            </w:r>
          </w:p>
        </w:tc>
        <w:tc>
          <w:tcPr>
            <w:tcW w:type="dxa" w:w="978"/>
            <w:vAlign w:val="center"/>
            <w:tcW w:w="978" w:type="dxa"/>
            <w:tcMar>
              <w:top w:w="60" w:type="dxa"/>
              <w:bottom w:w="60" w:type="dxa"/>
              <w:left w:w="80" w:type="dxa"/>
              <w:right w:w="80" w:type="dxa"/>
            </w:tcMar>
          </w:tcPr>
          <w:p>
            <w:pPr>
              <w:spacing w:before="0" w:after="0" w:line="252" w:lineRule="auto"/>
              <w:jc w:val="left"/>
            </w:pPr>
            <w:r>
              <w:rPr>
                <w:rFonts w:ascii="Times New Roman" w:hAnsi="Times New Roman"/>
                <w:sz w:val="16"/>
              </w:rPr>
              <w:t>3</w:t>
            </w:r>
          </w:p>
        </w:tc>
        <w:tc>
          <w:tcPr>
            <w:tcW w:type="dxa" w:w="2829"/>
            <w:vAlign w:val="center"/>
            <w:tcW w:w="2829" w:type="dxa"/>
            <w:tcMar>
              <w:top w:w="60" w:type="dxa"/>
              <w:bottom w:w="60" w:type="dxa"/>
              <w:left w:w="80" w:type="dxa"/>
              <w:right w:w="80" w:type="dxa"/>
            </w:tcMar>
          </w:tcPr>
          <w:p>
            <w:pPr>
              <w:spacing w:before="0" w:after="0" w:line="252" w:lineRule="auto"/>
              <w:jc w:val="left"/>
            </w:pPr>
            <w:r>
              <w:rPr>
                <w:rFonts w:ascii="Times New Roman" w:hAnsi="Times New Roman"/>
                <w:sz w:val="16"/>
              </w:rPr>
              <w:t>High stability; approaches linear Ridge performance</w:t>
            </w:r>
          </w:p>
        </w:tc>
      </w:tr>
      <w:tr>
        <w:trPr>
          <w:cantSplit/>
        </w:trPr>
        <w:tc>
          <w:tcPr>
            <w:tcW w:type="dxa" w:w="1017"/>
            <w:vAlign w:val="center"/>
            <w:tcW w:w="1017"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Random Forest</w:t>
            </w:r>
          </w:p>
        </w:tc>
        <w:tc>
          <w:tcPr>
            <w:tcW w:type="dxa" w:w="1307"/>
            <w:vAlign w:val="center"/>
            <w:tcW w:w="1307" w:type="dxa"/>
            <w:tcMar>
              <w:top w:w="60" w:type="dxa"/>
              <w:bottom w:w="60" w:type="dxa"/>
              <w:left w:w="80" w:type="dxa"/>
              <w:right w:w="80" w:type="dxa"/>
            </w:tcMar>
            <w:shd w:val="clear" w:color="auto" w:fill="F8FAFC"/>
          </w:tcPr>
          <w:p>
            <w:pPr>
              <w:spacing w:before="0" w:after="0" w:line="252" w:lineRule="auto"/>
              <w:jc w:val="left"/>
            </w:pPr>
            <w:r>
              <w:rPr>
                <w:rFonts w:ascii="Cambria Math" w:hAnsi="Cambria Math"/>
                <w:sz w:val="16"/>
              </w:rPr>
              <w:t>d=14, L=50</w:t>
            </w:r>
          </w:p>
        </w:tc>
        <w:tc>
          <w:tcPr>
            <w:tcW w:type="dxa" w:w="1094"/>
            <w:vAlign w:val="center"/>
            <w:tcW w:w="1093"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4.7410</w:t>
            </w:r>
          </w:p>
        </w:tc>
        <w:tc>
          <w:tcPr>
            <w:tcW w:type="dxa" w:w="897"/>
            <w:vAlign w:val="center"/>
            <w:tcW w:w="896"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0.0663</w:t>
            </w:r>
          </w:p>
        </w:tc>
        <w:tc>
          <w:tcPr>
            <w:tcW w:type="dxa" w:w="897"/>
            <w:vAlign w:val="center"/>
            <w:tcW w:w="896"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4.5610</w:t>
            </w:r>
          </w:p>
        </w:tc>
        <w:tc>
          <w:tcPr>
            <w:tcW w:type="dxa" w:w="1017"/>
            <w:vAlign w:val="center"/>
            <w:tcW w:w="1017"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+0.1800</w:t>
            </w:r>
            <w:r>
              <w:rPr>
                <w:rFonts w:ascii="Times New Roman" w:hAnsi="Times New Roman"/>
                <w:sz w:val="16"/>
              </w:rPr>
              <w:t>d</w:t>
            </w:r>
          </w:p>
        </w:tc>
        <w:tc>
          <w:tcPr>
            <w:tcW w:type="dxa" w:w="978"/>
            <w:vAlign w:val="center"/>
            <w:tcW w:w="978"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2</w:t>
            </w:r>
          </w:p>
        </w:tc>
        <w:tc>
          <w:tcPr>
            <w:tcW w:type="dxa" w:w="2829"/>
            <w:vAlign w:val="center"/>
            <w:tcW w:w="2829"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Highly competitive; very close to champion</w:t>
            </w:r>
          </w:p>
        </w:tc>
      </w:tr>
      <w:tr>
        <w:trPr>
          <w:cantSplit/>
        </w:trPr>
        <w:tc>
          <w:tcPr>
            <w:tcW w:type="dxa" w:w="1017"/>
            <w:vAlign w:val="center"/>
            <w:tcW w:w="1017" w:type="dxa"/>
            <w:tcMar>
              <w:top w:w="60" w:type="dxa"/>
              <w:bottom w:w="60" w:type="dxa"/>
              <w:left w:w="80" w:type="dxa"/>
              <w:right w:w="80" w:type="dxa"/>
            </w:tcMar>
          </w:tcPr>
          <w:p>
            <w:pPr>
              <w:spacing w:before="0" w:after="0" w:line="252" w:lineRule="auto"/>
              <w:jc w:val="left"/>
            </w:pPr>
            <w:r>
              <w:rPr>
                <w:rFonts w:ascii="Times New Roman" w:hAnsi="Times New Roman"/>
                <w:b/>
                <w:sz w:val="16"/>
              </w:rPr>
              <w:t>Random Forest</w:t>
            </w:r>
          </w:p>
        </w:tc>
        <w:tc>
          <w:tcPr>
            <w:tcW w:type="dxa" w:w="1307"/>
            <w:vAlign w:val="center"/>
            <w:tcW w:w="1307" w:type="dxa"/>
            <w:tcMar>
              <w:top w:w="60" w:type="dxa"/>
              <w:bottom w:w="60" w:type="dxa"/>
              <w:left w:w="80" w:type="dxa"/>
              <w:right w:w="80" w:type="dxa"/>
            </w:tcMar>
          </w:tcPr>
          <w:p>
            <w:pPr>
              <w:spacing w:before="0" w:after="0" w:line="252" w:lineRule="auto"/>
              <w:jc w:val="left"/>
            </w:pPr>
            <w:r>
              <w:rPr>
                <w:rFonts w:ascii="Cambria Math" w:hAnsi="Cambria Math"/>
                <w:sz w:val="16"/>
              </w:rPr>
              <w:t>d=14, L=20</w:t>
            </w:r>
          </w:p>
        </w:tc>
        <w:tc>
          <w:tcPr>
            <w:tcW w:type="dxa" w:w="1094"/>
            <w:vAlign w:val="center"/>
            <w:tcW w:w="1093" w:type="dxa"/>
            <w:tcMar>
              <w:top w:w="60" w:type="dxa"/>
              <w:bottom w:w="60" w:type="dxa"/>
              <w:left w:w="80" w:type="dxa"/>
              <w:right w:w="80" w:type="dxa"/>
            </w:tcMar>
          </w:tcPr>
          <w:p>
            <w:pPr>
              <w:spacing w:before="0" w:after="0" w:line="252" w:lineRule="auto"/>
              <w:jc w:val="center"/>
            </w:pPr>
            <w:r>
              <w:rPr>
                <w:rFonts w:ascii="Cambria Math" w:hAnsi="Cambria Math"/>
                <w:sz w:val="16"/>
              </w:rPr>
              <w:t>4.7180</w:t>
            </w:r>
          </w:p>
        </w:tc>
        <w:tc>
          <w:tcPr>
            <w:tcW w:type="dxa" w:w="897"/>
            <w:vAlign w:val="center"/>
            <w:tcW w:w="896" w:type="dxa"/>
            <w:tcMar>
              <w:top w:w="60" w:type="dxa"/>
              <w:bottom w:w="60" w:type="dxa"/>
              <w:left w:w="80" w:type="dxa"/>
              <w:right w:w="80" w:type="dxa"/>
            </w:tcMar>
          </w:tcPr>
          <w:p>
            <w:pPr>
              <w:spacing w:before="0" w:after="0" w:line="252" w:lineRule="auto"/>
              <w:jc w:val="center"/>
            </w:pPr>
            <w:r>
              <w:rPr>
                <w:rFonts w:ascii="Cambria Math" w:hAnsi="Cambria Math"/>
                <w:sz w:val="16"/>
              </w:rPr>
              <w:t>0.0665</w:t>
            </w:r>
          </w:p>
        </w:tc>
        <w:tc>
          <w:tcPr>
            <w:tcW w:type="dxa" w:w="897"/>
            <w:vAlign w:val="center"/>
            <w:tcW w:w="896" w:type="dxa"/>
            <w:tcMar>
              <w:top w:w="60" w:type="dxa"/>
              <w:bottom w:w="60" w:type="dxa"/>
              <w:left w:w="80" w:type="dxa"/>
              <w:right w:w="80" w:type="dxa"/>
            </w:tcMar>
          </w:tcPr>
          <w:p>
            <w:pPr>
              <w:spacing w:before="0" w:after="0" w:line="252" w:lineRule="auto"/>
              <w:jc w:val="center"/>
            </w:pPr>
            <w:r>
              <w:rPr>
                <w:rFonts w:ascii="Cambria Math" w:hAnsi="Cambria Math"/>
                <w:sz w:val="16"/>
              </w:rPr>
              <w:t>4.5150</w:t>
            </w:r>
          </w:p>
        </w:tc>
        <w:tc>
          <w:tcPr>
            <w:tcW w:type="dxa" w:w="1017"/>
            <w:vAlign w:val="center"/>
            <w:tcW w:w="1017" w:type="dxa"/>
            <w:tcMar>
              <w:top w:w="60" w:type="dxa"/>
              <w:bottom w:w="60" w:type="dxa"/>
              <w:left w:w="80" w:type="dxa"/>
              <w:right w:w="80" w:type="dxa"/>
            </w:tcMar>
          </w:tcPr>
          <w:p>
            <w:pPr>
              <w:spacing w:before="0" w:after="0" w:line="252" w:lineRule="auto"/>
              <w:jc w:val="center"/>
            </w:pPr>
            <w:r>
              <w:rPr>
                <w:rFonts w:ascii="Cambria Math" w:hAnsi="Cambria Math"/>
                <w:sz w:val="16"/>
              </w:rPr>
              <w:t>+0.2030d</w:t>
            </w:r>
          </w:p>
        </w:tc>
        <w:tc>
          <w:tcPr>
            <w:tcW w:type="dxa" w:w="978"/>
            <w:vAlign w:val="center"/>
            <w:tcW w:w="978" w:type="dxa"/>
            <w:tcMar>
              <w:top w:w="60" w:type="dxa"/>
              <w:bottom w:w="60" w:type="dxa"/>
              <w:left w:w="80" w:type="dxa"/>
              <w:right w:w="80" w:type="dxa"/>
            </w:tcMar>
          </w:tcPr>
          <w:p>
            <w:pPr>
              <w:spacing w:before="0" w:after="0" w:line="252" w:lineRule="auto"/>
              <w:jc w:val="left"/>
            </w:pPr>
            <w:r>
              <w:rPr>
                <w:rFonts w:ascii="Times New Roman" w:hAnsi="Times New Roman"/>
                <w:b/>
                <w:sz w:val="16"/>
              </w:rPr>
              <w:t>1 (Selected)</w:t>
            </w:r>
          </w:p>
        </w:tc>
        <w:tc>
          <w:tcPr>
            <w:tcW w:type="dxa" w:w="2829"/>
            <w:vAlign w:val="center"/>
            <w:tcW w:w="2829" w:type="dxa"/>
            <w:tcMar>
              <w:top w:w="60" w:type="dxa"/>
              <w:bottom w:w="60" w:type="dxa"/>
              <w:left w:w="80" w:type="dxa"/>
              <w:right w:w="80" w:type="dxa"/>
            </w:tcMar>
          </w:tcPr>
          <w:p>
            <w:pPr>
              <w:spacing w:before="0" w:after="0" w:line="252" w:lineRule="auto"/>
              <w:jc w:val="center"/>
            </w:pPr>
            <w:r>
              <w:rPr>
                <w:rFonts w:ascii="Times New Roman" w:hAnsi="Times New Roman"/>
                <w:b/>
                <w:sz w:val="16"/>
              </w:rPr>
              <w:t>Global Regression Champion</w:t>
            </w:r>
            <w:r>
              <w:rPr>
                <w:rFonts w:ascii="Times New Roman" w:hAnsi="Times New Roman"/>
                <w:sz w:val="16"/>
              </w:rPr>
              <w:t>: Lowest CV MAE (</w:t>
            </w:r>
            <w:r>
              <w:rPr>
                <w:rFonts w:ascii="Cambria Math" w:hAnsi="Cambria Math"/>
                <w:sz w:val="16"/>
              </w:rPr>
              <w:t>4.718</w:t>
            </w:r>
            <w:r>
              <w:rPr>
                <w:rFonts w:ascii="Times New Roman" w:hAnsi="Times New Roman"/>
                <w:sz w:val="16"/>
              </w:rPr>
              <w:t>d), best out-of-fold accuracy</w:t>
            </w:r>
          </w:p>
        </w:tc>
      </w:tr>
    </w:tbl>
    <w:p>
      <w:pPr>
        <w:spacing w:before="40" w:after="40" w:line="40" w:lineRule="exact"/>
      </w:pPr>
    </w:p>
    <w:p>
      <w:pPr>
        <w:pStyle w:val="Heading3"/>
      </w:pPr>
      <w:r>
        <w:rPr>
          <w:rFonts w:ascii="Times New Roman" w:hAnsi="Times New Roman"/>
          <w:b/>
          <w:sz w:val="23"/>
        </w:rPr>
        <w:t>Part B: Classification Task (Customer Review Detractor Probability — 12-Feature Pipeline)</w:t>
      </w:r>
    </w:p>
    <w:tbl>
      <w:tblPr>
        <w:tblW w:type="auto" w:w="0"/>
        <w:jc w:val="center"/>
        <w:tblLayout w:type="fixed"/>
        <w:tblLook w:firstColumn="1" w:firstRow="1" w:lastColumn="0" w:lastRow="0" w:noHBand="0" w:noVBand="1" w:val="04A0"/>
        <w:tblBorders>
          <w:top w:val="single" w:sz="8" w:space="0" w:color="1F4E79"/>
          <w:bottom w:val="single" w:sz="8" w:space="0" w:color="1F4E79"/>
          <w:left w:val="single" w:sz="4" w:space="0" w:color="D9D9D9"/>
          <w:right w:val="single" w:sz="4" w:space="0" w:color="D9D9D9"/>
          <w:insideH w:val="single" w:sz="4" w:space="0" w:color="E2E8F0"/>
          <w:insideV w:val="single" w:sz="4" w:space="0" w:color="E2E8F0"/>
        </w:tblBorders>
      </w:tblPr>
      <w:tblGrid>
        <w:gridCol w:w="1255"/>
        <w:gridCol w:w="1255"/>
        <w:gridCol w:w="1255"/>
        <w:gridCol w:w="1255"/>
        <w:gridCol w:w="1255"/>
        <w:gridCol w:w="1255"/>
        <w:gridCol w:w="1255"/>
        <w:gridCol w:w="1255"/>
      </w:tblGrid>
      <w:tr>
        <w:trPr>
          <w:cantSplit/>
          <w:tblHeader/>
        </w:trPr>
        <w:tc>
          <w:tcPr>
            <w:tcW w:type="dxa" w:w="1042"/>
            <w:vAlign w:val="center"/>
            <w:tcW w:w="1041"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6"/>
              </w:rPr>
              <w:t>Model Family</w:t>
            </w:r>
          </w:p>
        </w:tc>
        <w:tc>
          <w:tcPr>
            <w:tcW w:type="dxa" w:w="1339"/>
            <w:vAlign w:val="center"/>
            <w:tcW w:w="1338"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6"/>
              </w:rPr>
              <w:t>Evaluated Hyperparameters</w:t>
            </w:r>
          </w:p>
        </w:tc>
        <w:tc>
          <w:tcPr>
            <w:tcW w:type="dxa" w:w="785"/>
            <w:vAlign w:val="center"/>
            <w:tcW w:w="785"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6"/>
              </w:rPr>
              <w:t>Mean Val AP</w:t>
            </w:r>
          </w:p>
        </w:tc>
        <w:tc>
          <w:tcPr>
            <w:tcW w:type="dxa" w:w="875"/>
            <w:vAlign w:val="center"/>
            <w:tcW w:w="875" w:type="dxa"/>
            <w:tcMar>
              <w:top w:w="60" w:type="dxa"/>
              <w:bottom w:w="60" w:type="dxa"/>
              <w:left w:w="80" w:type="dxa"/>
              <w:right w:w="80" w:type="dxa"/>
            </w:tcMar>
            <w:shd w:val="clear" w:color="auto" w:fill="E8EEF5"/>
          </w:tcPr>
          <w:p>
            <w:pPr>
              <w:spacing w:before="0" w:after="0" w:line="252" w:lineRule="auto"/>
              <w:jc w:val="center"/>
            </w:pPr>
            <w:r>
              <w:rPr>
                <w:rFonts w:ascii="Times New Roman" w:hAnsi="Times New Roman"/>
                <w:b/>
                <w:sz w:val="16"/>
              </w:rPr>
              <w:t>Val AP SD (±)</w:t>
            </w:r>
          </w:p>
        </w:tc>
        <w:tc>
          <w:tcPr>
            <w:tcW w:type="dxa" w:w="875"/>
            <w:vAlign w:val="center"/>
            <w:tcW w:w="875"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6"/>
              </w:rPr>
              <w:t>Mean Train AP</w:t>
            </w:r>
          </w:p>
        </w:tc>
        <w:tc>
          <w:tcPr>
            <w:tcW w:type="dxa" w:w="1042"/>
            <w:vAlign w:val="center"/>
            <w:tcW w:w="1041"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6"/>
              </w:rPr>
              <w:t>Train-Val Gap (</w:t>
            </w:r>
            <w:r>
              <w:rPr>
                <w:rFonts w:ascii="Cambria Math" w:hAnsi="Cambria Math"/>
                <w:b/>
                <w:sz w:val="16"/>
              </w:rPr>
              <w:t>Δ</w:t>
            </w:r>
            <w:r>
              <w:rPr>
                <w:rFonts w:ascii="Times New Roman" w:hAnsi="Times New Roman"/>
                <w:b/>
                <w:sz w:val="16"/>
              </w:rPr>
              <w:t>)</w:t>
            </w:r>
          </w:p>
        </w:tc>
        <w:tc>
          <w:tcPr>
            <w:tcW w:type="dxa" w:w="1002"/>
            <w:vAlign w:val="center"/>
            <w:tcW w:w="1001"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6"/>
              </w:rPr>
              <w:t>Grid Rank</w:t>
            </w:r>
          </w:p>
        </w:tc>
        <w:tc>
          <w:tcPr>
            <w:tcW w:type="dxa" w:w="3078"/>
            <w:vAlign w:val="center"/>
            <w:tcW w:w="3077"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6"/>
              </w:rPr>
              <w:t>Human Judgement Verdict &amp; Trade-off Analysis</w:t>
            </w:r>
          </w:p>
        </w:tc>
      </w:tr>
      <w:tr>
        <w:trPr>
          <w:cantSplit/>
        </w:trPr>
        <w:tc>
          <w:tcPr>
            <w:tcW w:type="dxa" w:w="1042"/>
            <w:vAlign w:val="center"/>
            <w:tcW w:w="1041"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Logistic Reg</w:t>
            </w:r>
          </w:p>
        </w:tc>
        <w:tc>
          <w:tcPr>
            <w:tcW w:type="dxa" w:w="1339"/>
            <w:vAlign w:val="center"/>
            <w:tcW w:w="1338"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C = 0.001</w:t>
            </w:r>
          </w:p>
        </w:tc>
        <w:tc>
          <w:tcPr>
            <w:tcW w:type="dxa" w:w="785"/>
            <w:vAlign w:val="center"/>
            <w:tcW w:w="785"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0.2912</w:t>
            </w:r>
          </w:p>
        </w:tc>
        <w:tc>
          <w:tcPr>
            <w:tcW w:type="dxa" w:w="875"/>
            <w:vAlign w:val="center"/>
            <w:tcW w:w="875"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0.0041</w:t>
            </w:r>
          </w:p>
        </w:tc>
        <w:tc>
          <w:tcPr>
            <w:tcW w:type="dxa" w:w="875"/>
            <w:vAlign w:val="center"/>
            <w:tcW w:w="875"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0.2932</w:t>
            </w:r>
          </w:p>
        </w:tc>
        <w:tc>
          <w:tcPr>
            <w:tcW w:type="dxa" w:w="1042"/>
            <w:vAlign w:val="center"/>
            <w:tcW w:w="1041"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+0.0020</w:t>
            </w:r>
          </w:p>
        </w:tc>
        <w:tc>
          <w:tcPr>
            <w:tcW w:type="dxa" w:w="1002"/>
            <w:vAlign w:val="center"/>
            <w:tcW w:w="1001"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5</w:t>
            </w:r>
          </w:p>
        </w:tc>
        <w:tc>
          <w:tcPr>
            <w:tcW w:type="dxa" w:w="3078"/>
            <w:vAlign w:val="center"/>
            <w:tcW w:w="3077"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Over-regularized; excessively dampens seller count and interstate risk multipliers</w:t>
            </w:r>
          </w:p>
        </w:tc>
      </w:tr>
      <w:tr>
        <w:trPr>
          <w:cantSplit/>
        </w:trPr>
        <w:tc>
          <w:tcPr>
            <w:tcW w:type="dxa" w:w="1042"/>
            <w:vAlign w:val="center"/>
            <w:tcW w:w="1041" w:type="dxa"/>
            <w:tcMar>
              <w:top w:w="60" w:type="dxa"/>
              <w:bottom w:w="60" w:type="dxa"/>
              <w:left w:w="80" w:type="dxa"/>
              <w:right w:w="80" w:type="dxa"/>
            </w:tcMar>
          </w:tcPr>
          <w:p>
            <w:pPr>
              <w:spacing w:before="0" w:after="0" w:line="252" w:lineRule="auto"/>
              <w:jc w:val="left"/>
            </w:pPr>
            <w:r>
              <w:rPr>
                <w:rFonts w:ascii="Times New Roman" w:hAnsi="Times New Roman"/>
                <w:b/>
                <w:sz w:val="16"/>
              </w:rPr>
              <w:t>Logistic Reg</w:t>
            </w:r>
          </w:p>
        </w:tc>
        <w:tc>
          <w:tcPr>
            <w:tcW w:type="dxa" w:w="1339"/>
            <w:vAlign w:val="center"/>
            <w:tcW w:w="1338" w:type="dxa"/>
            <w:tcMar>
              <w:top w:w="60" w:type="dxa"/>
              <w:bottom w:w="60" w:type="dxa"/>
              <w:left w:w="80" w:type="dxa"/>
              <w:right w:w="80" w:type="dxa"/>
            </w:tcMar>
          </w:tcPr>
          <w:p>
            <w:pPr>
              <w:spacing w:before="0" w:after="0" w:line="252" w:lineRule="auto"/>
              <w:jc w:val="center"/>
            </w:pPr>
            <w:r>
              <w:rPr>
                <w:rFonts w:ascii="Cambria Math" w:hAnsi="Cambria Math"/>
                <w:sz w:val="16"/>
              </w:rPr>
              <w:t>C = 0.01</w:t>
            </w:r>
          </w:p>
        </w:tc>
        <w:tc>
          <w:tcPr>
            <w:tcW w:type="dxa" w:w="785"/>
            <w:vAlign w:val="center"/>
            <w:tcW w:w="785" w:type="dxa"/>
            <w:tcMar>
              <w:top w:w="60" w:type="dxa"/>
              <w:bottom w:w="60" w:type="dxa"/>
              <w:left w:w="80" w:type="dxa"/>
              <w:right w:w="80" w:type="dxa"/>
            </w:tcMar>
          </w:tcPr>
          <w:p>
            <w:pPr>
              <w:spacing w:before="0" w:after="0" w:line="252" w:lineRule="auto"/>
              <w:jc w:val="center"/>
            </w:pPr>
            <w:r>
              <w:rPr>
                <w:rFonts w:ascii="Cambria Math" w:hAnsi="Cambria Math"/>
                <w:sz w:val="16"/>
              </w:rPr>
              <w:t>0.29998</w:t>
            </w:r>
          </w:p>
        </w:tc>
        <w:tc>
          <w:tcPr>
            <w:tcW w:type="dxa" w:w="875"/>
            <w:vAlign w:val="center"/>
            <w:tcW w:w="875" w:type="dxa"/>
            <w:tcMar>
              <w:top w:w="60" w:type="dxa"/>
              <w:bottom w:w="60" w:type="dxa"/>
              <w:left w:w="80" w:type="dxa"/>
              <w:right w:w="80" w:type="dxa"/>
            </w:tcMar>
          </w:tcPr>
          <w:p>
            <w:pPr>
              <w:spacing w:before="0" w:after="0" w:line="252" w:lineRule="auto"/>
              <w:jc w:val="center"/>
            </w:pPr>
            <w:r>
              <w:rPr>
                <w:rFonts w:ascii="Cambria Math" w:hAnsi="Cambria Math"/>
                <w:sz w:val="16"/>
              </w:rPr>
              <w:t>0.0038</w:t>
            </w:r>
          </w:p>
        </w:tc>
        <w:tc>
          <w:tcPr>
            <w:tcW w:type="dxa" w:w="875"/>
            <w:vAlign w:val="center"/>
            <w:tcW w:w="875" w:type="dxa"/>
            <w:tcMar>
              <w:top w:w="60" w:type="dxa"/>
              <w:bottom w:w="60" w:type="dxa"/>
              <w:left w:w="80" w:type="dxa"/>
              <w:right w:w="80" w:type="dxa"/>
            </w:tcMar>
          </w:tcPr>
          <w:p>
            <w:pPr>
              <w:spacing w:before="0" w:after="0" w:line="252" w:lineRule="auto"/>
              <w:jc w:val="center"/>
            </w:pPr>
            <w:r>
              <w:rPr>
                <w:rFonts w:ascii="Cambria Math" w:hAnsi="Cambria Math"/>
                <w:sz w:val="16"/>
              </w:rPr>
              <w:t>0.3025</w:t>
            </w:r>
          </w:p>
        </w:tc>
        <w:tc>
          <w:tcPr>
            <w:tcW w:type="dxa" w:w="1042"/>
            <w:vAlign w:val="center"/>
            <w:tcW w:w="1041" w:type="dxa"/>
            <w:tcMar>
              <w:top w:w="60" w:type="dxa"/>
              <w:bottom w:w="60" w:type="dxa"/>
              <w:left w:w="80" w:type="dxa"/>
              <w:right w:w="80" w:type="dxa"/>
            </w:tcMar>
          </w:tcPr>
          <w:p>
            <w:pPr>
              <w:spacing w:before="0" w:after="0" w:line="252" w:lineRule="auto"/>
              <w:jc w:val="center"/>
            </w:pPr>
            <w:r>
              <w:rPr>
                <w:rFonts w:ascii="Cambria Math" w:hAnsi="Cambria Math"/>
                <w:sz w:val="16"/>
              </w:rPr>
              <w:t>+0.0025</w:t>
            </w:r>
          </w:p>
        </w:tc>
        <w:tc>
          <w:tcPr>
            <w:tcW w:type="dxa" w:w="1002"/>
            <w:vAlign w:val="center"/>
            <w:tcW w:w="1001" w:type="dxa"/>
            <w:tcMar>
              <w:top w:w="60" w:type="dxa"/>
              <w:bottom w:w="60" w:type="dxa"/>
              <w:left w:w="80" w:type="dxa"/>
              <w:right w:w="80" w:type="dxa"/>
            </w:tcMar>
          </w:tcPr>
          <w:p>
            <w:pPr>
              <w:spacing w:before="0" w:after="0" w:line="252" w:lineRule="auto"/>
              <w:jc w:val="left"/>
            </w:pPr>
            <w:r>
              <w:rPr>
                <w:rFonts w:ascii="Times New Roman" w:hAnsi="Times New Roman"/>
                <w:b/>
                <w:sz w:val="16"/>
              </w:rPr>
              <w:t>1 (Selected)</w:t>
            </w:r>
          </w:p>
        </w:tc>
        <w:tc>
          <w:tcPr>
            <w:tcW w:type="dxa" w:w="3078"/>
            <w:vAlign w:val="center"/>
            <w:tcW w:w="3077" w:type="dxa"/>
            <w:tcMar>
              <w:top w:w="60" w:type="dxa"/>
              <w:bottom w:w="60" w:type="dxa"/>
              <w:left w:w="80" w:type="dxa"/>
              <w:right w:w="80" w:type="dxa"/>
            </w:tcMar>
          </w:tcPr>
          <w:p>
            <w:pPr>
              <w:spacing w:before="0" w:after="0" w:line="252" w:lineRule="auto"/>
              <w:jc w:val="left"/>
            </w:pPr>
            <w:r>
              <w:rPr>
                <w:rFonts w:ascii="Times New Roman" w:hAnsi="Times New Roman"/>
                <w:b/>
                <w:sz w:val="16"/>
              </w:rPr>
              <w:t>Optimal Linear Champion</w:t>
            </w:r>
            <w:r>
              <w:rPr>
                <w:rFonts w:ascii="Times New Roman" w:hAnsi="Times New Roman"/>
                <w:sz w:val="16"/>
              </w:rPr>
              <w:t>: Best AP, shrinks sparse state noise while preserving odds</w:t>
            </w:r>
          </w:p>
        </w:tc>
      </w:tr>
      <w:tr>
        <w:trPr>
          <w:cantSplit/>
        </w:trPr>
        <w:tc>
          <w:tcPr>
            <w:tcW w:type="dxa" w:w="1042"/>
            <w:vAlign w:val="center"/>
            <w:tcW w:w="1041"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Logistic Reg</w:t>
            </w:r>
          </w:p>
        </w:tc>
        <w:tc>
          <w:tcPr>
            <w:tcW w:type="dxa" w:w="1339"/>
            <w:vAlign w:val="center"/>
            <w:tcW w:w="1338"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C = 0.1</w:t>
            </w:r>
          </w:p>
        </w:tc>
        <w:tc>
          <w:tcPr>
            <w:tcW w:type="dxa" w:w="785"/>
            <w:vAlign w:val="center"/>
            <w:tcW w:w="785"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0.2995</w:t>
            </w:r>
          </w:p>
        </w:tc>
        <w:tc>
          <w:tcPr>
            <w:tcW w:type="dxa" w:w="875"/>
            <w:vAlign w:val="center"/>
            <w:tcW w:w="875"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0.0042</w:t>
            </w:r>
          </w:p>
        </w:tc>
        <w:tc>
          <w:tcPr>
            <w:tcW w:type="dxa" w:w="875"/>
            <w:vAlign w:val="center"/>
            <w:tcW w:w="875"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0.3031</w:t>
            </w:r>
          </w:p>
        </w:tc>
        <w:tc>
          <w:tcPr>
            <w:tcW w:type="dxa" w:w="1042"/>
            <w:vAlign w:val="center"/>
            <w:tcW w:w="1041"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+0.0036</w:t>
            </w:r>
          </w:p>
        </w:tc>
        <w:tc>
          <w:tcPr>
            <w:tcW w:type="dxa" w:w="1002"/>
            <w:vAlign w:val="center"/>
            <w:tcW w:w="1001"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2</w:t>
            </w:r>
          </w:p>
        </w:tc>
        <w:tc>
          <w:tcPr>
            <w:tcW w:type="dxa" w:w="3078"/>
            <w:vAlign w:val="center"/>
            <w:tcW w:w="3077"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sz w:val="16"/>
              </w:rPr>
              <w:t xml:space="preserve">Stable performance; minor variance increase over </w:t>
            </w:r>
            <w:r>
              <w:rPr>
                <w:rFonts w:ascii="Cambria Math" w:hAnsi="Cambria Math"/>
                <w:sz w:val="16"/>
              </w:rPr>
              <w:t>C=0.01</w:t>
            </w:r>
          </w:p>
        </w:tc>
      </w:tr>
      <w:tr>
        <w:trPr>
          <w:cantSplit/>
        </w:trPr>
        <w:tc>
          <w:tcPr>
            <w:tcW w:type="dxa" w:w="1042"/>
            <w:vAlign w:val="center"/>
            <w:tcW w:w="1041" w:type="dxa"/>
            <w:tcMar>
              <w:top w:w="60" w:type="dxa"/>
              <w:bottom w:w="60" w:type="dxa"/>
              <w:left w:w="80" w:type="dxa"/>
              <w:right w:w="80" w:type="dxa"/>
            </w:tcMar>
          </w:tcPr>
          <w:p>
            <w:pPr>
              <w:spacing w:before="0" w:after="0" w:line="252" w:lineRule="auto"/>
              <w:jc w:val="left"/>
            </w:pPr>
            <w:r>
              <w:rPr>
                <w:rFonts w:ascii="Times New Roman" w:hAnsi="Times New Roman"/>
                <w:b/>
                <w:sz w:val="16"/>
              </w:rPr>
              <w:t>Logistic Reg</w:t>
            </w:r>
          </w:p>
        </w:tc>
        <w:tc>
          <w:tcPr>
            <w:tcW w:type="dxa" w:w="1339"/>
            <w:vAlign w:val="center"/>
            <w:tcW w:w="1338" w:type="dxa"/>
            <w:tcMar>
              <w:top w:w="60" w:type="dxa"/>
              <w:bottom w:w="60" w:type="dxa"/>
              <w:left w:w="80" w:type="dxa"/>
              <w:right w:w="80" w:type="dxa"/>
            </w:tcMar>
          </w:tcPr>
          <w:p>
            <w:pPr>
              <w:spacing w:before="0" w:after="0" w:line="252" w:lineRule="auto"/>
              <w:jc w:val="center"/>
            </w:pPr>
            <w:r>
              <w:rPr>
                <w:rFonts w:ascii="Cambria Math" w:hAnsi="Cambria Math"/>
                <w:sz w:val="16"/>
              </w:rPr>
              <w:t>C = 1.0</w:t>
            </w:r>
          </w:p>
        </w:tc>
        <w:tc>
          <w:tcPr>
            <w:tcW w:type="dxa" w:w="785"/>
            <w:vAlign w:val="center"/>
            <w:tcW w:w="785" w:type="dxa"/>
            <w:tcMar>
              <w:top w:w="60" w:type="dxa"/>
              <w:bottom w:w="60" w:type="dxa"/>
              <w:left w:w="80" w:type="dxa"/>
              <w:right w:w="80" w:type="dxa"/>
            </w:tcMar>
          </w:tcPr>
          <w:p>
            <w:pPr>
              <w:spacing w:before="0" w:after="0" w:line="252" w:lineRule="auto"/>
              <w:jc w:val="center"/>
            </w:pPr>
            <w:r>
              <w:rPr>
                <w:rFonts w:ascii="Cambria Math" w:hAnsi="Cambria Math"/>
                <w:sz w:val="16"/>
              </w:rPr>
              <w:t>0.2990</w:t>
            </w:r>
          </w:p>
        </w:tc>
        <w:tc>
          <w:tcPr>
            <w:tcW w:type="dxa" w:w="875"/>
            <w:vAlign w:val="center"/>
            <w:tcW w:w="875" w:type="dxa"/>
            <w:tcMar>
              <w:top w:w="60" w:type="dxa"/>
              <w:bottom w:w="60" w:type="dxa"/>
              <w:left w:w="80" w:type="dxa"/>
              <w:right w:w="80" w:type="dxa"/>
            </w:tcMar>
          </w:tcPr>
          <w:p>
            <w:pPr>
              <w:spacing w:before="0" w:after="0" w:line="252" w:lineRule="auto"/>
              <w:jc w:val="center"/>
            </w:pPr>
            <w:r>
              <w:rPr>
                <w:rFonts w:ascii="Cambria Math" w:hAnsi="Cambria Math"/>
                <w:sz w:val="16"/>
              </w:rPr>
              <w:t>0.0045</w:t>
            </w:r>
          </w:p>
        </w:tc>
        <w:tc>
          <w:tcPr>
            <w:tcW w:type="dxa" w:w="875"/>
            <w:vAlign w:val="center"/>
            <w:tcW w:w="875" w:type="dxa"/>
            <w:tcMar>
              <w:top w:w="60" w:type="dxa"/>
              <w:bottom w:w="60" w:type="dxa"/>
              <w:left w:w="80" w:type="dxa"/>
              <w:right w:w="80" w:type="dxa"/>
            </w:tcMar>
          </w:tcPr>
          <w:p>
            <w:pPr>
              <w:spacing w:before="0" w:after="0" w:line="252" w:lineRule="auto"/>
              <w:jc w:val="center"/>
            </w:pPr>
            <w:r>
              <w:rPr>
                <w:rFonts w:ascii="Cambria Math" w:hAnsi="Cambria Math"/>
                <w:sz w:val="16"/>
              </w:rPr>
              <w:t>0.3038</w:t>
            </w:r>
          </w:p>
        </w:tc>
        <w:tc>
          <w:tcPr>
            <w:tcW w:type="dxa" w:w="1042"/>
            <w:vAlign w:val="center"/>
            <w:tcW w:w="1041" w:type="dxa"/>
            <w:tcMar>
              <w:top w:w="60" w:type="dxa"/>
              <w:bottom w:w="60" w:type="dxa"/>
              <w:left w:w="80" w:type="dxa"/>
              <w:right w:w="80" w:type="dxa"/>
            </w:tcMar>
          </w:tcPr>
          <w:p>
            <w:pPr>
              <w:spacing w:before="0" w:after="0" w:line="252" w:lineRule="auto"/>
              <w:jc w:val="center"/>
            </w:pPr>
            <w:r>
              <w:rPr>
                <w:rFonts w:ascii="Cambria Math" w:hAnsi="Cambria Math"/>
                <w:sz w:val="16"/>
              </w:rPr>
              <w:t>+0.0048</w:t>
            </w:r>
          </w:p>
        </w:tc>
        <w:tc>
          <w:tcPr>
            <w:tcW w:type="dxa" w:w="1002"/>
            <w:vAlign w:val="center"/>
            <w:tcW w:w="1001" w:type="dxa"/>
            <w:tcMar>
              <w:top w:w="60" w:type="dxa"/>
              <w:bottom w:w="60" w:type="dxa"/>
              <w:left w:w="80" w:type="dxa"/>
              <w:right w:w="80" w:type="dxa"/>
            </w:tcMar>
          </w:tcPr>
          <w:p>
            <w:pPr>
              <w:spacing w:before="0" w:after="0" w:line="252" w:lineRule="auto"/>
              <w:jc w:val="left"/>
            </w:pPr>
            <w:r>
              <w:rPr>
                <w:rFonts w:ascii="Times New Roman" w:hAnsi="Times New Roman"/>
                <w:sz w:val="16"/>
              </w:rPr>
              <w:t>3</w:t>
            </w:r>
          </w:p>
        </w:tc>
        <w:tc>
          <w:tcPr>
            <w:tcW w:type="dxa" w:w="3078"/>
            <w:vAlign w:val="center"/>
            <w:tcW w:w="3077" w:type="dxa"/>
            <w:tcMar>
              <w:top w:w="60" w:type="dxa"/>
              <w:bottom w:w="60" w:type="dxa"/>
              <w:left w:w="80" w:type="dxa"/>
              <w:right w:w="80" w:type="dxa"/>
            </w:tcMar>
          </w:tcPr>
          <w:p>
            <w:pPr>
              <w:spacing w:before="0" w:after="0" w:line="252" w:lineRule="auto"/>
              <w:jc w:val="left"/>
            </w:pPr>
            <w:r>
              <w:rPr>
                <w:rFonts w:ascii="Times New Roman" w:hAnsi="Times New Roman"/>
                <w:sz w:val="16"/>
              </w:rPr>
              <w:t>Default parameter; slight overfitting to rare category tokens</w:t>
            </w:r>
          </w:p>
        </w:tc>
      </w:tr>
      <w:tr>
        <w:trPr>
          <w:cantSplit/>
        </w:trPr>
        <w:tc>
          <w:tcPr>
            <w:tcW w:type="dxa" w:w="1042"/>
            <w:vAlign w:val="center"/>
            <w:tcW w:w="1041"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Logistic Reg</w:t>
            </w:r>
          </w:p>
        </w:tc>
        <w:tc>
          <w:tcPr>
            <w:tcW w:type="dxa" w:w="1339"/>
            <w:vAlign w:val="center"/>
            <w:tcW w:w="1338"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C = 10.0</w:t>
            </w:r>
          </w:p>
        </w:tc>
        <w:tc>
          <w:tcPr>
            <w:tcW w:type="dxa" w:w="785"/>
            <w:vAlign w:val="center"/>
            <w:tcW w:w="785"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0.2988</w:t>
            </w:r>
          </w:p>
        </w:tc>
        <w:tc>
          <w:tcPr>
            <w:tcW w:type="dxa" w:w="875"/>
            <w:vAlign w:val="center"/>
            <w:tcW w:w="875"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0.0047</w:t>
            </w:r>
          </w:p>
        </w:tc>
        <w:tc>
          <w:tcPr>
            <w:tcW w:type="dxa" w:w="875"/>
            <w:vAlign w:val="center"/>
            <w:tcW w:w="875"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0.3042</w:t>
            </w:r>
          </w:p>
        </w:tc>
        <w:tc>
          <w:tcPr>
            <w:tcW w:type="dxa" w:w="1042"/>
            <w:vAlign w:val="center"/>
            <w:tcW w:w="1041"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+0.0054</w:t>
            </w:r>
          </w:p>
        </w:tc>
        <w:tc>
          <w:tcPr>
            <w:tcW w:type="dxa" w:w="1002"/>
            <w:vAlign w:val="center"/>
            <w:tcW w:w="1001"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4</w:t>
            </w:r>
          </w:p>
        </w:tc>
        <w:tc>
          <w:tcPr>
            <w:tcW w:type="dxa" w:w="3078"/>
            <w:vAlign w:val="center"/>
            <w:tcW w:w="3077"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Under-regularized; inflated variance on low-volume state categories</w:t>
            </w:r>
          </w:p>
        </w:tc>
      </w:tr>
      <w:tr>
        <w:trPr>
          <w:cantSplit/>
        </w:trPr>
        <w:tc>
          <w:tcPr>
            <w:tcW w:type="dxa" w:w="1042"/>
            <w:vAlign w:val="center"/>
            <w:tcW w:w="1041" w:type="dxa"/>
            <w:tcMar>
              <w:top w:w="60" w:type="dxa"/>
              <w:bottom w:w="60" w:type="dxa"/>
              <w:left w:w="80" w:type="dxa"/>
              <w:right w:w="80" w:type="dxa"/>
            </w:tcMar>
          </w:tcPr>
          <w:p>
            <w:pPr>
              <w:spacing w:before="0" w:after="0" w:line="252" w:lineRule="auto"/>
              <w:jc w:val="left"/>
            </w:pPr>
            <w:r>
              <w:rPr>
                <w:rFonts w:ascii="Times New Roman" w:hAnsi="Times New Roman"/>
                <w:b/>
                <w:sz w:val="16"/>
              </w:rPr>
              <w:t>Decision Tree</w:t>
            </w:r>
          </w:p>
        </w:tc>
        <w:tc>
          <w:tcPr>
            <w:tcW w:type="dxa" w:w="1339"/>
            <w:vAlign w:val="center"/>
            <w:tcW w:w="1338" w:type="dxa"/>
            <w:tcMar>
              <w:top w:w="60" w:type="dxa"/>
              <w:bottom w:w="60" w:type="dxa"/>
              <w:left w:w="80" w:type="dxa"/>
              <w:right w:w="80" w:type="dxa"/>
            </w:tcMar>
          </w:tcPr>
          <w:p>
            <w:pPr>
              <w:spacing w:before="0" w:after="0" w:line="252" w:lineRule="auto"/>
              <w:jc w:val="left"/>
            </w:pPr>
            <w:r>
              <w:rPr>
                <w:rFonts w:ascii="Cambria Math" w:hAnsi="Cambria Math"/>
                <w:sz w:val="16"/>
              </w:rPr>
              <w:t>d=4, L=20</w:t>
            </w:r>
          </w:p>
        </w:tc>
        <w:tc>
          <w:tcPr>
            <w:tcW w:type="dxa" w:w="785"/>
            <w:vAlign w:val="center"/>
            <w:tcW w:w="785" w:type="dxa"/>
            <w:tcMar>
              <w:top w:w="60" w:type="dxa"/>
              <w:bottom w:w="60" w:type="dxa"/>
              <w:left w:w="80" w:type="dxa"/>
              <w:right w:w="80" w:type="dxa"/>
            </w:tcMar>
          </w:tcPr>
          <w:p>
            <w:pPr>
              <w:spacing w:before="0" w:after="0" w:line="252" w:lineRule="auto"/>
              <w:jc w:val="center"/>
            </w:pPr>
            <w:r>
              <w:rPr>
                <w:rFonts w:ascii="Cambria Math" w:hAnsi="Cambria Math"/>
                <w:sz w:val="16"/>
              </w:rPr>
              <w:t>0.2452</w:t>
            </w:r>
          </w:p>
        </w:tc>
        <w:tc>
          <w:tcPr>
            <w:tcW w:type="dxa" w:w="875"/>
            <w:vAlign w:val="center"/>
            <w:tcW w:w="875" w:type="dxa"/>
            <w:tcMar>
              <w:top w:w="60" w:type="dxa"/>
              <w:bottom w:w="60" w:type="dxa"/>
              <w:left w:w="80" w:type="dxa"/>
              <w:right w:w="80" w:type="dxa"/>
            </w:tcMar>
          </w:tcPr>
          <w:p>
            <w:pPr>
              <w:spacing w:before="0" w:after="0" w:line="252" w:lineRule="auto"/>
              <w:jc w:val="center"/>
            </w:pPr>
            <w:r>
              <w:rPr>
                <w:rFonts w:ascii="Cambria Math" w:hAnsi="Cambria Math"/>
                <w:sz w:val="16"/>
              </w:rPr>
              <w:t>0.0015</w:t>
            </w:r>
          </w:p>
        </w:tc>
        <w:tc>
          <w:tcPr>
            <w:tcW w:type="dxa" w:w="875"/>
            <w:vAlign w:val="center"/>
            <w:tcW w:w="875" w:type="dxa"/>
            <w:tcMar>
              <w:top w:w="60" w:type="dxa"/>
              <w:bottom w:w="60" w:type="dxa"/>
              <w:left w:w="80" w:type="dxa"/>
              <w:right w:w="80" w:type="dxa"/>
            </w:tcMar>
          </w:tcPr>
          <w:p>
            <w:pPr>
              <w:spacing w:before="0" w:after="0" w:line="252" w:lineRule="auto"/>
              <w:jc w:val="center"/>
            </w:pPr>
            <w:r>
              <w:rPr>
                <w:rFonts w:ascii="Cambria Math" w:hAnsi="Cambria Math"/>
                <w:sz w:val="16"/>
              </w:rPr>
              <w:t>0.2520</w:t>
            </w:r>
          </w:p>
        </w:tc>
        <w:tc>
          <w:tcPr>
            <w:tcW w:type="dxa" w:w="1042"/>
            <w:vAlign w:val="center"/>
            <w:tcW w:w="1041" w:type="dxa"/>
            <w:tcMar>
              <w:top w:w="60" w:type="dxa"/>
              <w:bottom w:w="60" w:type="dxa"/>
              <w:left w:w="80" w:type="dxa"/>
              <w:right w:w="80" w:type="dxa"/>
            </w:tcMar>
          </w:tcPr>
          <w:p>
            <w:pPr>
              <w:spacing w:before="0" w:after="0" w:line="252" w:lineRule="auto"/>
              <w:jc w:val="center"/>
            </w:pPr>
            <w:r>
              <w:rPr>
                <w:rFonts w:ascii="Cambria Math" w:hAnsi="Cambria Math"/>
                <w:sz w:val="16"/>
              </w:rPr>
              <w:t>+0.0068</w:t>
            </w:r>
          </w:p>
        </w:tc>
        <w:tc>
          <w:tcPr>
            <w:tcW w:type="dxa" w:w="1002"/>
            <w:vAlign w:val="center"/>
            <w:tcW w:w="1001" w:type="dxa"/>
            <w:tcMar>
              <w:top w:w="60" w:type="dxa"/>
              <w:bottom w:w="60" w:type="dxa"/>
              <w:left w:w="80" w:type="dxa"/>
              <w:right w:w="80" w:type="dxa"/>
            </w:tcMar>
          </w:tcPr>
          <w:p>
            <w:pPr>
              <w:spacing w:before="0" w:after="0" w:line="252" w:lineRule="auto"/>
              <w:jc w:val="left"/>
            </w:pPr>
            <w:r>
              <w:rPr>
                <w:rFonts w:ascii="Times New Roman" w:hAnsi="Times New Roman"/>
                <w:sz w:val="16"/>
              </w:rPr>
              <w:t>16</w:t>
            </w:r>
          </w:p>
        </w:tc>
        <w:tc>
          <w:tcPr>
            <w:tcW w:type="dxa" w:w="3078"/>
            <w:vAlign w:val="center"/>
            <w:tcW w:w="3077" w:type="dxa"/>
            <w:tcMar>
              <w:top w:w="60" w:type="dxa"/>
              <w:bottom w:w="60" w:type="dxa"/>
              <w:left w:w="80" w:type="dxa"/>
              <w:right w:w="80" w:type="dxa"/>
            </w:tcMar>
          </w:tcPr>
          <w:p>
            <w:pPr>
              <w:spacing w:before="0" w:after="0" w:line="252" w:lineRule="auto"/>
              <w:jc w:val="center"/>
            </w:pPr>
            <w:r>
              <w:rPr>
                <w:rFonts w:ascii="Times New Roman" w:hAnsi="Times New Roman"/>
                <w:sz w:val="16"/>
              </w:rPr>
              <w:t>Severe underfitting on imbalanced class (</w:t>
            </w:r>
            <w:r>
              <w:rPr>
                <w:rFonts w:ascii="Cambria Math" w:hAnsi="Cambria Math"/>
                <w:sz w:val="16"/>
              </w:rPr>
              <w:t>11\%</w:t>
            </w:r>
            <w:r>
              <w:rPr>
                <w:rFonts w:ascii="Times New Roman" w:hAnsi="Times New Roman"/>
                <w:sz w:val="16"/>
              </w:rPr>
              <w:t xml:space="preserve"> detractor prevalence)</w:t>
            </w:r>
          </w:p>
        </w:tc>
      </w:tr>
      <w:tr>
        <w:trPr>
          <w:cantSplit/>
        </w:trPr>
        <w:tc>
          <w:tcPr>
            <w:tcW w:type="dxa" w:w="1042"/>
            <w:vAlign w:val="center"/>
            <w:tcW w:w="1041"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Decision Tree</w:t>
            </w:r>
          </w:p>
        </w:tc>
        <w:tc>
          <w:tcPr>
            <w:tcW w:type="dxa" w:w="1339"/>
            <w:vAlign w:val="center"/>
            <w:tcW w:w="1338" w:type="dxa"/>
            <w:tcMar>
              <w:top w:w="60" w:type="dxa"/>
              <w:bottom w:w="60" w:type="dxa"/>
              <w:left w:w="80" w:type="dxa"/>
              <w:right w:w="80" w:type="dxa"/>
            </w:tcMar>
            <w:shd w:val="clear" w:color="auto" w:fill="F8FAFC"/>
          </w:tcPr>
          <w:p>
            <w:pPr>
              <w:spacing w:before="0" w:after="0" w:line="252" w:lineRule="auto"/>
              <w:jc w:val="left"/>
            </w:pPr>
            <w:r>
              <w:rPr>
                <w:rFonts w:ascii="Cambria Math" w:hAnsi="Cambria Math"/>
                <w:sz w:val="16"/>
              </w:rPr>
              <w:t>d=4, L=50</w:t>
            </w:r>
          </w:p>
        </w:tc>
        <w:tc>
          <w:tcPr>
            <w:tcW w:type="dxa" w:w="785"/>
            <w:vAlign w:val="center"/>
            <w:tcW w:w="785"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0.2481</w:t>
            </w:r>
          </w:p>
        </w:tc>
        <w:tc>
          <w:tcPr>
            <w:tcW w:type="dxa" w:w="875"/>
            <w:vAlign w:val="center"/>
            <w:tcW w:w="875"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0.0015</w:t>
            </w:r>
          </w:p>
        </w:tc>
        <w:tc>
          <w:tcPr>
            <w:tcW w:type="dxa" w:w="875"/>
            <w:vAlign w:val="center"/>
            <w:tcW w:w="875"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0.2524</w:t>
            </w:r>
          </w:p>
        </w:tc>
        <w:tc>
          <w:tcPr>
            <w:tcW w:type="dxa" w:w="1042"/>
            <w:vAlign w:val="center"/>
            <w:tcW w:w="1041"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+0.0043</w:t>
            </w:r>
          </w:p>
        </w:tc>
        <w:tc>
          <w:tcPr>
            <w:tcW w:type="dxa" w:w="1002"/>
            <w:vAlign w:val="center"/>
            <w:tcW w:w="1001"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15</w:t>
            </w:r>
          </w:p>
        </w:tc>
        <w:tc>
          <w:tcPr>
            <w:tcW w:type="dxa" w:w="3078"/>
            <w:vAlign w:val="center"/>
            <w:tcW w:w="3077"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Severe underfitting</w:t>
            </w:r>
          </w:p>
        </w:tc>
      </w:tr>
      <w:tr>
        <w:trPr>
          <w:cantSplit/>
        </w:trPr>
        <w:tc>
          <w:tcPr>
            <w:tcW w:type="dxa" w:w="1042"/>
            <w:vAlign w:val="center"/>
            <w:tcW w:w="1041" w:type="dxa"/>
            <w:tcMar>
              <w:top w:w="60" w:type="dxa"/>
              <w:bottom w:w="60" w:type="dxa"/>
              <w:left w:w="80" w:type="dxa"/>
              <w:right w:w="80" w:type="dxa"/>
            </w:tcMar>
          </w:tcPr>
          <w:p>
            <w:pPr>
              <w:spacing w:before="0" w:after="0" w:line="252" w:lineRule="auto"/>
              <w:jc w:val="left"/>
            </w:pPr>
            <w:r>
              <w:rPr>
                <w:rFonts w:ascii="Times New Roman" w:hAnsi="Times New Roman"/>
                <w:b/>
                <w:sz w:val="16"/>
              </w:rPr>
              <w:t>Decision Tree</w:t>
            </w:r>
          </w:p>
        </w:tc>
        <w:tc>
          <w:tcPr>
            <w:tcW w:type="dxa" w:w="1339"/>
            <w:vAlign w:val="center"/>
            <w:tcW w:w="1338" w:type="dxa"/>
            <w:tcMar>
              <w:top w:w="60" w:type="dxa"/>
              <w:bottom w:w="60" w:type="dxa"/>
              <w:left w:w="80" w:type="dxa"/>
              <w:right w:w="80" w:type="dxa"/>
            </w:tcMar>
          </w:tcPr>
          <w:p>
            <w:pPr>
              <w:spacing w:before="0" w:after="0" w:line="252" w:lineRule="auto"/>
              <w:jc w:val="left"/>
            </w:pPr>
            <w:r>
              <w:rPr>
                <w:rFonts w:ascii="Cambria Math" w:hAnsi="Cambria Math"/>
                <w:sz w:val="16"/>
              </w:rPr>
              <w:t>d=4, L=100</w:t>
            </w:r>
          </w:p>
        </w:tc>
        <w:tc>
          <w:tcPr>
            <w:tcW w:type="dxa" w:w="785"/>
            <w:vAlign w:val="center"/>
            <w:tcW w:w="785" w:type="dxa"/>
            <w:tcMar>
              <w:top w:w="60" w:type="dxa"/>
              <w:bottom w:w="60" w:type="dxa"/>
              <w:left w:w="80" w:type="dxa"/>
              <w:right w:w="80" w:type="dxa"/>
            </w:tcMar>
          </w:tcPr>
          <w:p>
            <w:pPr>
              <w:spacing w:before="0" w:after="0" w:line="252" w:lineRule="auto"/>
              <w:jc w:val="center"/>
            </w:pPr>
            <w:r>
              <w:rPr>
                <w:rFonts w:ascii="Cambria Math" w:hAnsi="Cambria Math"/>
                <w:sz w:val="16"/>
              </w:rPr>
              <w:t>0.2510</w:t>
            </w:r>
          </w:p>
        </w:tc>
        <w:tc>
          <w:tcPr>
            <w:tcW w:type="dxa" w:w="875"/>
            <w:vAlign w:val="center"/>
            <w:tcW w:w="875" w:type="dxa"/>
            <w:tcMar>
              <w:top w:w="60" w:type="dxa"/>
              <w:bottom w:w="60" w:type="dxa"/>
              <w:left w:w="80" w:type="dxa"/>
              <w:right w:w="80" w:type="dxa"/>
            </w:tcMar>
          </w:tcPr>
          <w:p>
            <w:pPr>
              <w:spacing w:before="0" w:after="0" w:line="252" w:lineRule="auto"/>
              <w:jc w:val="center"/>
            </w:pPr>
            <w:r>
              <w:rPr>
                <w:rFonts w:ascii="Cambria Math" w:hAnsi="Cambria Math"/>
                <w:sz w:val="16"/>
              </w:rPr>
              <w:t>0.0014</w:t>
            </w:r>
          </w:p>
        </w:tc>
        <w:tc>
          <w:tcPr>
            <w:tcW w:type="dxa" w:w="875"/>
            <w:vAlign w:val="center"/>
            <w:tcW w:w="875" w:type="dxa"/>
            <w:tcMar>
              <w:top w:w="60" w:type="dxa"/>
              <w:bottom w:w="60" w:type="dxa"/>
              <w:left w:w="80" w:type="dxa"/>
              <w:right w:w="80" w:type="dxa"/>
            </w:tcMar>
          </w:tcPr>
          <w:p>
            <w:pPr>
              <w:spacing w:before="0" w:after="0" w:line="252" w:lineRule="auto"/>
              <w:jc w:val="center"/>
            </w:pPr>
            <w:r>
              <w:rPr>
                <w:rFonts w:ascii="Cambria Math" w:hAnsi="Cambria Math"/>
                <w:sz w:val="16"/>
              </w:rPr>
              <w:t>0.2531</w:t>
            </w:r>
          </w:p>
        </w:tc>
        <w:tc>
          <w:tcPr>
            <w:tcW w:type="dxa" w:w="1042"/>
            <w:vAlign w:val="center"/>
            <w:tcW w:w="1041" w:type="dxa"/>
            <w:tcMar>
              <w:top w:w="60" w:type="dxa"/>
              <w:bottom w:w="60" w:type="dxa"/>
              <w:left w:w="80" w:type="dxa"/>
              <w:right w:w="80" w:type="dxa"/>
            </w:tcMar>
          </w:tcPr>
          <w:p>
            <w:pPr>
              <w:spacing w:before="0" w:after="0" w:line="252" w:lineRule="auto"/>
              <w:jc w:val="center"/>
            </w:pPr>
            <w:r>
              <w:rPr>
                <w:rFonts w:ascii="Cambria Math" w:hAnsi="Cambria Math"/>
                <w:sz w:val="16"/>
              </w:rPr>
              <w:t>+0.0021</w:t>
            </w:r>
          </w:p>
        </w:tc>
        <w:tc>
          <w:tcPr>
            <w:tcW w:type="dxa" w:w="1002"/>
            <w:vAlign w:val="center"/>
            <w:tcW w:w="1001" w:type="dxa"/>
            <w:tcMar>
              <w:top w:w="60" w:type="dxa"/>
              <w:bottom w:w="60" w:type="dxa"/>
              <w:left w:w="80" w:type="dxa"/>
              <w:right w:w="80" w:type="dxa"/>
            </w:tcMar>
          </w:tcPr>
          <w:p>
            <w:pPr>
              <w:spacing w:before="0" w:after="0" w:line="252" w:lineRule="auto"/>
              <w:jc w:val="left"/>
            </w:pPr>
            <w:r>
              <w:rPr>
                <w:rFonts w:ascii="Times New Roman" w:hAnsi="Times New Roman"/>
                <w:sz w:val="16"/>
              </w:rPr>
              <w:t>14</w:t>
            </w:r>
          </w:p>
        </w:tc>
        <w:tc>
          <w:tcPr>
            <w:tcW w:type="dxa" w:w="3078"/>
            <w:vAlign w:val="center"/>
            <w:tcW w:w="3077" w:type="dxa"/>
            <w:tcMar>
              <w:top w:w="60" w:type="dxa"/>
              <w:bottom w:w="60" w:type="dxa"/>
              <w:left w:w="80" w:type="dxa"/>
              <w:right w:w="80" w:type="dxa"/>
            </w:tcMar>
          </w:tcPr>
          <w:p>
            <w:pPr>
              <w:spacing w:before="0" w:after="0" w:line="252" w:lineRule="auto"/>
              <w:jc w:val="left"/>
            </w:pPr>
            <w:r>
              <w:rPr>
                <w:rFonts w:ascii="Times New Roman" w:hAnsi="Times New Roman"/>
                <w:sz w:val="16"/>
              </w:rPr>
              <w:t>Severe underfitting</w:t>
            </w:r>
          </w:p>
        </w:tc>
      </w:tr>
      <w:tr>
        <w:trPr>
          <w:cantSplit/>
        </w:trPr>
        <w:tc>
          <w:tcPr>
            <w:tcW w:type="dxa" w:w="1042"/>
            <w:vAlign w:val="center"/>
            <w:tcW w:w="1041"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Decision Tree</w:t>
            </w:r>
          </w:p>
        </w:tc>
        <w:tc>
          <w:tcPr>
            <w:tcW w:type="dxa" w:w="1339"/>
            <w:vAlign w:val="center"/>
            <w:tcW w:w="1338" w:type="dxa"/>
            <w:tcMar>
              <w:top w:w="60" w:type="dxa"/>
              <w:bottom w:w="60" w:type="dxa"/>
              <w:left w:w="80" w:type="dxa"/>
              <w:right w:w="80" w:type="dxa"/>
            </w:tcMar>
            <w:shd w:val="clear" w:color="auto" w:fill="F8FAFC"/>
          </w:tcPr>
          <w:p>
            <w:pPr>
              <w:spacing w:before="0" w:after="0" w:line="252" w:lineRule="auto"/>
              <w:jc w:val="left"/>
            </w:pPr>
            <w:r>
              <w:rPr>
                <w:rFonts w:ascii="Cambria Math" w:hAnsi="Cambria Math"/>
                <w:sz w:val="16"/>
              </w:rPr>
              <w:t>d=4, L=200</w:t>
            </w:r>
          </w:p>
        </w:tc>
        <w:tc>
          <w:tcPr>
            <w:tcW w:type="dxa" w:w="785"/>
            <w:vAlign w:val="center"/>
            <w:tcW w:w="785"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0.2532</w:t>
            </w:r>
          </w:p>
        </w:tc>
        <w:tc>
          <w:tcPr>
            <w:tcW w:type="dxa" w:w="875"/>
            <w:vAlign w:val="center"/>
            <w:tcW w:w="875"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0.0014</w:t>
            </w:r>
          </w:p>
        </w:tc>
        <w:tc>
          <w:tcPr>
            <w:tcW w:type="dxa" w:w="875"/>
            <w:vAlign w:val="center"/>
            <w:tcW w:w="875"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0.2540</w:t>
            </w:r>
          </w:p>
        </w:tc>
        <w:tc>
          <w:tcPr>
            <w:tcW w:type="dxa" w:w="1042"/>
            <w:vAlign w:val="center"/>
            <w:tcW w:w="1041"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+0.0008</w:t>
            </w:r>
          </w:p>
        </w:tc>
        <w:tc>
          <w:tcPr>
            <w:tcW w:type="dxa" w:w="1002"/>
            <w:vAlign w:val="center"/>
            <w:tcW w:w="1001"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13</w:t>
            </w:r>
          </w:p>
        </w:tc>
        <w:tc>
          <w:tcPr>
            <w:tcW w:type="dxa" w:w="3078"/>
            <w:vAlign w:val="center"/>
            <w:tcW w:w="3077"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Severe underfitting</w:t>
            </w:r>
          </w:p>
        </w:tc>
      </w:tr>
      <w:tr>
        <w:trPr>
          <w:cantSplit/>
        </w:trPr>
        <w:tc>
          <w:tcPr>
            <w:tcW w:type="dxa" w:w="1042"/>
            <w:vAlign w:val="center"/>
            <w:tcW w:w="1041" w:type="dxa"/>
            <w:tcMar>
              <w:top w:w="60" w:type="dxa"/>
              <w:bottom w:w="60" w:type="dxa"/>
              <w:left w:w="80" w:type="dxa"/>
              <w:right w:w="80" w:type="dxa"/>
            </w:tcMar>
          </w:tcPr>
          <w:p>
            <w:pPr>
              <w:spacing w:before="0" w:after="0" w:line="252" w:lineRule="auto"/>
              <w:jc w:val="left"/>
            </w:pPr>
            <w:r>
              <w:rPr>
                <w:rFonts w:ascii="Times New Roman" w:hAnsi="Times New Roman"/>
                <w:b/>
                <w:sz w:val="16"/>
              </w:rPr>
              <w:t>Decision Tree</w:t>
            </w:r>
          </w:p>
        </w:tc>
        <w:tc>
          <w:tcPr>
            <w:tcW w:type="dxa" w:w="1339"/>
            <w:vAlign w:val="center"/>
            <w:tcW w:w="1338" w:type="dxa"/>
            <w:tcMar>
              <w:top w:w="60" w:type="dxa"/>
              <w:bottom w:w="60" w:type="dxa"/>
              <w:left w:w="80" w:type="dxa"/>
              <w:right w:w="80" w:type="dxa"/>
            </w:tcMar>
          </w:tcPr>
          <w:p>
            <w:pPr>
              <w:spacing w:before="0" w:after="0" w:line="252" w:lineRule="auto"/>
              <w:jc w:val="left"/>
            </w:pPr>
            <w:r>
              <w:rPr>
                <w:rFonts w:ascii="Cambria Math" w:hAnsi="Cambria Math"/>
                <w:sz w:val="16"/>
              </w:rPr>
              <w:t>d=6, L=20</w:t>
            </w:r>
          </w:p>
        </w:tc>
        <w:tc>
          <w:tcPr>
            <w:tcW w:type="dxa" w:w="785"/>
            <w:vAlign w:val="center"/>
            <w:tcW w:w="785" w:type="dxa"/>
            <w:tcMar>
              <w:top w:w="60" w:type="dxa"/>
              <w:bottom w:w="60" w:type="dxa"/>
              <w:left w:w="80" w:type="dxa"/>
              <w:right w:w="80" w:type="dxa"/>
            </w:tcMar>
          </w:tcPr>
          <w:p>
            <w:pPr>
              <w:spacing w:before="0" w:after="0" w:line="252" w:lineRule="auto"/>
              <w:jc w:val="center"/>
            </w:pPr>
            <w:r>
              <w:rPr>
                <w:rFonts w:ascii="Cambria Math" w:hAnsi="Cambria Math"/>
                <w:sz w:val="16"/>
              </w:rPr>
              <w:t>0.2584</w:t>
            </w:r>
          </w:p>
        </w:tc>
        <w:tc>
          <w:tcPr>
            <w:tcW w:type="dxa" w:w="875"/>
            <w:vAlign w:val="center"/>
            <w:tcW w:w="875" w:type="dxa"/>
            <w:tcMar>
              <w:top w:w="60" w:type="dxa"/>
              <w:bottom w:w="60" w:type="dxa"/>
              <w:left w:w="80" w:type="dxa"/>
              <w:right w:w="80" w:type="dxa"/>
            </w:tcMar>
          </w:tcPr>
          <w:p>
            <w:pPr>
              <w:spacing w:before="0" w:after="0" w:line="252" w:lineRule="auto"/>
              <w:jc w:val="center"/>
            </w:pPr>
            <w:r>
              <w:rPr>
                <w:rFonts w:ascii="Cambria Math" w:hAnsi="Cambria Math"/>
                <w:sz w:val="16"/>
              </w:rPr>
              <w:t>0.0013</w:t>
            </w:r>
          </w:p>
        </w:tc>
        <w:tc>
          <w:tcPr>
            <w:tcW w:type="dxa" w:w="875"/>
            <w:vAlign w:val="center"/>
            <w:tcW w:w="875" w:type="dxa"/>
            <w:tcMar>
              <w:top w:w="60" w:type="dxa"/>
              <w:bottom w:w="60" w:type="dxa"/>
              <w:left w:w="80" w:type="dxa"/>
              <w:right w:w="80" w:type="dxa"/>
            </w:tcMar>
          </w:tcPr>
          <w:p>
            <w:pPr>
              <w:spacing w:before="0" w:after="0" w:line="252" w:lineRule="auto"/>
              <w:jc w:val="center"/>
            </w:pPr>
            <w:r>
              <w:rPr>
                <w:rFonts w:ascii="Cambria Math" w:hAnsi="Cambria Math"/>
                <w:sz w:val="16"/>
              </w:rPr>
              <w:t>0.2691</w:t>
            </w:r>
          </w:p>
        </w:tc>
        <w:tc>
          <w:tcPr>
            <w:tcW w:type="dxa" w:w="1042"/>
            <w:vAlign w:val="center"/>
            <w:tcW w:w="1041" w:type="dxa"/>
            <w:tcMar>
              <w:top w:w="60" w:type="dxa"/>
              <w:bottom w:w="60" w:type="dxa"/>
              <w:left w:w="80" w:type="dxa"/>
              <w:right w:w="80" w:type="dxa"/>
            </w:tcMar>
          </w:tcPr>
          <w:p>
            <w:pPr>
              <w:spacing w:before="0" w:after="0" w:line="252" w:lineRule="auto"/>
              <w:jc w:val="center"/>
            </w:pPr>
            <w:r>
              <w:rPr>
                <w:rFonts w:ascii="Cambria Math" w:hAnsi="Cambria Math"/>
                <w:sz w:val="16"/>
              </w:rPr>
              <w:t>+0.0107</w:t>
            </w:r>
          </w:p>
        </w:tc>
        <w:tc>
          <w:tcPr>
            <w:tcW w:type="dxa" w:w="1002"/>
            <w:vAlign w:val="center"/>
            <w:tcW w:w="1001" w:type="dxa"/>
            <w:tcMar>
              <w:top w:w="60" w:type="dxa"/>
              <w:bottom w:w="60" w:type="dxa"/>
              <w:left w:w="80" w:type="dxa"/>
              <w:right w:w="80" w:type="dxa"/>
            </w:tcMar>
          </w:tcPr>
          <w:p>
            <w:pPr>
              <w:spacing w:before="0" w:after="0" w:line="252" w:lineRule="auto"/>
              <w:jc w:val="left"/>
            </w:pPr>
            <w:r>
              <w:rPr>
                <w:rFonts w:ascii="Times New Roman" w:hAnsi="Times New Roman"/>
                <w:sz w:val="16"/>
              </w:rPr>
              <w:t>12</w:t>
            </w:r>
          </w:p>
        </w:tc>
        <w:tc>
          <w:tcPr>
            <w:tcW w:type="dxa" w:w="3078"/>
            <w:vAlign w:val="center"/>
            <w:tcW w:w="3077" w:type="dxa"/>
            <w:tcMar>
              <w:top w:w="60" w:type="dxa"/>
              <w:bottom w:w="60" w:type="dxa"/>
              <w:left w:w="80" w:type="dxa"/>
              <w:right w:w="80" w:type="dxa"/>
            </w:tcMar>
          </w:tcPr>
          <w:p>
            <w:pPr>
              <w:spacing w:before="0" w:after="0" w:line="252" w:lineRule="auto"/>
              <w:jc w:val="left"/>
            </w:pPr>
            <w:r>
              <w:rPr>
                <w:rFonts w:ascii="Times New Roman" w:hAnsi="Times New Roman"/>
                <w:sz w:val="16"/>
              </w:rPr>
              <w:t>Underfitting; unable to resolve multi-seller delivery friction</w:t>
            </w:r>
          </w:p>
        </w:tc>
      </w:tr>
      <w:tr>
        <w:trPr>
          <w:cantSplit/>
        </w:trPr>
        <w:tc>
          <w:tcPr>
            <w:tcW w:type="dxa" w:w="1042"/>
            <w:vAlign w:val="center"/>
            <w:tcW w:w="1041"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Decision Tree</w:t>
            </w:r>
          </w:p>
        </w:tc>
        <w:tc>
          <w:tcPr>
            <w:tcW w:type="dxa" w:w="1339"/>
            <w:vAlign w:val="center"/>
            <w:tcW w:w="1338" w:type="dxa"/>
            <w:tcMar>
              <w:top w:w="60" w:type="dxa"/>
              <w:bottom w:w="60" w:type="dxa"/>
              <w:left w:w="80" w:type="dxa"/>
              <w:right w:w="80" w:type="dxa"/>
            </w:tcMar>
            <w:shd w:val="clear" w:color="auto" w:fill="F8FAFC"/>
          </w:tcPr>
          <w:p>
            <w:pPr>
              <w:spacing w:before="0" w:after="0" w:line="252" w:lineRule="auto"/>
              <w:jc w:val="left"/>
            </w:pPr>
            <w:r>
              <w:rPr>
                <w:rFonts w:ascii="Cambria Math" w:hAnsi="Cambria Math"/>
                <w:sz w:val="16"/>
              </w:rPr>
              <w:t>d=6, L=50</w:t>
            </w:r>
          </w:p>
        </w:tc>
        <w:tc>
          <w:tcPr>
            <w:tcW w:type="dxa" w:w="785"/>
            <w:vAlign w:val="center"/>
            <w:tcW w:w="785"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0.2612</w:t>
            </w:r>
          </w:p>
        </w:tc>
        <w:tc>
          <w:tcPr>
            <w:tcW w:type="dxa" w:w="875"/>
            <w:vAlign w:val="center"/>
            <w:tcW w:w="875"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0.0012</w:t>
            </w:r>
          </w:p>
        </w:tc>
        <w:tc>
          <w:tcPr>
            <w:tcW w:type="dxa" w:w="875"/>
            <w:vAlign w:val="center"/>
            <w:tcW w:w="875"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0.2702</w:t>
            </w:r>
          </w:p>
        </w:tc>
        <w:tc>
          <w:tcPr>
            <w:tcW w:type="dxa" w:w="1042"/>
            <w:vAlign w:val="center"/>
            <w:tcW w:w="1041"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+0.0090</w:t>
            </w:r>
          </w:p>
        </w:tc>
        <w:tc>
          <w:tcPr>
            <w:tcW w:type="dxa" w:w="1002"/>
            <w:vAlign w:val="center"/>
            <w:tcW w:w="1001"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11</w:t>
            </w:r>
          </w:p>
        </w:tc>
        <w:tc>
          <w:tcPr>
            <w:tcW w:type="dxa" w:w="3078"/>
            <w:vAlign w:val="center"/>
            <w:tcW w:w="3077"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Underfitting</w:t>
            </w:r>
          </w:p>
        </w:tc>
      </w:tr>
      <w:tr>
        <w:trPr>
          <w:cantSplit/>
        </w:trPr>
        <w:tc>
          <w:tcPr>
            <w:tcW w:type="dxa" w:w="1042"/>
            <w:vAlign w:val="center"/>
            <w:tcW w:w="1041" w:type="dxa"/>
            <w:tcMar>
              <w:top w:w="60" w:type="dxa"/>
              <w:bottom w:w="60" w:type="dxa"/>
              <w:left w:w="80" w:type="dxa"/>
              <w:right w:w="80" w:type="dxa"/>
            </w:tcMar>
          </w:tcPr>
          <w:p>
            <w:pPr>
              <w:spacing w:before="0" w:after="0" w:line="252" w:lineRule="auto"/>
              <w:jc w:val="left"/>
            </w:pPr>
            <w:r>
              <w:rPr>
                <w:rFonts w:ascii="Times New Roman" w:hAnsi="Times New Roman"/>
                <w:b/>
                <w:sz w:val="16"/>
              </w:rPr>
              <w:t>Decision Tree</w:t>
            </w:r>
          </w:p>
        </w:tc>
        <w:tc>
          <w:tcPr>
            <w:tcW w:type="dxa" w:w="1339"/>
            <w:vAlign w:val="center"/>
            <w:tcW w:w="1338" w:type="dxa"/>
            <w:tcMar>
              <w:top w:w="60" w:type="dxa"/>
              <w:bottom w:w="60" w:type="dxa"/>
              <w:left w:w="80" w:type="dxa"/>
              <w:right w:w="80" w:type="dxa"/>
            </w:tcMar>
          </w:tcPr>
          <w:p>
            <w:pPr>
              <w:spacing w:before="0" w:after="0" w:line="252" w:lineRule="auto"/>
              <w:jc w:val="left"/>
            </w:pPr>
            <w:r>
              <w:rPr>
                <w:rFonts w:ascii="Cambria Math" w:hAnsi="Cambria Math"/>
                <w:sz w:val="16"/>
              </w:rPr>
              <w:t>d=6, L=100</w:t>
            </w:r>
          </w:p>
        </w:tc>
        <w:tc>
          <w:tcPr>
            <w:tcW w:type="dxa" w:w="785"/>
            <w:vAlign w:val="center"/>
            <w:tcW w:w="785" w:type="dxa"/>
            <w:tcMar>
              <w:top w:w="60" w:type="dxa"/>
              <w:bottom w:w="60" w:type="dxa"/>
              <w:left w:w="80" w:type="dxa"/>
              <w:right w:w="80" w:type="dxa"/>
            </w:tcMar>
          </w:tcPr>
          <w:p>
            <w:pPr>
              <w:spacing w:before="0" w:after="0" w:line="252" w:lineRule="auto"/>
              <w:jc w:val="center"/>
            </w:pPr>
            <w:r>
              <w:rPr>
                <w:rFonts w:ascii="Cambria Math" w:hAnsi="Cambria Math"/>
                <w:sz w:val="16"/>
              </w:rPr>
              <w:t>0.2635</w:t>
            </w:r>
          </w:p>
        </w:tc>
        <w:tc>
          <w:tcPr>
            <w:tcW w:type="dxa" w:w="875"/>
            <w:vAlign w:val="center"/>
            <w:tcW w:w="875" w:type="dxa"/>
            <w:tcMar>
              <w:top w:w="60" w:type="dxa"/>
              <w:bottom w:w="60" w:type="dxa"/>
              <w:left w:w="80" w:type="dxa"/>
              <w:right w:w="80" w:type="dxa"/>
            </w:tcMar>
          </w:tcPr>
          <w:p>
            <w:pPr>
              <w:spacing w:before="0" w:after="0" w:line="252" w:lineRule="auto"/>
              <w:jc w:val="center"/>
            </w:pPr>
            <w:r>
              <w:rPr>
                <w:rFonts w:ascii="Cambria Math" w:hAnsi="Cambria Math"/>
                <w:sz w:val="16"/>
              </w:rPr>
              <w:t>0.0012</w:t>
            </w:r>
          </w:p>
        </w:tc>
        <w:tc>
          <w:tcPr>
            <w:tcW w:type="dxa" w:w="875"/>
            <w:vAlign w:val="center"/>
            <w:tcW w:w="875" w:type="dxa"/>
            <w:tcMar>
              <w:top w:w="60" w:type="dxa"/>
              <w:bottom w:w="60" w:type="dxa"/>
              <w:left w:w="80" w:type="dxa"/>
              <w:right w:w="80" w:type="dxa"/>
            </w:tcMar>
          </w:tcPr>
          <w:p>
            <w:pPr>
              <w:spacing w:before="0" w:after="0" w:line="252" w:lineRule="auto"/>
              <w:jc w:val="center"/>
            </w:pPr>
            <w:r>
              <w:rPr>
                <w:rFonts w:ascii="Cambria Math" w:hAnsi="Cambria Math"/>
                <w:sz w:val="16"/>
              </w:rPr>
              <w:t>0.2711</w:t>
            </w:r>
          </w:p>
        </w:tc>
        <w:tc>
          <w:tcPr>
            <w:tcW w:type="dxa" w:w="1042"/>
            <w:vAlign w:val="center"/>
            <w:tcW w:w="1041" w:type="dxa"/>
            <w:tcMar>
              <w:top w:w="60" w:type="dxa"/>
              <w:bottom w:w="60" w:type="dxa"/>
              <w:left w:w="80" w:type="dxa"/>
              <w:right w:w="80" w:type="dxa"/>
            </w:tcMar>
          </w:tcPr>
          <w:p>
            <w:pPr>
              <w:spacing w:before="0" w:after="0" w:line="252" w:lineRule="auto"/>
              <w:jc w:val="center"/>
            </w:pPr>
            <w:r>
              <w:rPr>
                <w:rFonts w:ascii="Cambria Math" w:hAnsi="Cambria Math"/>
                <w:sz w:val="16"/>
              </w:rPr>
              <w:t>+0.0076</w:t>
            </w:r>
          </w:p>
        </w:tc>
        <w:tc>
          <w:tcPr>
            <w:tcW w:type="dxa" w:w="1002"/>
            <w:vAlign w:val="center"/>
            <w:tcW w:w="1001" w:type="dxa"/>
            <w:tcMar>
              <w:top w:w="60" w:type="dxa"/>
              <w:bottom w:w="60" w:type="dxa"/>
              <w:left w:w="80" w:type="dxa"/>
              <w:right w:w="80" w:type="dxa"/>
            </w:tcMar>
          </w:tcPr>
          <w:p>
            <w:pPr>
              <w:spacing w:before="0" w:after="0" w:line="252" w:lineRule="auto"/>
              <w:jc w:val="left"/>
            </w:pPr>
            <w:r>
              <w:rPr>
                <w:rFonts w:ascii="Times New Roman" w:hAnsi="Times New Roman"/>
                <w:sz w:val="16"/>
              </w:rPr>
              <w:t>10</w:t>
            </w:r>
          </w:p>
        </w:tc>
        <w:tc>
          <w:tcPr>
            <w:tcW w:type="dxa" w:w="3078"/>
            <w:vAlign w:val="center"/>
            <w:tcW w:w="3077" w:type="dxa"/>
            <w:tcMar>
              <w:top w:w="60" w:type="dxa"/>
              <w:bottom w:w="60" w:type="dxa"/>
              <w:left w:w="80" w:type="dxa"/>
              <w:right w:w="80" w:type="dxa"/>
            </w:tcMar>
          </w:tcPr>
          <w:p>
            <w:pPr>
              <w:spacing w:before="0" w:after="0" w:line="252" w:lineRule="auto"/>
              <w:jc w:val="left"/>
            </w:pPr>
            <w:r>
              <w:rPr>
                <w:rFonts w:ascii="Times New Roman" w:hAnsi="Times New Roman"/>
                <w:sz w:val="16"/>
              </w:rPr>
              <w:t>Underfitting</w:t>
            </w:r>
          </w:p>
        </w:tc>
      </w:tr>
      <w:tr>
        <w:trPr>
          <w:cantSplit/>
        </w:trPr>
        <w:tc>
          <w:tcPr>
            <w:tcW w:type="dxa" w:w="1042"/>
            <w:vAlign w:val="center"/>
            <w:tcW w:w="1041"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Decision Tree</w:t>
            </w:r>
          </w:p>
        </w:tc>
        <w:tc>
          <w:tcPr>
            <w:tcW w:type="dxa" w:w="1339"/>
            <w:vAlign w:val="center"/>
            <w:tcW w:w="1338" w:type="dxa"/>
            <w:tcMar>
              <w:top w:w="60" w:type="dxa"/>
              <w:bottom w:w="60" w:type="dxa"/>
              <w:left w:w="80" w:type="dxa"/>
              <w:right w:w="80" w:type="dxa"/>
            </w:tcMar>
            <w:shd w:val="clear" w:color="auto" w:fill="F8FAFC"/>
          </w:tcPr>
          <w:p>
            <w:pPr>
              <w:spacing w:before="0" w:after="0" w:line="252" w:lineRule="auto"/>
              <w:jc w:val="left"/>
            </w:pPr>
            <w:r>
              <w:rPr>
                <w:rFonts w:ascii="Cambria Math" w:hAnsi="Cambria Math"/>
                <w:sz w:val="16"/>
              </w:rPr>
              <w:t>d=6, L=200</w:t>
            </w:r>
          </w:p>
        </w:tc>
        <w:tc>
          <w:tcPr>
            <w:tcW w:type="dxa" w:w="785"/>
            <w:vAlign w:val="center"/>
            <w:tcW w:w="785"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0.2662</w:t>
            </w:r>
          </w:p>
        </w:tc>
        <w:tc>
          <w:tcPr>
            <w:tcW w:type="dxa" w:w="875"/>
            <w:vAlign w:val="center"/>
            <w:tcW w:w="875"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0.0012</w:t>
            </w:r>
          </w:p>
        </w:tc>
        <w:tc>
          <w:tcPr>
            <w:tcW w:type="dxa" w:w="875"/>
            <w:vAlign w:val="center"/>
            <w:tcW w:w="875"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0.2720</w:t>
            </w:r>
          </w:p>
        </w:tc>
        <w:tc>
          <w:tcPr>
            <w:tcW w:type="dxa" w:w="1042"/>
            <w:vAlign w:val="center"/>
            <w:tcW w:w="1041"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+0.0058</w:t>
            </w:r>
          </w:p>
        </w:tc>
        <w:tc>
          <w:tcPr>
            <w:tcW w:type="dxa" w:w="1002"/>
            <w:vAlign w:val="center"/>
            <w:tcW w:w="1001"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9</w:t>
            </w:r>
          </w:p>
        </w:tc>
        <w:tc>
          <w:tcPr>
            <w:tcW w:type="dxa" w:w="3078"/>
            <w:vAlign w:val="center"/>
            <w:tcW w:w="3077"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Underfitting</w:t>
            </w:r>
          </w:p>
        </w:tc>
      </w:tr>
      <w:tr>
        <w:trPr>
          <w:cantSplit/>
        </w:trPr>
        <w:tc>
          <w:tcPr>
            <w:tcW w:type="dxa" w:w="1042"/>
            <w:vAlign w:val="center"/>
            <w:tcW w:w="1041" w:type="dxa"/>
            <w:tcMar>
              <w:top w:w="60" w:type="dxa"/>
              <w:bottom w:w="60" w:type="dxa"/>
              <w:left w:w="80" w:type="dxa"/>
              <w:right w:w="80" w:type="dxa"/>
            </w:tcMar>
          </w:tcPr>
          <w:p>
            <w:pPr>
              <w:spacing w:before="0" w:after="0" w:line="252" w:lineRule="auto"/>
              <w:jc w:val="left"/>
            </w:pPr>
            <w:r>
              <w:rPr>
                <w:rFonts w:ascii="Times New Roman" w:hAnsi="Times New Roman"/>
                <w:b/>
                <w:sz w:val="16"/>
              </w:rPr>
              <w:t>Decision Tree</w:t>
            </w:r>
          </w:p>
        </w:tc>
        <w:tc>
          <w:tcPr>
            <w:tcW w:type="dxa" w:w="1339"/>
            <w:vAlign w:val="center"/>
            <w:tcW w:w="1338" w:type="dxa"/>
            <w:tcMar>
              <w:top w:w="60" w:type="dxa"/>
              <w:bottom w:w="60" w:type="dxa"/>
              <w:left w:w="80" w:type="dxa"/>
              <w:right w:w="80" w:type="dxa"/>
            </w:tcMar>
          </w:tcPr>
          <w:p>
            <w:pPr>
              <w:spacing w:before="0" w:after="0" w:line="252" w:lineRule="auto"/>
              <w:jc w:val="left"/>
            </w:pPr>
            <w:r>
              <w:rPr>
                <w:rFonts w:ascii="Cambria Math" w:hAnsi="Cambria Math"/>
                <w:sz w:val="16"/>
              </w:rPr>
              <w:t>d=8, L=20</w:t>
            </w:r>
          </w:p>
        </w:tc>
        <w:tc>
          <w:tcPr>
            <w:tcW w:type="dxa" w:w="785"/>
            <w:vAlign w:val="center"/>
            <w:tcW w:w="785" w:type="dxa"/>
            <w:tcMar>
              <w:top w:w="60" w:type="dxa"/>
              <w:bottom w:w="60" w:type="dxa"/>
              <w:left w:w="80" w:type="dxa"/>
              <w:right w:w="80" w:type="dxa"/>
            </w:tcMar>
          </w:tcPr>
          <w:p>
            <w:pPr>
              <w:spacing w:before="0" w:after="0" w:line="252" w:lineRule="auto"/>
              <w:jc w:val="center"/>
            </w:pPr>
            <w:r>
              <w:rPr>
                <w:rFonts w:ascii="Cambria Math" w:hAnsi="Cambria Math"/>
                <w:sz w:val="16"/>
              </w:rPr>
              <w:t>0.2691</w:t>
            </w:r>
          </w:p>
        </w:tc>
        <w:tc>
          <w:tcPr>
            <w:tcW w:type="dxa" w:w="875"/>
            <w:vAlign w:val="center"/>
            <w:tcW w:w="875" w:type="dxa"/>
            <w:tcMar>
              <w:top w:w="60" w:type="dxa"/>
              <w:bottom w:w="60" w:type="dxa"/>
              <w:left w:w="80" w:type="dxa"/>
              <w:right w:w="80" w:type="dxa"/>
            </w:tcMar>
          </w:tcPr>
          <w:p>
            <w:pPr>
              <w:spacing w:before="0" w:after="0" w:line="252" w:lineRule="auto"/>
              <w:jc w:val="center"/>
            </w:pPr>
            <w:r>
              <w:rPr>
                <w:rFonts w:ascii="Cambria Math" w:hAnsi="Cambria Math"/>
                <w:sz w:val="16"/>
              </w:rPr>
              <w:t>0.0014</w:t>
            </w:r>
          </w:p>
        </w:tc>
        <w:tc>
          <w:tcPr>
            <w:tcW w:type="dxa" w:w="875"/>
            <w:vAlign w:val="center"/>
            <w:tcW w:w="875" w:type="dxa"/>
            <w:tcMar>
              <w:top w:w="60" w:type="dxa"/>
              <w:bottom w:w="60" w:type="dxa"/>
              <w:left w:w="80" w:type="dxa"/>
              <w:right w:w="80" w:type="dxa"/>
            </w:tcMar>
          </w:tcPr>
          <w:p>
            <w:pPr>
              <w:spacing w:before="0" w:after="0" w:line="252" w:lineRule="auto"/>
              <w:jc w:val="center"/>
            </w:pPr>
            <w:r>
              <w:rPr>
                <w:rFonts w:ascii="Cambria Math" w:hAnsi="Cambria Math"/>
                <w:sz w:val="16"/>
              </w:rPr>
              <w:t>0.2852</w:t>
            </w:r>
          </w:p>
        </w:tc>
        <w:tc>
          <w:tcPr>
            <w:tcW w:type="dxa" w:w="1042"/>
            <w:vAlign w:val="center"/>
            <w:tcW w:w="1041" w:type="dxa"/>
            <w:tcMar>
              <w:top w:w="60" w:type="dxa"/>
              <w:bottom w:w="60" w:type="dxa"/>
              <w:left w:w="80" w:type="dxa"/>
              <w:right w:w="80" w:type="dxa"/>
            </w:tcMar>
          </w:tcPr>
          <w:p>
            <w:pPr>
              <w:spacing w:before="0" w:after="0" w:line="252" w:lineRule="auto"/>
              <w:jc w:val="center"/>
            </w:pPr>
            <w:r>
              <w:rPr>
                <w:rFonts w:ascii="Cambria Math" w:hAnsi="Cambria Math"/>
                <w:sz w:val="16"/>
              </w:rPr>
              <w:t>+0.0161</w:t>
            </w:r>
          </w:p>
        </w:tc>
        <w:tc>
          <w:tcPr>
            <w:tcW w:type="dxa" w:w="1002"/>
            <w:vAlign w:val="center"/>
            <w:tcW w:w="1001" w:type="dxa"/>
            <w:tcMar>
              <w:top w:w="60" w:type="dxa"/>
              <w:bottom w:w="60" w:type="dxa"/>
              <w:left w:w="80" w:type="dxa"/>
              <w:right w:w="80" w:type="dxa"/>
            </w:tcMar>
          </w:tcPr>
          <w:p>
            <w:pPr>
              <w:spacing w:before="0" w:after="0" w:line="252" w:lineRule="auto"/>
              <w:jc w:val="left"/>
            </w:pPr>
            <w:r>
              <w:rPr>
                <w:rFonts w:ascii="Times New Roman" w:hAnsi="Times New Roman"/>
                <w:sz w:val="16"/>
              </w:rPr>
              <w:t>8</w:t>
            </w:r>
          </w:p>
        </w:tc>
        <w:tc>
          <w:tcPr>
            <w:tcW w:type="dxa" w:w="3078"/>
            <w:vAlign w:val="center"/>
            <w:tcW w:w="3077" w:type="dxa"/>
            <w:tcMar>
              <w:top w:w="60" w:type="dxa"/>
              <w:bottom w:w="60" w:type="dxa"/>
              <w:left w:w="80" w:type="dxa"/>
              <w:right w:w="80" w:type="dxa"/>
            </w:tcMar>
          </w:tcPr>
          <w:p>
            <w:pPr>
              <w:spacing w:before="0" w:after="0" w:line="252" w:lineRule="auto"/>
              <w:jc w:val="left"/>
            </w:pPr>
            <w:r>
              <w:rPr>
                <w:rFonts w:ascii="Times New Roman" w:hAnsi="Times New Roman"/>
                <w:sz w:val="16"/>
              </w:rPr>
              <w:t>Moderate overfitting; leaf detractor probability noisy</w:t>
            </w:r>
          </w:p>
        </w:tc>
      </w:tr>
      <w:tr>
        <w:trPr>
          <w:cantSplit/>
        </w:trPr>
        <w:tc>
          <w:tcPr>
            <w:tcW w:type="dxa" w:w="1042"/>
            <w:vAlign w:val="center"/>
            <w:tcW w:w="1041"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Decision Tree</w:t>
            </w:r>
          </w:p>
        </w:tc>
        <w:tc>
          <w:tcPr>
            <w:tcW w:type="dxa" w:w="1339"/>
            <w:vAlign w:val="center"/>
            <w:tcW w:w="1338" w:type="dxa"/>
            <w:tcMar>
              <w:top w:w="60" w:type="dxa"/>
              <w:bottom w:w="60" w:type="dxa"/>
              <w:left w:w="80" w:type="dxa"/>
              <w:right w:w="80" w:type="dxa"/>
            </w:tcMar>
            <w:shd w:val="clear" w:color="auto" w:fill="F8FAFC"/>
          </w:tcPr>
          <w:p>
            <w:pPr>
              <w:spacing w:before="0" w:after="0" w:line="252" w:lineRule="auto"/>
              <w:jc w:val="left"/>
            </w:pPr>
            <w:r>
              <w:rPr>
                <w:rFonts w:ascii="Cambria Math" w:hAnsi="Cambria Math"/>
                <w:sz w:val="16"/>
              </w:rPr>
              <w:t>d=8, L=50</w:t>
            </w:r>
          </w:p>
        </w:tc>
        <w:tc>
          <w:tcPr>
            <w:tcW w:type="dxa" w:w="785"/>
            <w:vAlign w:val="center"/>
            <w:tcW w:w="785"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0.2724</w:t>
            </w:r>
          </w:p>
        </w:tc>
        <w:tc>
          <w:tcPr>
            <w:tcW w:type="dxa" w:w="875"/>
            <w:vAlign w:val="center"/>
            <w:tcW w:w="875"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0.0013</w:t>
            </w:r>
          </w:p>
        </w:tc>
        <w:tc>
          <w:tcPr>
            <w:tcW w:type="dxa" w:w="875"/>
            <w:vAlign w:val="center"/>
            <w:tcW w:w="875"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0.2861</w:t>
            </w:r>
          </w:p>
        </w:tc>
        <w:tc>
          <w:tcPr>
            <w:tcW w:type="dxa" w:w="1042"/>
            <w:vAlign w:val="center"/>
            <w:tcW w:w="1041"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+0.0137</w:t>
            </w:r>
          </w:p>
        </w:tc>
        <w:tc>
          <w:tcPr>
            <w:tcW w:type="dxa" w:w="1002"/>
            <w:vAlign w:val="center"/>
            <w:tcW w:w="1001"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7</w:t>
            </w:r>
          </w:p>
        </w:tc>
        <w:tc>
          <w:tcPr>
            <w:tcW w:type="dxa" w:w="3078"/>
            <w:vAlign w:val="center"/>
            <w:tcW w:w="3077"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Improving stability</w:t>
            </w:r>
          </w:p>
        </w:tc>
      </w:tr>
      <w:tr>
        <w:trPr>
          <w:cantSplit/>
        </w:trPr>
        <w:tc>
          <w:tcPr>
            <w:tcW w:type="dxa" w:w="1042"/>
            <w:vAlign w:val="center"/>
            <w:tcW w:w="1041" w:type="dxa"/>
            <w:tcMar>
              <w:top w:w="60" w:type="dxa"/>
              <w:bottom w:w="60" w:type="dxa"/>
              <w:left w:w="80" w:type="dxa"/>
              <w:right w:w="80" w:type="dxa"/>
            </w:tcMar>
          </w:tcPr>
          <w:p>
            <w:pPr>
              <w:spacing w:before="0" w:after="0" w:line="252" w:lineRule="auto"/>
              <w:jc w:val="left"/>
            </w:pPr>
            <w:r>
              <w:rPr>
                <w:rFonts w:ascii="Times New Roman" w:hAnsi="Times New Roman"/>
                <w:b/>
                <w:sz w:val="16"/>
              </w:rPr>
              <w:t>Decision Tree</w:t>
            </w:r>
          </w:p>
        </w:tc>
        <w:tc>
          <w:tcPr>
            <w:tcW w:type="dxa" w:w="1339"/>
            <w:vAlign w:val="center"/>
            <w:tcW w:w="1338" w:type="dxa"/>
            <w:tcMar>
              <w:top w:w="60" w:type="dxa"/>
              <w:bottom w:w="60" w:type="dxa"/>
              <w:left w:w="80" w:type="dxa"/>
              <w:right w:w="80" w:type="dxa"/>
            </w:tcMar>
          </w:tcPr>
          <w:p>
            <w:pPr>
              <w:spacing w:before="0" w:after="0" w:line="252" w:lineRule="auto"/>
              <w:jc w:val="left"/>
            </w:pPr>
            <w:r>
              <w:rPr>
                <w:rFonts w:ascii="Cambria Math" w:hAnsi="Cambria Math"/>
                <w:sz w:val="16"/>
              </w:rPr>
              <w:t>d=8, L=100</w:t>
            </w:r>
          </w:p>
        </w:tc>
        <w:tc>
          <w:tcPr>
            <w:tcW w:type="dxa" w:w="785"/>
            <w:vAlign w:val="center"/>
            <w:tcW w:w="785" w:type="dxa"/>
            <w:tcMar>
              <w:top w:w="60" w:type="dxa"/>
              <w:bottom w:w="60" w:type="dxa"/>
              <w:left w:w="80" w:type="dxa"/>
              <w:right w:w="80" w:type="dxa"/>
            </w:tcMar>
          </w:tcPr>
          <w:p>
            <w:pPr>
              <w:spacing w:before="0" w:after="0" w:line="252" w:lineRule="auto"/>
              <w:jc w:val="center"/>
            </w:pPr>
            <w:r>
              <w:rPr>
                <w:rFonts w:ascii="Cambria Math" w:hAnsi="Cambria Math"/>
                <w:sz w:val="16"/>
              </w:rPr>
              <w:t>0.2751</w:t>
            </w:r>
          </w:p>
        </w:tc>
        <w:tc>
          <w:tcPr>
            <w:tcW w:type="dxa" w:w="875"/>
            <w:vAlign w:val="center"/>
            <w:tcW w:w="875" w:type="dxa"/>
            <w:tcMar>
              <w:top w:w="60" w:type="dxa"/>
              <w:bottom w:w="60" w:type="dxa"/>
              <w:left w:w="80" w:type="dxa"/>
              <w:right w:w="80" w:type="dxa"/>
            </w:tcMar>
          </w:tcPr>
          <w:p>
            <w:pPr>
              <w:spacing w:before="0" w:after="0" w:line="252" w:lineRule="auto"/>
              <w:jc w:val="center"/>
            </w:pPr>
            <w:r>
              <w:rPr>
                <w:rFonts w:ascii="Cambria Math" w:hAnsi="Cambria Math"/>
                <w:sz w:val="16"/>
              </w:rPr>
              <w:t>0.0013</w:t>
            </w:r>
          </w:p>
        </w:tc>
        <w:tc>
          <w:tcPr>
            <w:tcW w:type="dxa" w:w="875"/>
            <w:vAlign w:val="center"/>
            <w:tcW w:w="875" w:type="dxa"/>
            <w:tcMar>
              <w:top w:w="60" w:type="dxa"/>
              <w:bottom w:w="60" w:type="dxa"/>
              <w:left w:w="80" w:type="dxa"/>
              <w:right w:w="80" w:type="dxa"/>
            </w:tcMar>
          </w:tcPr>
          <w:p>
            <w:pPr>
              <w:spacing w:before="0" w:after="0" w:line="252" w:lineRule="auto"/>
              <w:jc w:val="center"/>
            </w:pPr>
            <w:r>
              <w:rPr>
                <w:rFonts w:ascii="Cambria Math" w:hAnsi="Cambria Math"/>
                <w:sz w:val="16"/>
              </w:rPr>
              <w:t>0.2874</w:t>
            </w:r>
          </w:p>
        </w:tc>
        <w:tc>
          <w:tcPr>
            <w:tcW w:type="dxa" w:w="1042"/>
            <w:vAlign w:val="center"/>
            <w:tcW w:w="1041" w:type="dxa"/>
            <w:tcMar>
              <w:top w:w="60" w:type="dxa"/>
              <w:bottom w:w="60" w:type="dxa"/>
              <w:left w:w="80" w:type="dxa"/>
              <w:right w:w="80" w:type="dxa"/>
            </w:tcMar>
          </w:tcPr>
          <w:p>
            <w:pPr>
              <w:spacing w:before="0" w:after="0" w:line="252" w:lineRule="auto"/>
              <w:jc w:val="center"/>
            </w:pPr>
            <w:r>
              <w:rPr>
                <w:rFonts w:ascii="Cambria Math" w:hAnsi="Cambria Math"/>
                <w:sz w:val="16"/>
              </w:rPr>
              <w:t>+0.0123</w:t>
            </w:r>
          </w:p>
        </w:tc>
        <w:tc>
          <w:tcPr>
            <w:tcW w:type="dxa" w:w="1002"/>
            <w:vAlign w:val="center"/>
            <w:tcW w:w="1001" w:type="dxa"/>
            <w:tcMar>
              <w:top w:w="60" w:type="dxa"/>
              <w:bottom w:w="60" w:type="dxa"/>
              <w:left w:w="80" w:type="dxa"/>
              <w:right w:w="80" w:type="dxa"/>
            </w:tcMar>
          </w:tcPr>
          <w:p>
            <w:pPr>
              <w:spacing w:before="0" w:after="0" w:line="252" w:lineRule="auto"/>
              <w:jc w:val="left"/>
            </w:pPr>
            <w:r>
              <w:rPr>
                <w:rFonts w:ascii="Times New Roman" w:hAnsi="Times New Roman"/>
                <w:sz w:val="16"/>
              </w:rPr>
              <w:t>6</w:t>
            </w:r>
          </w:p>
        </w:tc>
        <w:tc>
          <w:tcPr>
            <w:tcW w:type="dxa" w:w="3078"/>
            <w:vAlign w:val="center"/>
            <w:tcW w:w="3077" w:type="dxa"/>
            <w:tcMar>
              <w:top w:w="60" w:type="dxa"/>
              <w:bottom w:w="60" w:type="dxa"/>
              <w:left w:w="80" w:type="dxa"/>
              <w:right w:w="80" w:type="dxa"/>
            </w:tcMar>
          </w:tcPr>
          <w:p>
            <w:pPr>
              <w:spacing w:before="0" w:after="0" w:line="252" w:lineRule="auto"/>
              <w:jc w:val="left"/>
            </w:pPr>
            <w:r>
              <w:rPr>
                <w:rFonts w:ascii="Times New Roman" w:hAnsi="Times New Roman"/>
                <w:sz w:val="16"/>
              </w:rPr>
              <w:t>Balanced tree structure</w:t>
            </w:r>
          </w:p>
        </w:tc>
      </w:tr>
      <w:tr>
        <w:trPr>
          <w:cantSplit/>
        </w:trPr>
        <w:tc>
          <w:tcPr>
            <w:tcW w:type="dxa" w:w="1042"/>
            <w:vAlign w:val="center"/>
            <w:tcW w:w="1041"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Decision Tree</w:t>
            </w:r>
          </w:p>
        </w:tc>
        <w:tc>
          <w:tcPr>
            <w:tcW w:type="dxa" w:w="1339"/>
            <w:vAlign w:val="center"/>
            <w:tcW w:w="1338" w:type="dxa"/>
            <w:tcMar>
              <w:top w:w="60" w:type="dxa"/>
              <w:bottom w:w="60" w:type="dxa"/>
              <w:left w:w="80" w:type="dxa"/>
              <w:right w:w="80" w:type="dxa"/>
            </w:tcMar>
            <w:shd w:val="clear" w:color="auto" w:fill="F8FAFC"/>
          </w:tcPr>
          <w:p>
            <w:pPr>
              <w:spacing w:before="0" w:after="0" w:line="252" w:lineRule="auto"/>
              <w:jc w:val="left"/>
            </w:pPr>
            <w:r>
              <w:rPr>
                <w:rFonts w:ascii="Cambria Math" w:hAnsi="Cambria Math"/>
                <w:sz w:val="16"/>
              </w:rPr>
              <w:t>d=8, L=200</w:t>
            </w:r>
          </w:p>
        </w:tc>
        <w:tc>
          <w:tcPr>
            <w:tcW w:type="dxa" w:w="785"/>
            <w:vAlign w:val="center"/>
            <w:tcW w:w="785"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0.2782</w:t>
            </w:r>
          </w:p>
        </w:tc>
        <w:tc>
          <w:tcPr>
            <w:tcW w:type="dxa" w:w="875"/>
            <w:vAlign w:val="center"/>
            <w:tcW w:w="875"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0.0014</w:t>
            </w:r>
          </w:p>
        </w:tc>
        <w:tc>
          <w:tcPr>
            <w:tcW w:type="dxa" w:w="875"/>
            <w:vAlign w:val="center"/>
            <w:tcW w:w="875"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0.2882</w:t>
            </w:r>
          </w:p>
        </w:tc>
        <w:tc>
          <w:tcPr>
            <w:tcW w:type="dxa" w:w="1042"/>
            <w:vAlign w:val="center"/>
            <w:tcW w:w="1041"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+0.0100</w:t>
            </w:r>
          </w:p>
        </w:tc>
        <w:tc>
          <w:tcPr>
            <w:tcW w:type="dxa" w:w="1002"/>
            <w:vAlign w:val="center"/>
            <w:tcW w:w="1001"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5</w:t>
            </w:r>
          </w:p>
        </w:tc>
        <w:tc>
          <w:tcPr>
            <w:tcW w:type="dxa" w:w="3078"/>
            <w:vAlign w:val="center"/>
            <w:tcW w:w="3077"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High precision on main branches</w:t>
            </w:r>
          </w:p>
        </w:tc>
      </w:tr>
      <w:tr>
        <w:trPr>
          <w:cantSplit/>
        </w:trPr>
        <w:tc>
          <w:tcPr>
            <w:tcW w:type="dxa" w:w="1042"/>
            <w:vAlign w:val="center"/>
            <w:tcW w:w="1041" w:type="dxa"/>
            <w:tcMar>
              <w:top w:w="60" w:type="dxa"/>
              <w:bottom w:w="60" w:type="dxa"/>
              <w:left w:w="80" w:type="dxa"/>
              <w:right w:w="80" w:type="dxa"/>
            </w:tcMar>
          </w:tcPr>
          <w:p>
            <w:pPr>
              <w:spacing w:before="0" w:after="0" w:line="252" w:lineRule="auto"/>
              <w:jc w:val="left"/>
            </w:pPr>
            <w:r>
              <w:rPr>
                <w:rFonts w:ascii="Times New Roman" w:hAnsi="Times New Roman"/>
                <w:b/>
                <w:sz w:val="16"/>
              </w:rPr>
              <w:t>Decision Tree</w:t>
            </w:r>
          </w:p>
        </w:tc>
        <w:tc>
          <w:tcPr>
            <w:tcW w:type="dxa" w:w="1339"/>
            <w:vAlign w:val="center"/>
            <w:tcW w:w="1338" w:type="dxa"/>
            <w:tcMar>
              <w:top w:w="60" w:type="dxa"/>
              <w:bottom w:w="60" w:type="dxa"/>
              <w:left w:w="80" w:type="dxa"/>
              <w:right w:w="80" w:type="dxa"/>
            </w:tcMar>
          </w:tcPr>
          <w:p>
            <w:pPr>
              <w:spacing w:before="0" w:after="0" w:line="252" w:lineRule="auto"/>
              <w:jc w:val="left"/>
            </w:pPr>
            <w:r>
              <w:rPr>
                <w:rFonts w:ascii="Cambria Math" w:hAnsi="Cambria Math"/>
                <w:sz w:val="16"/>
              </w:rPr>
              <w:t>d=10, L=20</w:t>
            </w:r>
          </w:p>
        </w:tc>
        <w:tc>
          <w:tcPr>
            <w:tcW w:type="dxa" w:w="785"/>
            <w:vAlign w:val="center"/>
            <w:tcW w:w="785" w:type="dxa"/>
            <w:tcMar>
              <w:top w:w="60" w:type="dxa"/>
              <w:bottom w:w="60" w:type="dxa"/>
              <w:left w:w="80" w:type="dxa"/>
              <w:right w:w="80" w:type="dxa"/>
            </w:tcMar>
          </w:tcPr>
          <w:p>
            <w:pPr>
              <w:spacing w:before="0" w:after="0" w:line="252" w:lineRule="auto"/>
              <w:jc w:val="center"/>
            </w:pPr>
            <w:r>
              <w:rPr>
                <w:rFonts w:ascii="Cambria Math" w:hAnsi="Cambria Math"/>
                <w:sz w:val="16"/>
              </w:rPr>
              <w:t>0.2581</w:t>
            </w:r>
          </w:p>
        </w:tc>
        <w:tc>
          <w:tcPr>
            <w:tcW w:type="dxa" w:w="875"/>
            <w:vAlign w:val="center"/>
            <w:tcW w:w="875" w:type="dxa"/>
            <w:tcMar>
              <w:top w:w="60" w:type="dxa"/>
              <w:bottom w:w="60" w:type="dxa"/>
              <w:left w:w="80" w:type="dxa"/>
              <w:right w:w="80" w:type="dxa"/>
            </w:tcMar>
          </w:tcPr>
          <w:p>
            <w:pPr>
              <w:spacing w:before="0" w:after="0" w:line="252" w:lineRule="auto"/>
              <w:jc w:val="center"/>
            </w:pPr>
            <w:r>
              <w:rPr>
                <w:rFonts w:ascii="Cambria Math" w:hAnsi="Cambria Math"/>
                <w:sz w:val="16"/>
              </w:rPr>
              <w:t>0.0018</w:t>
            </w:r>
          </w:p>
        </w:tc>
        <w:tc>
          <w:tcPr>
            <w:tcW w:type="dxa" w:w="875"/>
            <w:vAlign w:val="center"/>
            <w:tcW w:w="875" w:type="dxa"/>
            <w:tcMar>
              <w:top w:w="60" w:type="dxa"/>
              <w:bottom w:w="60" w:type="dxa"/>
              <w:left w:w="80" w:type="dxa"/>
              <w:right w:w="80" w:type="dxa"/>
            </w:tcMar>
          </w:tcPr>
          <w:p>
            <w:pPr>
              <w:spacing w:before="0" w:after="0" w:line="252" w:lineRule="auto"/>
              <w:jc w:val="center"/>
            </w:pPr>
            <w:r>
              <w:rPr>
                <w:rFonts w:ascii="Cambria Math" w:hAnsi="Cambria Math"/>
                <w:sz w:val="16"/>
              </w:rPr>
              <w:t>0.3120</w:t>
            </w:r>
          </w:p>
        </w:tc>
        <w:tc>
          <w:tcPr>
            <w:tcW w:type="dxa" w:w="1042"/>
            <w:vAlign w:val="center"/>
            <w:tcW w:w="1041" w:type="dxa"/>
            <w:tcMar>
              <w:top w:w="60" w:type="dxa"/>
              <w:bottom w:w="60" w:type="dxa"/>
              <w:left w:w="80" w:type="dxa"/>
              <w:right w:w="80" w:type="dxa"/>
            </w:tcMar>
          </w:tcPr>
          <w:p>
            <w:pPr>
              <w:spacing w:before="0" w:after="0" w:line="252" w:lineRule="auto"/>
              <w:jc w:val="center"/>
            </w:pPr>
            <w:r>
              <w:rPr>
                <w:rFonts w:ascii="Cambria Math" w:hAnsi="Cambria Math"/>
                <w:sz w:val="16"/>
              </w:rPr>
              <w:t>+0.0539</w:t>
            </w:r>
          </w:p>
        </w:tc>
        <w:tc>
          <w:tcPr>
            <w:tcW w:type="dxa" w:w="1002"/>
            <w:vAlign w:val="center"/>
            <w:tcW w:w="1001" w:type="dxa"/>
            <w:tcMar>
              <w:top w:w="60" w:type="dxa"/>
              <w:bottom w:w="60" w:type="dxa"/>
              <w:left w:w="80" w:type="dxa"/>
              <w:right w:w="80" w:type="dxa"/>
            </w:tcMar>
          </w:tcPr>
          <w:p>
            <w:pPr>
              <w:spacing w:before="0" w:after="0" w:line="252" w:lineRule="auto"/>
              <w:jc w:val="left"/>
            </w:pPr>
            <w:r>
              <w:rPr>
                <w:rFonts w:ascii="Times New Roman" w:hAnsi="Times New Roman"/>
                <w:sz w:val="16"/>
              </w:rPr>
              <w:t>11</w:t>
            </w:r>
          </w:p>
        </w:tc>
        <w:tc>
          <w:tcPr>
            <w:tcW w:type="dxa" w:w="3078"/>
            <w:vAlign w:val="center"/>
            <w:tcW w:w="3077" w:type="dxa"/>
            <w:tcMar>
              <w:top w:w="60" w:type="dxa"/>
              <w:bottom w:w="60" w:type="dxa"/>
              <w:left w:w="80" w:type="dxa"/>
              <w:right w:w="80" w:type="dxa"/>
            </w:tcMar>
          </w:tcPr>
          <w:p>
            <w:pPr>
              <w:spacing w:before="0" w:after="0" w:line="252" w:lineRule="auto"/>
              <w:jc w:val="center"/>
            </w:pPr>
            <w:r>
              <w:rPr>
                <w:rFonts w:ascii="Times New Roman" w:hAnsi="Times New Roman"/>
                <w:sz w:val="16"/>
              </w:rPr>
              <w:t xml:space="preserve">Severe overfitting (train </w:t>
            </w:r>
            <w:r>
              <w:rPr>
                <w:rFonts w:ascii="Cambria Math" w:hAnsi="Cambria Math"/>
                <w:sz w:val="16"/>
              </w:rPr>
              <w:t>0.312</w:t>
            </w:r>
            <w:r>
              <w:rPr>
                <w:rFonts w:ascii="Times New Roman" w:hAnsi="Times New Roman"/>
                <w:sz w:val="16"/>
              </w:rPr>
              <w:t xml:space="preserve"> vs val </w:t>
            </w:r>
            <w:r>
              <w:rPr>
                <w:rFonts w:ascii="Cambria Math" w:hAnsi="Cambria Math"/>
                <w:sz w:val="16"/>
              </w:rPr>
              <w:t>0.258</w:t>
            </w:r>
            <w:r>
              <w:rPr>
                <w:rFonts w:ascii="Times New Roman" w:hAnsi="Times New Roman"/>
                <w:sz w:val="16"/>
              </w:rPr>
              <w:t>); unpruned leaves overfit noise</w:t>
            </w:r>
          </w:p>
        </w:tc>
      </w:tr>
      <w:tr>
        <w:trPr>
          <w:cantSplit/>
        </w:trPr>
        <w:tc>
          <w:tcPr>
            <w:tcW w:type="dxa" w:w="1042"/>
            <w:vAlign w:val="center"/>
            <w:tcW w:w="1041"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Decision Tree</w:t>
            </w:r>
          </w:p>
        </w:tc>
        <w:tc>
          <w:tcPr>
            <w:tcW w:type="dxa" w:w="1339"/>
            <w:vAlign w:val="center"/>
            <w:tcW w:w="1338" w:type="dxa"/>
            <w:tcMar>
              <w:top w:w="60" w:type="dxa"/>
              <w:bottom w:w="60" w:type="dxa"/>
              <w:left w:w="80" w:type="dxa"/>
              <w:right w:w="80" w:type="dxa"/>
            </w:tcMar>
            <w:shd w:val="clear" w:color="auto" w:fill="F8FAFC"/>
          </w:tcPr>
          <w:p>
            <w:pPr>
              <w:spacing w:before="0" w:after="0" w:line="252" w:lineRule="auto"/>
              <w:jc w:val="left"/>
            </w:pPr>
            <w:r>
              <w:rPr>
                <w:rFonts w:ascii="Cambria Math" w:hAnsi="Cambria Math"/>
                <w:sz w:val="16"/>
              </w:rPr>
              <w:t>d=10, L=50</w:t>
            </w:r>
          </w:p>
        </w:tc>
        <w:tc>
          <w:tcPr>
            <w:tcW w:type="dxa" w:w="785"/>
            <w:vAlign w:val="center"/>
            <w:tcW w:w="785"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0.2712</w:t>
            </w:r>
          </w:p>
        </w:tc>
        <w:tc>
          <w:tcPr>
            <w:tcW w:type="dxa" w:w="875"/>
            <w:vAlign w:val="center"/>
            <w:tcW w:w="875"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0.0016</w:t>
            </w:r>
          </w:p>
        </w:tc>
        <w:tc>
          <w:tcPr>
            <w:tcW w:type="dxa" w:w="875"/>
            <w:vAlign w:val="center"/>
            <w:tcW w:w="875"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0.3012</w:t>
            </w:r>
          </w:p>
        </w:tc>
        <w:tc>
          <w:tcPr>
            <w:tcW w:type="dxa" w:w="1042"/>
            <w:vAlign w:val="center"/>
            <w:tcW w:w="1041"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+0.0300</w:t>
            </w:r>
          </w:p>
        </w:tc>
        <w:tc>
          <w:tcPr>
            <w:tcW w:type="dxa" w:w="1002"/>
            <w:vAlign w:val="center"/>
            <w:tcW w:w="1001"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8</w:t>
            </w:r>
          </w:p>
        </w:tc>
        <w:tc>
          <w:tcPr>
            <w:tcW w:type="dxa" w:w="3078"/>
            <w:vAlign w:val="center"/>
            <w:tcW w:w="3077"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Moderate overfitting</w:t>
            </w:r>
          </w:p>
        </w:tc>
      </w:tr>
      <w:tr>
        <w:trPr>
          <w:cantSplit/>
        </w:trPr>
        <w:tc>
          <w:tcPr>
            <w:tcW w:type="dxa" w:w="1042"/>
            <w:vAlign w:val="center"/>
            <w:tcW w:w="1041" w:type="dxa"/>
            <w:tcMar>
              <w:top w:w="60" w:type="dxa"/>
              <w:bottom w:w="60" w:type="dxa"/>
              <w:left w:w="80" w:type="dxa"/>
              <w:right w:w="80" w:type="dxa"/>
            </w:tcMar>
          </w:tcPr>
          <w:p>
            <w:pPr>
              <w:spacing w:before="0" w:after="0" w:line="252" w:lineRule="auto"/>
              <w:jc w:val="left"/>
            </w:pPr>
            <w:r>
              <w:rPr>
                <w:rFonts w:ascii="Times New Roman" w:hAnsi="Times New Roman"/>
                <w:b/>
                <w:sz w:val="16"/>
              </w:rPr>
              <w:t>Decision Tree</w:t>
            </w:r>
          </w:p>
        </w:tc>
        <w:tc>
          <w:tcPr>
            <w:tcW w:type="dxa" w:w="1339"/>
            <w:vAlign w:val="center"/>
            <w:tcW w:w="1338" w:type="dxa"/>
            <w:tcMar>
              <w:top w:w="60" w:type="dxa"/>
              <w:bottom w:w="60" w:type="dxa"/>
              <w:left w:w="80" w:type="dxa"/>
              <w:right w:w="80" w:type="dxa"/>
            </w:tcMar>
          </w:tcPr>
          <w:p>
            <w:pPr>
              <w:spacing w:before="0" w:after="0" w:line="252" w:lineRule="auto"/>
              <w:jc w:val="left"/>
            </w:pPr>
            <w:r>
              <w:rPr>
                <w:rFonts w:ascii="Cambria Math" w:hAnsi="Cambria Math"/>
                <w:sz w:val="16"/>
              </w:rPr>
              <w:t>d=10, L=100</w:t>
            </w:r>
          </w:p>
        </w:tc>
        <w:tc>
          <w:tcPr>
            <w:tcW w:type="dxa" w:w="785"/>
            <w:vAlign w:val="center"/>
            <w:tcW w:w="785" w:type="dxa"/>
            <w:tcMar>
              <w:top w:w="60" w:type="dxa"/>
              <w:bottom w:w="60" w:type="dxa"/>
              <w:left w:w="80" w:type="dxa"/>
              <w:right w:w="80" w:type="dxa"/>
            </w:tcMar>
          </w:tcPr>
          <w:p>
            <w:pPr>
              <w:spacing w:before="0" w:after="0" w:line="252" w:lineRule="auto"/>
              <w:jc w:val="center"/>
            </w:pPr>
            <w:r>
              <w:rPr>
                <w:rFonts w:ascii="Cambria Math" w:hAnsi="Cambria Math"/>
                <w:sz w:val="16"/>
              </w:rPr>
              <w:t>0.2794</w:t>
            </w:r>
          </w:p>
        </w:tc>
        <w:tc>
          <w:tcPr>
            <w:tcW w:type="dxa" w:w="875"/>
            <w:vAlign w:val="center"/>
            <w:tcW w:w="875" w:type="dxa"/>
            <w:tcMar>
              <w:top w:w="60" w:type="dxa"/>
              <w:bottom w:w="60" w:type="dxa"/>
              <w:left w:w="80" w:type="dxa"/>
              <w:right w:w="80" w:type="dxa"/>
            </w:tcMar>
          </w:tcPr>
          <w:p>
            <w:pPr>
              <w:spacing w:before="0" w:after="0" w:line="252" w:lineRule="auto"/>
              <w:jc w:val="center"/>
            </w:pPr>
            <w:r>
              <w:rPr>
                <w:rFonts w:ascii="Cambria Math" w:hAnsi="Cambria Math"/>
                <w:sz w:val="16"/>
              </w:rPr>
              <w:t>0.0015</w:t>
            </w:r>
          </w:p>
        </w:tc>
        <w:tc>
          <w:tcPr>
            <w:tcW w:type="dxa" w:w="875"/>
            <w:vAlign w:val="center"/>
            <w:tcW w:w="875" w:type="dxa"/>
            <w:tcMar>
              <w:top w:w="60" w:type="dxa"/>
              <w:bottom w:w="60" w:type="dxa"/>
              <w:left w:w="80" w:type="dxa"/>
              <w:right w:w="80" w:type="dxa"/>
            </w:tcMar>
          </w:tcPr>
          <w:p>
            <w:pPr>
              <w:spacing w:before="0" w:after="0" w:line="252" w:lineRule="auto"/>
              <w:jc w:val="center"/>
            </w:pPr>
            <w:r>
              <w:rPr>
                <w:rFonts w:ascii="Cambria Math" w:hAnsi="Cambria Math"/>
                <w:sz w:val="16"/>
              </w:rPr>
              <w:t>0.2951</w:t>
            </w:r>
          </w:p>
        </w:tc>
        <w:tc>
          <w:tcPr>
            <w:tcW w:type="dxa" w:w="1042"/>
            <w:vAlign w:val="center"/>
            <w:tcW w:w="1041" w:type="dxa"/>
            <w:tcMar>
              <w:top w:w="60" w:type="dxa"/>
              <w:bottom w:w="60" w:type="dxa"/>
              <w:left w:w="80" w:type="dxa"/>
              <w:right w:w="80" w:type="dxa"/>
            </w:tcMar>
          </w:tcPr>
          <w:p>
            <w:pPr>
              <w:spacing w:before="0" w:after="0" w:line="252" w:lineRule="auto"/>
              <w:jc w:val="center"/>
            </w:pPr>
            <w:r>
              <w:rPr>
                <w:rFonts w:ascii="Cambria Math" w:hAnsi="Cambria Math"/>
                <w:sz w:val="16"/>
              </w:rPr>
              <w:t>+0.0157</w:t>
            </w:r>
          </w:p>
        </w:tc>
        <w:tc>
          <w:tcPr>
            <w:tcW w:type="dxa" w:w="1002"/>
            <w:vAlign w:val="center"/>
            <w:tcW w:w="1001" w:type="dxa"/>
            <w:tcMar>
              <w:top w:w="60" w:type="dxa"/>
              <w:bottom w:w="60" w:type="dxa"/>
              <w:left w:w="80" w:type="dxa"/>
              <w:right w:w="80" w:type="dxa"/>
            </w:tcMar>
          </w:tcPr>
          <w:p>
            <w:pPr>
              <w:spacing w:before="0" w:after="0" w:line="252" w:lineRule="auto"/>
              <w:jc w:val="left"/>
            </w:pPr>
            <w:r>
              <w:rPr>
                <w:rFonts w:ascii="Times New Roman" w:hAnsi="Times New Roman"/>
                <w:sz w:val="16"/>
              </w:rPr>
              <w:t>4</w:t>
            </w:r>
          </w:p>
        </w:tc>
        <w:tc>
          <w:tcPr>
            <w:tcW w:type="dxa" w:w="3078"/>
            <w:vAlign w:val="center"/>
            <w:tcW w:w="3077" w:type="dxa"/>
            <w:tcMar>
              <w:top w:w="60" w:type="dxa"/>
              <w:bottom w:w="60" w:type="dxa"/>
              <w:left w:w="80" w:type="dxa"/>
              <w:right w:w="80" w:type="dxa"/>
            </w:tcMar>
          </w:tcPr>
          <w:p>
            <w:pPr>
              <w:spacing w:before="0" w:after="0" w:line="252" w:lineRule="auto"/>
              <w:jc w:val="left"/>
            </w:pPr>
            <w:r>
              <w:rPr>
                <w:rFonts w:ascii="Times New Roman" w:hAnsi="Times New Roman"/>
                <w:sz w:val="16"/>
              </w:rPr>
              <w:t>Strong candidate</w:t>
            </w:r>
          </w:p>
        </w:tc>
      </w:tr>
      <w:tr>
        <w:trPr>
          <w:cantSplit/>
        </w:trPr>
        <w:tc>
          <w:tcPr>
            <w:tcW w:type="dxa" w:w="1042"/>
            <w:vAlign w:val="center"/>
            <w:tcW w:w="1041"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Decision Tree</w:t>
            </w:r>
          </w:p>
        </w:tc>
        <w:tc>
          <w:tcPr>
            <w:tcW w:type="dxa" w:w="1339"/>
            <w:vAlign w:val="center"/>
            <w:tcW w:w="1338" w:type="dxa"/>
            <w:tcMar>
              <w:top w:w="60" w:type="dxa"/>
              <w:bottom w:w="60" w:type="dxa"/>
              <w:left w:w="80" w:type="dxa"/>
              <w:right w:w="80" w:type="dxa"/>
            </w:tcMar>
            <w:shd w:val="clear" w:color="auto" w:fill="F8FAFC"/>
          </w:tcPr>
          <w:p>
            <w:pPr>
              <w:spacing w:before="0" w:after="0" w:line="252" w:lineRule="auto"/>
              <w:jc w:val="left"/>
            </w:pPr>
            <w:r>
              <w:rPr>
                <w:rFonts w:ascii="Cambria Math" w:hAnsi="Cambria Math"/>
                <w:sz w:val="16"/>
              </w:rPr>
              <w:t>d=10, L=200</w:t>
            </w:r>
          </w:p>
        </w:tc>
        <w:tc>
          <w:tcPr>
            <w:tcW w:type="dxa" w:w="785"/>
            <w:vAlign w:val="center"/>
            <w:tcW w:w="785"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0.28428</w:t>
            </w:r>
          </w:p>
        </w:tc>
        <w:tc>
          <w:tcPr>
            <w:tcW w:type="dxa" w:w="875"/>
            <w:vAlign w:val="center"/>
            <w:tcW w:w="875"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0.0016</w:t>
            </w:r>
          </w:p>
        </w:tc>
        <w:tc>
          <w:tcPr>
            <w:tcW w:type="dxa" w:w="875"/>
            <w:vAlign w:val="center"/>
            <w:tcW w:w="875"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0.2980</w:t>
            </w:r>
          </w:p>
        </w:tc>
        <w:tc>
          <w:tcPr>
            <w:tcW w:type="dxa" w:w="1042"/>
            <w:vAlign w:val="center"/>
            <w:tcW w:w="1041"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+0.0137</w:t>
            </w:r>
          </w:p>
        </w:tc>
        <w:tc>
          <w:tcPr>
            <w:tcW w:type="dxa" w:w="1002"/>
            <w:vAlign w:val="center"/>
            <w:tcW w:w="1001"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1 (Selected)</w:t>
            </w:r>
          </w:p>
        </w:tc>
        <w:tc>
          <w:tcPr>
            <w:tcW w:type="dxa" w:w="3078"/>
            <w:vAlign w:val="center"/>
            <w:tcW w:w="3077"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b/>
                <w:sz w:val="16"/>
              </w:rPr>
              <w:t>Optimal Tree Champion</w:t>
            </w:r>
            <w:r>
              <w:rPr>
                <w:rFonts w:ascii="Times New Roman" w:hAnsi="Times New Roman"/>
                <w:sz w:val="16"/>
              </w:rPr>
              <w:t xml:space="preserve">: </w:t>
            </w:r>
            <w:r>
              <w:rPr>
                <w:rFonts w:ascii="Cambria Math" w:hAnsi="Cambria Math"/>
                <w:sz w:val="16"/>
              </w:rPr>
              <w:t>+0.0217</w:t>
            </w:r>
            <w:r>
              <w:rPr>
                <w:rFonts w:ascii="Times New Roman" w:hAnsi="Times New Roman"/>
                <w:sz w:val="16"/>
              </w:rPr>
              <w:t xml:space="preserve"> AP gain over default; </w:t>
            </w:r>
            <w:r>
              <w:rPr>
                <w:rFonts w:ascii="Cambria Math" w:hAnsi="Cambria Math"/>
                <w:sz w:val="16"/>
              </w:rPr>
              <w:t>≥ 200</w:t>
            </w:r>
            <w:r>
              <w:rPr>
                <w:rFonts w:ascii="Times New Roman" w:hAnsi="Times New Roman"/>
                <w:sz w:val="16"/>
              </w:rPr>
              <w:t xml:space="preserve"> leaf samples prevents noise</w:t>
            </w:r>
          </w:p>
        </w:tc>
      </w:tr>
      <w:tr>
        <w:trPr>
          <w:cantSplit/>
        </w:trPr>
        <w:tc>
          <w:tcPr>
            <w:tcW w:type="dxa" w:w="1042"/>
            <w:vAlign w:val="center"/>
            <w:tcW w:w="1041" w:type="dxa"/>
            <w:tcMar>
              <w:top w:w="60" w:type="dxa"/>
              <w:bottom w:w="60" w:type="dxa"/>
              <w:left w:w="80" w:type="dxa"/>
              <w:right w:w="80" w:type="dxa"/>
            </w:tcMar>
          </w:tcPr>
          <w:p>
            <w:pPr>
              <w:spacing w:before="0" w:after="0" w:line="252" w:lineRule="auto"/>
              <w:jc w:val="left"/>
            </w:pPr>
            <w:r>
              <w:rPr>
                <w:rFonts w:ascii="Times New Roman" w:hAnsi="Times New Roman"/>
                <w:b/>
                <w:sz w:val="16"/>
              </w:rPr>
              <w:t>Random Forest</w:t>
            </w:r>
          </w:p>
        </w:tc>
        <w:tc>
          <w:tcPr>
            <w:tcW w:type="dxa" w:w="1339"/>
            <w:vAlign w:val="center"/>
            <w:tcW w:w="1338" w:type="dxa"/>
            <w:tcMar>
              <w:top w:w="60" w:type="dxa"/>
              <w:bottom w:w="60" w:type="dxa"/>
              <w:left w:w="80" w:type="dxa"/>
              <w:right w:w="80" w:type="dxa"/>
            </w:tcMar>
          </w:tcPr>
          <w:p>
            <w:pPr>
              <w:spacing w:before="0" w:after="0" w:line="252" w:lineRule="auto"/>
              <w:jc w:val="left"/>
            </w:pPr>
            <w:r>
              <w:rPr>
                <w:rFonts w:ascii="Cambria Math" w:hAnsi="Cambria Math"/>
                <w:sz w:val="16"/>
              </w:rPr>
              <w:t>d=6, L=50</w:t>
            </w:r>
          </w:p>
        </w:tc>
        <w:tc>
          <w:tcPr>
            <w:tcW w:type="dxa" w:w="785"/>
            <w:vAlign w:val="center"/>
            <w:tcW w:w="785" w:type="dxa"/>
            <w:tcMar>
              <w:top w:w="60" w:type="dxa"/>
              <w:bottom w:w="60" w:type="dxa"/>
              <w:left w:w="80" w:type="dxa"/>
              <w:right w:w="80" w:type="dxa"/>
            </w:tcMar>
          </w:tcPr>
          <w:p>
            <w:pPr>
              <w:spacing w:before="0" w:after="0" w:line="252" w:lineRule="auto"/>
              <w:jc w:val="center"/>
            </w:pPr>
            <w:r>
              <w:rPr>
                <w:rFonts w:ascii="Cambria Math" w:hAnsi="Cambria Math"/>
                <w:sz w:val="16"/>
              </w:rPr>
              <w:t>0.2852</w:t>
            </w:r>
          </w:p>
        </w:tc>
        <w:tc>
          <w:tcPr>
            <w:tcW w:type="dxa" w:w="875"/>
            <w:vAlign w:val="center"/>
            <w:tcW w:w="875" w:type="dxa"/>
            <w:tcMar>
              <w:top w:w="60" w:type="dxa"/>
              <w:bottom w:w="60" w:type="dxa"/>
              <w:left w:w="80" w:type="dxa"/>
              <w:right w:w="80" w:type="dxa"/>
            </w:tcMar>
          </w:tcPr>
          <w:p>
            <w:pPr>
              <w:spacing w:before="0" w:after="0" w:line="252" w:lineRule="auto"/>
              <w:jc w:val="center"/>
            </w:pPr>
            <w:r>
              <w:rPr>
                <w:rFonts w:ascii="Cambria Math" w:hAnsi="Cambria Math"/>
                <w:sz w:val="16"/>
              </w:rPr>
              <w:t>0.0014</w:t>
            </w:r>
          </w:p>
        </w:tc>
        <w:tc>
          <w:tcPr>
            <w:tcW w:type="dxa" w:w="875"/>
            <w:vAlign w:val="center"/>
            <w:tcW w:w="875" w:type="dxa"/>
            <w:tcMar>
              <w:top w:w="60" w:type="dxa"/>
              <w:bottom w:w="60" w:type="dxa"/>
              <w:left w:w="80" w:type="dxa"/>
              <w:right w:w="80" w:type="dxa"/>
            </w:tcMar>
          </w:tcPr>
          <w:p>
            <w:pPr>
              <w:spacing w:before="0" w:after="0" w:line="252" w:lineRule="auto"/>
              <w:jc w:val="center"/>
            </w:pPr>
            <w:r>
              <w:rPr>
                <w:rFonts w:ascii="Cambria Math" w:hAnsi="Cambria Math"/>
                <w:sz w:val="16"/>
              </w:rPr>
              <w:t>0.3041</w:t>
            </w:r>
          </w:p>
        </w:tc>
        <w:tc>
          <w:tcPr>
            <w:tcW w:type="dxa" w:w="1042"/>
            <w:vAlign w:val="center"/>
            <w:tcW w:w="1041" w:type="dxa"/>
            <w:tcMar>
              <w:top w:w="60" w:type="dxa"/>
              <w:bottom w:w="60" w:type="dxa"/>
              <w:left w:w="80" w:type="dxa"/>
              <w:right w:w="80" w:type="dxa"/>
            </w:tcMar>
          </w:tcPr>
          <w:p>
            <w:pPr>
              <w:spacing w:before="0" w:after="0" w:line="252" w:lineRule="auto"/>
              <w:jc w:val="center"/>
            </w:pPr>
            <w:r>
              <w:rPr>
                <w:rFonts w:ascii="Cambria Math" w:hAnsi="Cambria Math"/>
                <w:sz w:val="16"/>
              </w:rPr>
              <w:t>+0.0189</w:t>
            </w:r>
          </w:p>
        </w:tc>
        <w:tc>
          <w:tcPr>
            <w:tcW w:type="dxa" w:w="1002"/>
            <w:vAlign w:val="center"/>
            <w:tcW w:w="1001" w:type="dxa"/>
            <w:tcMar>
              <w:top w:w="60" w:type="dxa"/>
              <w:bottom w:w="60" w:type="dxa"/>
              <w:left w:w="80" w:type="dxa"/>
              <w:right w:w="80" w:type="dxa"/>
            </w:tcMar>
          </w:tcPr>
          <w:p>
            <w:pPr>
              <w:spacing w:before="0" w:after="0" w:line="252" w:lineRule="auto"/>
              <w:jc w:val="left"/>
            </w:pPr>
            <w:r>
              <w:rPr>
                <w:rFonts w:ascii="Times New Roman" w:hAnsi="Times New Roman"/>
                <w:sz w:val="16"/>
              </w:rPr>
              <w:t>6</w:t>
            </w:r>
          </w:p>
        </w:tc>
        <w:tc>
          <w:tcPr>
            <w:tcW w:type="dxa" w:w="3078"/>
            <w:vAlign w:val="center"/>
            <w:tcW w:w="3077" w:type="dxa"/>
            <w:tcMar>
              <w:top w:w="60" w:type="dxa"/>
              <w:bottom w:w="60" w:type="dxa"/>
              <w:left w:w="80" w:type="dxa"/>
              <w:right w:w="80" w:type="dxa"/>
            </w:tcMar>
          </w:tcPr>
          <w:p>
            <w:pPr>
              <w:spacing w:before="0" w:after="0" w:line="252" w:lineRule="auto"/>
              <w:jc w:val="left"/>
            </w:pPr>
            <w:r>
              <w:rPr>
                <w:rFonts w:ascii="Times New Roman" w:hAnsi="Times New Roman"/>
                <w:sz w:val="16"/>
              </w:rPr>
              <w:t>Shallow ensemble underfits interaction between seller count and interstate share</w:t>
            </w:r>
          </w:p>
        </w:tc>
      </w:tr>
      <w:tr>
        <w:trPr>
          <w:cantSplit/>
        </w:trPr>
        <w:tc>
          <w:tcPr>
            <w:tcW w:type="dxa" w:w="1042"/>
            <w:vAlign w:val="center"/>
            <w:tcW w:w="1041"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Random Forest</w:t>
            </w:r>
          </w:p>
        </w:tc>
        <w:tc>
          <w:tcPr>
            <w:tcW w:type="dxa" w:w="1339"/>
            <w:vAlign w:val="center"/>
            <w:tcW w:w="1338" w:type="dxa"/>
            <w:tcMar>
              <w:top w:w="60" w:type="dxa"/>
              <w:bottom w:w="60" w:type="dxa"/>
              <w:left w:w="80" w:type="dxa"/>
              <w:right w:w="80" w:type="dxa"/>
            </w:tcMar>
            <w:shd w:val="clear" w:color="auto" w:fill="F8FAFC"/>
          </w:tcPr>
          <w:p>
            <w:pPr>
              <w:spacing w:before="0" w:after="0" w:line="252" w:lineRule="auto"/>
              <w:jc w:val="left"/>
            </w:pPr>
            <w:r>
              <w:rPr>
                <w:rFonts w:ascii="Cambria Math" w:hAnsi="Cambria Math"/>
                <w:sz w:val="16"/>
              </w:rPr>
              <w:t>d=6, L=20</w:t>
            </w:r>
          </w:p>
        </w:tc>
        <w:tc>
          <w:tcPr>
            <w:tcW w:type="dxa" w:w="785"/>
            <w:vAlign w:val="center"/>
            <w:tcW w:w="785"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0.2881</w:t>
            </w:r>
          </w:p>
        </w:tc>
        <w:tc>
          <w:tcPr>
            <w:tcW w:type="dxa" w:w="875"/>
            <w:vAlign w:val="center"/>
            <w:tcW w:w="875"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0.0015</w:t>
            </w:r>
          </w:p>
        </w:tc>
        <w:tc>
          <w:tcPr>
            <w:tcW w:type="dxa" w:w="875"/>
            <w:vAlign w:val="center"/>
            <w:tcW w:w="875"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0.3082</w:t>
            </w:r>
          </w:p>
        </w:tc>
        <w:tc>
          <w:tcPr>
            <w:tcW w:type="dxa" w:w="1042"/>
            <w:vAlign w:val="center"/>
            <w:tcW w:w="1041"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+0.0201</w:t>
            </w:r>
          </w:p>
        </w:tc>
        <w:tc>
          <w:tcPr>
            <w:tcW w:type="dxa" w:w="1002"/>
            <w:vAlign w:val="center"/>
            <w:tcW w:w="1001"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5</w:t>
            </w:r>
          </w:p>
        </w:tc>
        <w:tc>
          <w:tcPr>
            <w:tcW w:type="dxa" w:w="3078"/>
            <w:vAlign w:val="center"/>
            <w:tcW w:w="3077"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Shallow ensemble</w:t>
            </w:r>
          </w:p>
        </w:tc>
      </w:tr>
      <w:tr>
        <w:trPr>
          <w:cantSplit/>
        </w:trPr>
        <w:tc>
          <w:tcPr>
            <w:tcW w:type="dxa" w:w="1042"/>
            <w:vAlign w:val="center"/>
            <w:tcW w:w="1041" w:type="dxa"/>
            <w:tcMar>
              <w:top w:w="60" w:type="dxa"/>
              <w:bottom w:w="60" w:type="dxa"/>
              <w:left w:w="80" w:type="dxa"/>
              <w:right w:w="80" w:type="dxa"/>
            </w:tcMar>
          </w:tcPr>
          <w:p>
            <w:pPr>
              <w:spacing w:before="0" w:after="0" w:line="252" w:lineRule="auto"/>
              <w:jc w:val="left"/>
            </w:pPr>
            <w:r>
              <w:rPr>
                <w:rFonts w:ascii="Times New Roman" w:hAnsi="Times New Roman"/>
                <w:b/>
                <w:sz w:val="16"/>
              </w:rPr>
              <w:t>Random Forest</w:t>
            </w:r>
          </w:p>
        </w:tc>
        <w:tc>
          <w:tcPr>
            <w:tcW w:type="dxa" w:w="1339"/>
            <w:vAlign w:val="center"/>
            <w:tcW w:w="1338" w:type="dxa"/>
            <w:tcMar>
              <w:top w:w="60" w:type="dxa"/>
              <w:bottom w:w="60" w:type="dxa"/>
              <w:left w:w="80" w:type="dxa"/>
              <w:right w:w="80" w:type="dxa"/>
            </w:tcMar>
          </w:tcPr>
          <w:p>
            <w:pPr>
              <w:spacing w:before="0" w:after="0" w:line="252" w:lineRule="auto"/>
              <w:jc w:val="left"/>
            </w:pPr>
            <w:r>
              <w:rPr>
                <w:rFonts w:ascii="Cambria Math" w:hAnsi="Cambria Math"/>
                <w:sz w:val="16"/>
              </w:rPr>
              <w:t>d=10, L=50</w:t>
            </w:r>
          </w:p>
        </w:tc>
        <w:tc>
          <w:tcPr>
            <w:tcW w:type="dxa" w:w="785"/>
            <w:vAlign w:val="center"/>
            <w:tcW w:w="785" w:type="dxa"/>
            <w:tcMar>
              <w:top w:w="60" w:type="dxa"/>
              <w:bottom w:w="60" w:type="dxa"/>
              <w:left w:w="80" w:type="dxa"/>
              <w:right w:w="80" w:type="dxa"/>
            </w:tcMar>
          </w:tcPr>
          <w:p>
            <w:pPr>
              <w:spacing w:before="0" w:after="0" w:line="252" w:lineRule="auto"/>
              <w:jc w:val="center"/>
            </w:pPr>
            <w:r>
              <w:rPr>
                <w:rFonts w:ascii="Cambria Math" w:hAnsi="Cambria Math"/>
                <w:sz w:val="16"/>
              </w:rPr>
              <w:t>0.2961</w:t>
            </w:r>
          </w:p>
        </w:tc>
        <w:tc>
          <w:tcPr>
            <w:tcW w:type="dxa" w:w="875"/>
            <w:vAlign w:val="center"/>
            <w:tcW w:w="875" w:type="dxa"/>
            <w:tcMar>
              <w:top w:w="60" w:type="dxa"/>
              <w:bottom w:w="60" w:type="dxa"/>
              <w:left w:w="80" w:type="dxa"/>
              <w:right w:w="80" w:type="dxa"/>
            </w:tcMar>
          </w:tcPr>
          <w:p>
            <w:pPr>
              <w:spacing w:before="0" w:after="0" w:line="252" w:lineRule="auto"/>
              <w:jc w:val="center"/>
            </w:pPr>
            <w:r>
              <w:rPr>
                <w:rFonts w:ascii="Cambria Math" w:hAnsi="Cambria Math"/>
                <w:sz w:val="16"/>
              </w:rPr>
              <w:t>0.0013</w:t>
            </w:r>
          </w:p>
        </w:tc>
        <w:tc>
          <w:tcPr>
            <w:tcW w:type="dxa" w:w="875"/>
            <w:vAlign w:val="center"/>
            <w:tcW w:w="875" w:type="dxa"/>
            <w:tcMar>
              <w:top w:w="60" w:type="dxa"/>
              <w:bottom w:w="60" w:type="dxa"/>
              <w:left w:w="80" w:type="dxa"/>
              <w:right w:w="80" w:type="dxa"/>
            </w:tcMar>
          </w:tcPr>
          <w:p>
            <w:pPr>
              <w:spacing w:before="0" w:after="0" w:line="252" w:lineRule="auto"/>
              <w:jc w:val="center"/>
            </w:pPr>
            <w:r>
              <w:rPr>
                <w:rFonts w:ascii="Cambria Math" w:hAnsi="Cambria Math"/>
                <w:sz w:val="16"/>
              </w:rPr>
              <w:t>0.3204</w:t>
            </w:r>
          </w:p>
        </w:tc>
        <w:tc>
          <w:tcPr>
            <w:tcW w:type="dxa" w:w="1042"/>
            <w:vAlign w:val="center"/>
            <w:tcW w:w="1041" w:type="dxa"/>
            <w:tcMar>
              <w:top w:w="60" w:type="dxa"/>
              <w:bottom w:w="60" w:type="dxa"/>
              <w:left w:w="80" w:type="dxa"/>
              <w:right w:w="80" w:type="dxa"/>
            </w:tcMar>
          </w:tcPr>
          <w:p>
            <w:pPr>
              <w:spacing w:before="0" w:after="0" w:line="252" w:lineRule="auto"/>
              <w:jc w:val="center"/>
            </w:pPr>
            <w:r>
              <w:rPr>
                <w:rFonts w:ascii="Cambria Math" w:hAnsi="Cambria Math"/>
                <w:sz w:val="16"/>
              </w:rPr>
              <w:t>+0.0243</w:t>
            </w:r>
          </w:p>
        </w:tc>
        <w:tc>
          <w:tcPr>
            <w:tcW w:type="dxa" w:w="1002"/>
            <w:vAlign w:val="center"/>
            <w:tcW w:w="1001" w:type="dxa"/>
            <w:tcMar>
              <w:top w:w="60" w:type="dxa"/>
              <w:bottom w:w="60" w:type="dxa"/>
              <w:left w:w="80" w:type="dxa"/>
              <w:right w:w="80" w:type="dxa"/>
            </w:tcMar>
          </w:tcPr>
          <w:p>
            <w:pPr>
              <w:spacing w:before="0" w:after="0" w:line="252" w:lineRule="auto"/>
              <w:jc w:val="left"/>
            </w:pPr>
            <w:r>
              <w:rPr>
                <w:rFonts w:ascii="Times New Roman" w:hAnsi="Times New Roman"/>
                <w:sz w:val="16"/>
              </w:rPr>
              <w:t>4</w:t>
            </w:r>
          </w:p>
        </w:tc>
        <w:tc>
          <w:tcPr>
            <w:tcW w:type="dxa" w:w="3078"/>
            <w:vAlign w:val="center"/>
            <w:tcW w:w="3077" w:type="dxa"/>
            <w:tcMar>
              <w:top w:w="60" w:type="dxa"/>
              <w:bottom w:w="60" w:type="dxa"/>
              <w:left w:w="80" w:type="dxa"/>
              <w:right w:w="80" w:type="dxa"/>
            </w:tcMar>
          </w:tcPr>
          <w:p>
            <w:pPr>
              <w:spacing w:before="0" w:after="0" w:line="252" w:lineRule="auto"/>
              <w:jc w:val="left"/>
            </w:pPr>
            <w:r>
              <w:rPr>
                <w:rFonts w:ascii="Times New Roman" w:hAnsi="Times New Roman"/>
                <w:sz w:val="16"/>
              </w:rPr>
              <w:t>Strong calibration, but depth restricted</w:t>
            </w:r>
          </w:p>
        </w:tc>
      </w:tr>
      <w:tr>
        <w:trPr>
          <w:cantSplit/>
        </w:trPr>
        <w:tc>
          <w:tcPr>
            <w:tcW w:type="dxa" w:w="1042"/>
            <w:vAlign w:val="center"/>
            <w:tcW w:w="1041"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Random Forest</w:t>
            </w:r>
          </w:p>
        </w:tc>
        <w:tc>
          <w:tcPr>
            <w:tcW w:type="dxa" w:w="1339"/>
            <w:vAlign w:val="center"/>
            <w:tcW w:w="1338" w:type="dxa"/>
            <w:tcMar>
              <w:top w:w="60" w:type="dxa"/>
              <w:bottom w:w="60" w:type="dxa"/>
              <w:left w:w="80" w:type="dxa"/>
              <w:right w:w="80" w:type="dxa"/>
            </w:tcMar>
            <w:shd w:val="clear" w:color="auto" w:fill="F8FAFC"/>
          </w:tcPr>
          <w:p>
            <w:pPr>
              <w:spacing w:before="0" w:after="0" w:line="252" w:lineRule="auto"/>
              <w:jc w:val="left"/>
            </w:pPr>
            <w:r>
              <w:rPr>
                <w:rFonts w:ascii="Cambria Math" w:hAnsi="Cambria Math"/>
                <w:sz w:val="16"/>
              </w:rPr>
              <w:t>d=10, L=20</w:t>
            </w:r>
          </w:p>
        </w:tc>
        <w:tc>
          <w:tcPr>
            <w:tcW w:type="dxa" w:w="785"/>
            <w:vAlign w:val="center"/>
            <w:tcW w:w="785"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0.2991</w:t>
            </w:r>
          </w:p>
        </w:tc>
        <w:tc>
          <w:tcPr>
            <w:tcW w:type="dxa" w:w="875"/>
            <w:vAlign w:val="center"/>
            <w:tcW w:w="875"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0.0014</w:t>
            </w:r>
          </w:p>
        </w:tc>
        <w:tc>
          <w:tcPr>
            <w:tcW w:type="dxa" w:w="875"/>
            <w:vAlign w:val="center"/>
            <w:tcW w:w="875"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0.3251</w:t>
            </w:r>
          </w:p>
        </w:tc>
        <w:tc>
          <w:tcPr>
            <w:tcW w:type="dxa" w:w="1042"/>
            <w:vAlign w:val="center"/>
            <w:tcW w:w="1041"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+0.0260</w:t>
            </w:r>
          </w:p>
        </w:tc>
        <w:tc>
          <w:tcPr>
            <w:tcW w:type="dxa" w:w="1002"/>
            <w:vAlign w:val="center"/>
            <w:tcW w:w="1001"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3</w:t>
            </w:r>
          </w:p>
        </w:tc>
        <w:tc>
          <w:tcPr>
            <w:tcW w:type="dxa" w:w="3078"/>
            <w:vAlign w:val="center"/>
            <w:tcW w:w="3077"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Highly competitive with Logistic Regression</w:t>
            </w:r>
          </w:p>
        </w:tc>
      </w:tr>
      <w:tr>
        <w:trPr>
          <w:cantSplit/>
        </w:trPr>
        <w:tc>
          <w:tcPr>
            <w:tcW w:type="dxa" w:w="1042"/>
            <w:vAlign w:val="center"/>
            <w:tcW w:w="1041" w:type="dxa"/>
            <w:tcMar>
              <w:top w:w="60" w:type="dxa"/>
              <w:bottom w:w="60" w:type="dxa"/>
              <w:left w:w="80" w:type="dxa"/>
              <w:right w:w="80" w:type="dxa"/>
            </w:tcMar>
          </w:tcPr>
          <w:p>
            <w:pPr>
              <w:spacing w:before="0" w:after="0" w:line="252" w:lineRule="auto"/>
              <w:jc w:val="left"/>
            </w:pPr>
            <w:r>
              <w:rPr>
                <w:rFonts w:ascii="Times New Roman" w:hAnsi="Times New Roman"/>
                <w:b/>
                <w:sz w:val="16"/>
              </w:rPr>
              <w:t>Random Forest</w:t>
            </w:r>
          </w:p>
        </w:tc>
        <w:tc>
          <w:tcPr>
            <w:tcW w:type="dxa" w:w="1339"/>
            <w:vAlign w:val="center"/>
            <w:tcW w:w="1338" w:type="dxa"/>
            <w:tcMar>
              <w:top w:w="60" w:type="dxa"/>
              <w:bottom w:w="60" w:type="dxa"/>
              <w:left w:w="80" w:type="dxa"/>
              <w:right w:w="80" w:type="dxa"/>
            </w:tcMar>
          </w:tcPr>
          <w:p>
            <w:pPr>
              <w:spacing w:before="0" w:after="0" w:line="252" w:lineRule="auto"/>
              <w:jc w:val="left"/>
            </w:pPr>
            <w:r>
              <w:rPr>
                <w:rFonts w:ascii="Cambria Math" w:hAnsi="Cambria Math"/>
                <w:sz w:val="16"/>
              </w:rPr>
              <w:t>d=14, L=50</w:t>
            </w:r>
          </w:p>
        </w:tc>
        <w:tc>
          <w:tcPr>
            <w:tcW w:type="dxa" w:w="785"/>
            <w:vAlign w:val="center"/>
            <w:tcW w:w="785" w:type="dxa"/>
            <w:tcMar>
              <w:top w:w="60" w:type="dxa"/>
              <w:bottom w:w="60" w:type="dxa"/>
              <w:left w:w="80" w:type="dxa"/>
              <w:right w:w="80" w:type="dxa"/>
            </w:tcMar>
          </w:tcPr>
          <w:p>
            <w:pPr>
              <w:spacing w:before="0" w:after="0" w:line="252" w:lineRule="auto"/>
              <w:jc w:val="center"/>
            </w:pPr>
            <w:r>
              <w:rPr>
                <w:rFonts w:ascii="Cambria Math" w:hAnsi="Cambria Math"/>
                <w:sz w:val="16"/>
              </w:rPr>
              <w:t>0.3012</w:t>
            </w:r>
          </w:p>
        </w:tc>
        <w:tc>
          <w:tcPr>
            <w:tcW w:type="dxa" w:w="875"/>
            <w:vAlign w:val="center"/>
            <w:tcW w:w="875" w:type="dxa"/>
            <w:tcMar>
              <w:top w:w="60" w:type="dxa"/>
              <w:bottom w:w="60" w:type="dxa"/>
              <w:left w:w="80" w:type="dxa"/>
              <w:right w:w="80" w:type="dxa"/>
            </w:tcMar>
          </w:tcPr>
          <w:p>
            <w:pPr>
              <w:spacing w:before="0" w:after="0" w:line="252" w:lineRule="auto"/>
              <w:jc w:val="center"/>
            </w:pPr>
            <w:r>
              <w:rPr>
                <w:rFonts w:ascii="Cambria Math" w:hAnsi="Cambria Math"/>
                <w:sz w:val="16"/>
              </w:rPr>
              <w:t>0.0013</w:t>
            </w:r>
          </w:p>
        </w:tc>
        <w:tc>
          <w:tcPr>
            <w:tcW w:type="dxa" w:w="875"/>
            <w:vAlign w:val="center"/>
            <w:tcW w:w="875" w:type="dxa"/>
            <w:tcMar>
              <w:top w:w="60" w:type="dxa"/>
              <w:bottom w:w="60" w:type="dxa"/>
              <w:left w:w="80" w:type="dxa"/>
              <w:right w:w="80" w:type="dxa"/>
            </w:tcMar>
          </w:tcPr>
          <w:p>
            <w:pPr>
              <w:spacing w:before="0" w:after="0" w:line="252" w:lineRule="auto"/>
              <w:jc w:val="center"/>
            </w:pPr>
            <w:r>
              <w:rPr>
                <w:rFonts w:ascii="Cambria Math" w:hAnsi="Cambria Math"/>
                <w:sz w:val="16"/>
              </w:rPr>
              <w:t>0.3340</w:t>
            </w:r>
          </w:p>
        </w:tc>
        <w:tc>
          <w:tcPr>
            <w:tcW w:type="dxa" w:w="1042"/>
            <w:vAlign w:val="center"/>
            <w:tcW w:w="1041" w:type="dxa"/>
            <w:tcMar>
              <w:top w:w="60" w:type="dxa"/>
              <w:bottom w:w="60" w:type="dxa"/>
              <w:left w:w="80" w:type="dxa"/>
              <w:right w:w="80" w:type="dxa"/>
            </w:tcMar>
          </w:tcPr>
          <w:p>
            <w:pPr>
              <w:spacing w:before="0" w:after="0" w:line="252" w:lineRule="auto"/>
              <w:jc w:val="center"/>
            </w:pPr>
            <w:r>
              <w:rPr>
                <w:rFonts w:ascii="Cambria Math" w:hAnsi="Cambria Math"/>
                <w:sz w:val="16"/>
              </w:rPr>
              <w:t>+0.0328</w:t>
            </w:r>
          </w:p>
        </w:tc>
        <w:tc>
          <w:tcPr>
            <w:tcW w:type="dxa" w:w="1002"/>
            <w:vAlign w:val="center"/>
            <w:tcW w:w="1001" w:type="dxa"/>
            <w:tcMar>
              <w:top w:w="60" w:type="dxa"/>
              <w:bottom w:w="60" w:type="dxa"/>
              <w:left w:w="80" w:type="dxa"/>
              <w:right w:w="80" w:type="dxa"/>
            </w:tcMar>
          </w:tcPr>
          <w:p>
            <w:pPr>
              <w:spacing w:before="0" w:after="0" w:line="252" w:lineRule="auto"/>
              <w:jc w:val="left"/>
            </w:pPr>
            <w:r>
              <w:rPr>
                <w:rFonts w:ascii="Times New Roman" w:hAnsi="Times New Roman"/>
                <w:sz w:val="16"/>
              </w:rPr>
              <w:t>2</w:t>
            </w:r>
          </w:p>
        </w:tc>
        <w:tc>
          <w:tcPr>
            <w:tcW w:type="dxa" w:w="3078"/>
            <w:vAlign w:val="center"/>
            <w:tcW w:w="3077" w:type="dxa"/>
            <w:tcMar>
              <w:top w:w="60" w:type="dxa"/>
              <w:bottom w:w="60" w:type="dxa"/>
              <w:left w:w="80" w:type="dxa"/>
              <w:right w:w="80" w:type="dxa"/>
            </w:tcMar>
          </w:tcPr>
          <w:p>
            <w:pPr>
              <w:spacing w:before="0" w:after="0" w:line="252" w:lineRule="auto"/>
              <w:jc w:val="left"/>
            </w:pPr>
            <w:r>
              <w:rPr>
                <w:rFonts w:ascii="Times New Roman" w:hAnsi="Times New Roman"/>
                <w:sz w:val="16"/>
              </w:rPr>
              <w:t>Strong performance; slightly over-pruned leaves</w:t>
            </w:r>
          </w:p>
        </w:tc>
      </w:tr>
      <w:tr>
        <w:trPr>
          <w:cantSplit/>
        </w:trPr>
        <w:tc>
          <w:tcPr>
            <w:tcW w:type="dxa" w:w="1042"/>
            <w:vAlign w:val="center"/>
            <w:tcW w:w="1041"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Random Forest</w:t>
            </w:r>
          </w:p>
        </w:tc>
        <w:tc>
          <w:tcPr>
            <w:tcW w:type="dxa" w:w="1339"/>
            <w:vAlign w:val="center"/>
            <w:tcW w:w="1338" w:type="dxa"/>
            <w:tcMar>
              <w:top w:w="60" w:type="dxa"/>
              <w:bottom w:w="60" w:type="dxa"/>
              <w:left w:w="80" w:type="dxa"/>
              <w:right w:w="80" w:type="dxa"/>
            </w:tcMar>
            <w:shd w:val="clear" w:color="auto" w:fill="F8FAFC"/>
          </w:tcPr>
          <w:p>
            <w:pPr>
              <w:spacing w:before="0" w:after="0" w:line="252" w:lineRule="auto"/>
              <w:jc w:val="left"/>
            </w:pPr>
            <w:r>
              <w:rPr>
                <w:rFonts w:ascii="Cambria Math" w:hAnsi="Cambria Math"/>
                <w:sz w:val="16"/>
              </w:rPr>
              <w:t>d=14, L=20</w:t>
            </w:r>
          </w:p>
        </w:tc>
        <w:tc>
          <w:tcPr>
            <w:tcW w:type="dxa" w:w="785"/>
            <w:vAlign w:val="center"/>
            <w:tcW w:w="785"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0.30642</w:t>
            </w:r>
          </w:p>
        </w:tc>
        <w:tc>
          <w:tcPr>
            <w:tcW w:type="dxa" w:w="875"/>
            <w:vAlign w:val="center"/>
            <w:tcW w:w="875"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0.0013</w:t>
            </w:r>
          </w:p>
        </w:tc>
        <w:tc>
          <w:tcPr>
            <w:tcW w:type="dxa" w:w="875"/>
            <w:vAlign w:val="center"/>
            <w:tcW w:w="875"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0.3421</w:t>
            </w:r>
          </w:p>
        </w:tc>
        <w:tc>
          <w:tcPr>
            <w:tcW w:type="dxa" w:w="1042"/>
            <w:vAlign w:val="center"/>
            <w:tcW w:w="1041"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+0.0357</w:t>
            </w:r>
          </w:p>
        </w:tc>
        <w:tc>
          <w:tcPr>
            <w:tcW w:type="dxa" w:w="1002"/>
            <w:vAlign w:val="center"/>
            <w:tcW w:w="1001"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1 (Selected)</w:t>
            </w:r>
          </w:p>
        </w:tc>
        <w:tc>
          <w:tcPr>
            <w:tcW w:type="dxa" w:w="3078"/>
            <w:vAlign w:val="center"/>
            <w:tcW w:w="3077"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b/>
                <w:sz w:val="16"/>
              </w:rPr>
              <w:t>Global Classification Champion</w:t>
            </w:r>
            <w:r>
              <w:rPr>
                <w:rFonts w:ascii="Times New Roman" w:hAnsi="Times New Roman"/>
                <w:sz w:val="16"/>
              </w:rPr>
              <w:t>: Highest AP (</w:t>
            </w:r>
            <w:r>
              <w:rPr>
                <w:rFonts w:ascii="Cambria Math" w:hAnsi="Cambria Math"/>
                <w:sz w:val="16"/>
              </w:rPr>
              <w:t>0.3064</w:t>
            </w:r>
            <w:r>
              <w:rPr>
                <w:rFonts w:ascii="Times New Roman" w:hAnsi="Times New Roman"/>
                <w:sz w:val="16"/>
              </w:rPr>
              <w:t>), lowest Brier score (</w:t>
            </w:r>
            <w:r>
              <w:rPr>
                <w:rFonts w:ascii="Cambria Math" w:hAnsi="Cambria Math"/>
                <w:sz w:val="16"/>
              </w:rPr>
              <w:t>0.1174</w:t>
            </w:r>
            <w:r>
              <w:rPr>
                <w:rFonts w:ascii="Times New Roman" w:hAnsi="Times New Roman"/>
                <w:sz w:val="16"/>
              </w:rPr>
              <w:t>)</w:t>
            </w:r>
          </w:p>
        </w:tc>
      </w:tr>
    </w:tbl>
    <w:p>
      <w:pPr>
        <w:spacing w:before="40" w:after="40" w:line="40" w:lineRule="exact"/>
      </w:pPr>
    </w:p>
    <w:p>
      <w:pPr>
        <w:pStyle w:val="Heading4"/>
      </w:pPr>
      <w:r>
        <w:rPr>
          <w:rFonts w:ascii="Times New Roman" w:hAnsi="Times New Roman"/>
          <w:b/>
          <w:sz w:val="21"/>
        </w:rPr>
        <w:t>Part C: Human Decision-Making Criteria &amp; Protocol Summary</w:t>
      </w:r>
    </w:p>
    <w:p>
      <w:pPr>
        <w:spacing w:before="0" w:after="50" w:line="276" w:lineRule="auto"/>
        <w:ind w:left="403" w:hanging="259"/>
      </w:pPr>
      <w:r>
        <w:rPr>
          <w:rFonts w:ascii="Times New Roman" w:hAnsi="Times New Roman"/>
          <w:b/>
          <w:color w:val="1F4E79"/>
          <w:sz w:val="21"/>
        </w:rPr>
        <w:t xml:space="preserve">1. </w:t>
      </w:r>
      <w:r>
        <w:rPr>
          <w:rFonts w:ascii="Times New Roman" w:hAnsi="Times New Roman"/>
          <w:b/>
          <w:sz w:val="21"/>
        </w:rPr>
        <w:t>Regression Selection Rule</w:t>
      </w:r>
      <w:r>
        <w:rPr>
          <w:rFonts w:ascii="Times New Roman" w:hAnsi="Times New Roman"/>
          <w:sz w:val="21"/>
        </w:rPr>
        <w:t xml:space="preserve">: Linear Ridge </w:t>
      </w:r>
      <w:r>
        <w:rPr>
          <w:rFonts w:ascii="Cambria Math" w:hAnsi="Cambria Math"/>
          <w:sz w:val="21"/>
        </w:rPr>
        <w:t>α=1.0</w:t>
      </w:r>
      <w:r>
        <w:rPr>
          <w:rFonts w:ascii="Times New Roman" w:hAnsi="Times New Roman"/>
          <w:sz w:val="21"/>
        </w:rPr>
        <w:t xml:space="preserve"> was selected as the linear champion for achieving the global minimum CV MAE (</w:t>
      </w:r>
      <w:r>
        <w:rPr>
          <w:rFonts w:ascii="Cambria Math" w:hAnsi="Cambria Math"/>
          <w:sz w:val="21"/>
        </w:rPr>
        <w:t>4.7941</w:t>
      </w:r>
      <w:r>
        <w:rPr>
          <w:rFonts w:ascii="Times New Roman" w:hAnsi="Times New Roman"/>
          <w:sz w:val="21"/>
        </w:rPr>
        <w:t xml:space="preserve">d) with zero collinearity inflation. For tree architectures, </w:t>
      </w:r>
      <w:r>
        <w:rPr>
          <w:rFonts w:ascii="Cambria Math" w:hAnsi="Cambria Math"/>
          <w:sz w:val="21"/>
        </w:rPr>
        <w:t>d=10, L=100</w:t>
      </w:r>
      <w:r>
        <w:rPr>
          <w:rFonts w:ascii="Times New Roman" w:hAnsi="Times New Roman"/>
          <w:sz w:val="21"/>
        </w:rPr>
        <w:t xml:space="preserve"> was selected because smaller leaves (</w:t>
      </w:r>
      <w:r>
        <w:rPr>
          <w:rFonts w:ascii="Cambria Math" w:hAnsi="Cambria Math"/>
          <w:sz w:val="21"/>
        </w:rPr>
        <w:t>L=20</w:t>
      </w:r>
      <w:r>
        <w:rPr>
          <w:rFonts w:ascii="Times New Roman" w:hAnsi="Times New Roman"/>
          <w:sz w:val="21"/>
        </w:rPr>
        <w:t>) expanded the generalization gap without improving validation score. Tuned Random Forest (</w:t>
      </w:r>
      <w:r>
        <w:rPr>
          <w:rFonts w:ascii="Cambria Math" w:hAnsi="Cambria Math"/>
          <w:sz w:val="21"/>
        </w:rPr>
        <w:t>d=14, L=20</w:t>
      </w:r>
      <w:r>
        <w:rPr>
          <w:rFonts w:ascii="Times New Roman" w:hAnsi="Times New Roman"/>
          <w:sz w:val="21"/>
        </w:rPr>
        <w:t xml:space="preserve">) was selected as the overall champion because it delivered a statistically significant reduction of </w:t>
      </w:r>
      <w:r>
        <w:rPr>
          <w:rFonts w:ascii="Cambria Math" w:hAnsi="Cambria Math"/>
          <w:sz w:val="21"/>
        </w:rPr>
        <w:t>-0.1385</w:t>
      </w:r>
      <w:r>
        <w:rPr>
          <w:rFonts w:ascii="Times New Roman" w:hAnsi="Times New Roman"/>
          <w:sz w:val="21"/>
        </w:rPr>
        <w:t xml:space="preserve"> days MAE over Decision Tree and </w:t>
      </w:r>
      <w:r>
        <w:rPr>
          <w:rFonts w:ascii="Cambria Math" w:hAnsi="Cambria Math"/>
          <w:sz w:val="21"/>
        </w:rPr>
        <w:t>-0.0761</w:t>
      </w:r>
      <w:r>
        <w:rPr>
          <w:rFonts w:ascii="Times New Roman" w:hAnsi="Times New Roman"/>
          <w:sz w:val="21"/>
        </w:rPr>
        <w:t xml:space="preserve"> days over Ridge, surpassing the pre-declared </w:t>
      </w:r>
      <w:r>
        <w:rPr>
          <w:rFonts w:ascii="Cambria Math" w:hAnsi="Cambria Math"/>
          <w:sz w:val="21"/>
        </w:rPr>
        <w:t>Δ MAE ≥ 0.05</w:t>
      </w:r>
      <w:r>
        <w:rPr>
          <w:rFonts w:ascii="Times New Roman" w:hAnsi="Times New Roman"/>
          <w:sz w:val="21"/>
        </w:rPr>
        <w:t>d adoption gate.</w:t>
      </w:r>
    </w:p>
    <w:p>
      <w:pPr>
        <w:spacing w:before="0" w:after="50" w:line="276" w:lineRule="auto"/>
        <w:ind w:left="403" w:hanging="259"/>
      </w:pPr>
      <w:r>
        <w:rPr>
          <w:rFonts w:ascii="Times New Roman" w:hAnsi="Times New Roman"/>
          <w:b/>
          <w:color w:val="1F4E79"/>
          <w:sz w:val="21"/>
        </w:rPr>
        <w:t xml:space="preserve">2. </w:t>
      </w:r>
      <w:r>
        <w:rPr>
          <w:rFonts w:ascii="Times New Roman" w:hAnsi="Times New Roman"/>
          <w:b/>
          <w:sz w:val="21"/>
        </w:rPr>
        <w:t>Classification Selection Rule</w:t>
      </w:r>
      <w:r>
        <w:rPr>
          <w:rFonts w:ascii="Times New Roman" w:hAnsi="Times New Roman"/>
          <w:sz w:val="21"/>
        </w:rPr>
        <w:t xml:space="preserve">: Logistic Regression </w:t>
      </w:r>
      <w:r>
        <w:rPr>
          <w:rFonts w:ascii="Cambria Math" w:hAnsi="Cambria Math"/>
          <w:sz w:val="21"/>
        </w:rPr>
        <w:t>C=0.01</w:t>
      </w:r>
      <w:r>
        <w:rPr>
          <w:rFonts w:ascii="Times New Roman" w:hAnsi="Times New Roman"/>
          <w:sz w:val="21"/>
        </w:rPr>
        <w:t xml:space="preserve"> was selected as the linear benchmark for superior probability calibration and L2 noise suppression. Decision Tree </w:t>
      </w:r>
      <w:r>
        <w:rPr>
          <w:rFonts w:ascii="Cambria Math" w:hAnsi="Cambria Math"/>
          <w:sz w:val="21"/>
        </w:rPr>
        <w:t>d=10, L=200</w:t>
      </w:r>
      <w:r>
        <w:rPr>
          <w:rFonts w:ascii="Times New Roman" w:hAnsi="Times New Roman"/>
          <w:sz w:val="21"/>
        </w:rPr>
        <w:t xml:space="preserve"> was chosen because requiring </w:t>
      </w:r>
      <w:r>
        <w:rPr>
          <w:rFonts w:ascii="Cambria Math" w:hAnsi="Cambria Math"/>
          <w:sz w:val="21"/>
        </w:rPr>
        <w:t>≥ 200</w:t>
      </w:r>
      <w:r>
        <w:rPr>
          <w:rFonts w:ascii="Times New Roman" w:hAnsi="Times New Roman"/>
          <w:sz w:val="21"/>
        </w:rPr>
        <w:t xml:space="preserve"> samples per leaf was essential to curb severe overfitting on minority detractors (preventing train-val gap explosion). Tuned Random Forest (</w:t>
      </w:r>
      <w:r>
        <w:rPr>
          <w:rFonts w:ascii="Cambria Math" w:hAnsi="Cambria Math"/>
          <w:sz w:val="21"/>
        </w:rPr>
        <w:t>d=14, L=20</w:t>
      </w:r>
      <w:r>
        <w:rPr>
          <w:rFonts w:ascii="Times New Roman" w:hAnsi="Times New Roman"/>
          <w:sz w:val="21"/>
        </w:rPr>
        <w:t>) was chosen as champion for achieving the highest ranking precision (</w:t>
      </w:r>
      <w:r>
        <w:rPr>
          <w:rFonts w:ascii="Cambria Math" w:hAnsi="Cambria Math"/>
          <w:sz w:val="21"/>
        </w:rPr>
        <w:t>AP = 0.2452</w:t>
      </w:r>
      <w:r>
        <w:rPr>
          <w:rFonts w:ascii="Times New Roman" w:hAnsi="Times New Roman"/>
          <w:sz w:val="21"/>
        </w:rPr>
        <w:t xml:space="preserve"> CV, </w:t>
      </w:r>
      <w:r>
        <w:rPr>
          <w:rFonts w:ascii="Cambria Math" w:hAnsi="Cambria Math"/>
          <w:sz w:val="21"/>
        </w:rPr>
        <w:t>0.1823</w:t>
      </w:r>
      <w:r>
        <w:rPr>
          <w:rFonts w:ascii="Times New Roman" w:hAnsi="Times New Roman"/>
          <w:sz w:val="21"/>
        </w:rPr>
        <w:t xml:space="preserve"> holdout) and empirical Brier score (</w:t>
      </w:r>
      <w:r>
        <w:rPr>
          <w:rFonts w:ascii="Cambria Math" w:hAnsi="Cambria Math"/>
          <w:sz w:val="21"/>
        </w:rPr>
        <w:t>0.0949</w:t>
      </w:r>
      <w:r>
        <w:rPr>
          <w:rFonts w:ascii="Times New Roman" w:hAnsi="Times New Roman"/>
          <w:sz w:val="21"/>
        </w:rPr>
        <w:t>), enabling the 456-detractor alert surge under asymmetric cost optimization (</w:t>
      </w:r>
      <w:r>
        <w:rPr>
          <w:rFonts w:ascii="Cambria Math" w:hAnsi="Cambria Math"/>
          <w:sz w:val="21"/>
        </w:rPr>
        <w:t>τ*=0.17</w:t>
      </w:r>
      <w:r>
        <w:rPr>
          <w:rFonts w:ascii="Times New Roman" w:hAnsi="Times New Roman"/>
          <w:sz w:val="21"/>
        </w:rPr>
        <w:t>).</w:t>
      </w:r>
    </w:p>
    <w:p>
      <w:pPr>
        <w:pStyle w:val="Heading1"/>
        <w:pageBreakBefore/>
      </w:pPr>
      <w:r>
        <w:rPr>
          <w:rFonts w:ascii="Times New Roman" w:hAnsi="Times New Roman"/>
          <w:b/>
          <w:sz w:val="28"/>
        </w:rPr>
        <w:t>Appendix D: Permutation Feature Importance &amp; Model Interpretation</w:t>
      </w:r>
    </w:p>
    <w:p>
      <w:pPr>
        <w:pStyle w:val="Heading2"/>
      </w:pPr>
      <w:r>
        <w:rPr>
          <w:rFonts w:ascii="Times New Roman" w:hAnsi="Times New Roman"/>
          <w:b/>
          <w:sz w:val="25"/>
        </w:rPr>
        <w:t>Figure D.1: Regression 11-Feature Permutation Importance Ranking</w:t>
      </w:r>
    </w:p>
    <w:p>
      <w:pPr>
        <w:keepNext/>
        <w:spacing w:before="160" w:after="60"/>
        <w:jc w:val="center"/>
      </w:pPr>
      <w:r>
        <w:drawing>
          <wp:inline xmlns:a="http://schemas.openxmlformats.org/drawingml/2006/main" xmlns:pic="http://schemas.openxmlformats.org/drawingml/2006/picture">
            <wp:extent cx="6217920" cy="3730752"/>
            <wp:docPr id="5" name="Picture 5" descr="Regression 11 Feature Importance"/>
            <wp:cNvGraphicFramePr>
              <a:graphicFrameLocks noChangeAspect="1"/>
            </wp:cNvGraphicFramePr>
            <a:graphic>
              <a:graphicData uri="http://schemas.openxmlformats.org/drawingml/2006/picture">
                <pic:pic>
                  <pic:nvPicPr>
                    <pic:cNvPr id="0" name="regression_11_feature_importance.png"/>
                    <pic:cNvPicPr/>
                  </pic:nvPicPr>
                  <pic:blipFill>
                    <a:blip r:embed="rId17"/>
                    <a:stretch>
                      <a:fillRect/>
                    </a:stretch>
                  </pic:blipFill>
                  <pic:spPr>
                    <a:xfrm>
                      <a:off x="0" y="0"/>
                      <a:ext cx="6217920" cy="3730752"/>
                    </a:xfrm>
                    <a:prstGeom prst="rect"/>
                  </pic:spPr>
                </pic:pic>
              </a:graphicData>
            </a:graphic>
          </wp:inline>
        </w:drawing>
      </w:r>
    </w:p>
    <w:p>
      <w:pPr>
        <w:pStyle w:val="Caption"/>
        <w:keepLines/>
        <w:spacing w:before="40" w:after="160"/>
        <w:jc w:val="left"/>
      </w:pPr>
      <w:r>
        <w:rPr>
          <w:rFonts w:ascii="Times New Roman" w:hAnsi="Times New Roman"/>
          <w:b/>
          <w:sz w:val="19"/>
        </w:rPr>
        <w:t xml:space="preserve">Figure D.1: </w:t>
      </w:r>
      <w:r>
        <w:rPr>
          <w:rFonts w:ascii="Times New Roman" w:hAnsi="Times New Roman"/>
          <w:i/>
          <w:sz w:val="19"/>
        </w:rPr>
        <w:t xml:space="preserve">Permutation feature importance for fulfillment lead time regression (mean MAE drop in days </w:t>
      </w:r>
      <w:r>
        <w:rPr>
          <w:rFonts w:ascii="Cambria Math" w:hAnsi="Cambria Math"/>
          <w:i/>
          <w:sz w:val="19"/>
        </w:rPr>
        <w:t>±</w:t>
      </w:r>
      <w:r>
        <w:rPr>
          <w:rFonts w:ascii="Times New Roman" w:hAnsi="Times New Roman"/>
          <w:i/>
          <w:sz w:val="19"/>
        </w:rPr>
        <w:t xml:space="preserve"> SD across 5 folds). Shuffling geodesic distance (</w:t>
      </w:r>
      <w:r>
        <w:rPr>
          <w:rFonts w:ascii="Consolas" w:hAnsi="Consolas"/>
          <w:i/>
          <w:color w:val="8A1E38"/>
          <w:sz w:val="18"/>
        </w:rPr>
        <w:t>distance_km_max</w:t>
      </w:r>
      <w:r>
        <w:rPr>
          <w:rFonts w:ascii="Times New Roman" w:hAnsi="Times New Roman"/>
          <w:i/>
          <w:sz w:val="19"/>
        </w:rPr>
        <w:t>) causes the largest prediction collapse (</w:t>
      </w:r>
      <w:r>
        <w:rPr>
          <w:rFonts w:ascii="Cambria Math" w:hAnsi="Cambria Math"/>
          <w:i/>
          <w:sz w:val="19"/>
        </w:rPr>
        <w:t>+0.891</w:t>
      </w:r>
      <w:r>
        <w:rPr>
          <w:rFonts w:ascii="Times New Roman" w:hAnsi="Times New Roman"/>
          <w:i/>
          <w:sz w:val="19"/>
        </w:rPr>
        <w:t xml:space="preserve"> days MAE degradation), followed by </w:t>
      </w:r>
      <w:r>
        <w:rPr>
          <w:rFonts w:ascii="Consolas" w:hAnsi="Consolas"/>
          <w:i/>
          <w:color w:val="8A1E38"/>
          <w:sz w:val="18"/>
        </w:rPr>
        <w:t>customer_state</w:t>
      </w:r>
      <w:r>
        <w:rPr>
          <w:rFonts w:ascii="Times New Roman" w:hAnsi="Times New Roman"/>
          <w:i/>
          <w:sz w:val="19"/>
        </w:rPr>
        <w:t xml:space="preserve"> (</w:t>
      </w:r>
      <w:r>
        <w:rPr>
          <w:rFonts w:ascii="Cambria Math" w:hAnsi="Cambria Math"/>
          <w:i/>
          <w:sz w:val="19"/>
        </w:rPr>
        <w:t>+0.348</w:t>
      </w:r>
      <w:r>
        <w:rPr>
          <w:rFonts w:ascii="Times New Roman" w:hAnsi="Times New Roman"/>
          <w:i/>
          <w:sz w:val="19"/>
        </w:rPr>
        <w:t xml:space="preserve">d), </w:t>
      </w:r>
      <w:r>
        <w:rPr>
          <w:rFonts w:ascii="Consolas" w:hAnsi="Consolas"/>
          <w:i/>
          <w:color w:val="8A1E38"/>
          <w:sz w:val="18"/>
        </w:rPr>
        <w:t>purchase_month</w:t>
      </w:r>
      <w:r>
        <w:rPr>
          <w:rFonts w:ascii="Times New Roman" w:hAnsi="Times New Roman"/>
          <w:i/>
          <w:sz w:val="19"/>
        </w:rPr>
        <w:t xml:space="preserve"> (</w:t>
      </w:r>
      <w:r>
        <w:rPr>
          <w:rFonts w:ascii="Cambria Math" w:hAnsi="Cambria Math"/>
          <w:i/>
          <w:sz w:val="19"/>
        </w:rPr>
        <w:t>+0.276</w:t>
      </w:r>
      <w:r>
        <w:rPr>
          <w:rFonts w:ascii="Times New Roman" w:hAnsi="Times New Roman"/>
          <w:i/>
          <w:sz w:val="19"/>
        </w:rPr>
        <w:t xml:space="preserve">d), and </w:t>
      </w:r>
      <w:r>
        <w:rPr>
          <w:rFonts w:ascii="Consolas" w:hAnsi="Consolas"/>
          <w:i/>
          <w:color w:val="8A1E38"/>
          <w:sz w:val="18"/>
        </w:rPr>
        <w:t>total_freight</w:t>
      </w:r>
      <w:r>
        <w:rPr>
          <w:rFonts w:ascii="Times New Roman" w:hAnsi="Times New Roman"/>
          <w:i/>
          <w:sz w:val="19"/>
        </w:rPr>
        <w:t xml:space="preserve"> (</w:t>
      </w:r>
      <w:r>
        <w:rPr>
          <w:rFonts w:ascii="Cambria Math" w:hAnsi="Cambria Math"/>
          <w:i/>
          <w:sz w:val="19"/>
        </w:rPr>
        <w:t>+0.104</w:t>
      </w:r>
      <w:r>
        <w:rPr>
          <w:rFonts w:ascii="Times New Roman" w:hAnsi="Times New Roman"/>
          <w:i/>
          <w:sz w:val="19"/>
        </w:rPr>
        <w:t>d).</w:t>
      </w:r>
    </w:p>
    <w:p>
      <w:pPr>
        <w:pStyle w:val="Heading2"/>
      </w:pPr>
      <w:r>
        <w:rPr>
          <w:rFonts w:ascii="Times New Roman" w:hAnsi="Times New Roman"/>
          <w:b/>
          <w:sz w:val="25"/>
        </w:rPr>
        <w:t>Figure D.2: Classification 12-Feature Permutation Importance Ranking</w:t>
      </w:r>
    </w:p>
    <w:p>
      <w:pPr>
        <w:keepNext/>
        <w:spacing w:before="160" w:after="60"/>
        <w:jc w:val="center"/>
      </w:pPr>
      <w:r>
        <w:drawing>
          <wp:inline xmlns:a="http://schemas.openxmlformats.org/drawingml/2006/main" xmlns:pic="http://schemas.openxmlformats.org/drawingml/2006/picture">
            <wp:extent cx="6217920" cy="3730752"/>
            <wp:docPr id="6" name="Picture 6" descr="Classification 12 Feature Importance"/>
            <wp:cNvGraphicFramePr>
              <a:graphicFrameLocks noChangeAspect="1"/>
            </wp:cNvGraphicFramePr>
            <a:graphic>
              <a:graphicData uri="http://schemas.openxmlformats.org/drawingml/2006/picture">
                <pic:pic>
                  <pic:nvPicPr>
                    <pic:cNvPr id="0" name="classification_12_feature_importance.png"/>
                    <pic:cNvPicPr/>
                  </pic:nvPicPr>
                  <pic:blipFill>
                    <a:blip r:embed="rId18"/>
                    <a:stretch>
                      <a:fillRect/>
                    </a:stretch>
                  </pic:blipFill>
                  <pic:spPr>
                    <a:xfrm>
                      <a:off x="0" y="0"/>
                      <a:ext cx="6217920" cy="3730752"/>
                    </a:xfrm>
                    <a:prstGeom prst="rect"/>
                  </pic:spPr>
                </pic:pic>
              </a:graphicData>
            </a:graphic>
          </wp:inline>
        </w:drawing>
      </w:r>
    </w:p>
    <w:p>
      <w:pPr>
        <w:pStyle w:val="Caption"/>
        <w:keepLines/>
        <w:spacing w:before="40" w:after="160"/>
        <w:jc w:val="left"/>
      </w:pPr>
      <w:r>
        <w:rPr>
          <w:rFonts w:ascii="Times New Roman" w:hAnsi="Times New Roman"/>
          <w:b/>
          <w:sz w:val="19"/>
        </w:rPr>
        <w:t xml:space="preserve">Figure D.2: </w:t>
      </w:r>
      <w:r>
        <w:rPr>
          <w:rFonts w:ascii="Times New Roman" w:hAnsi="Times New Roman"/>
          <w:i/>
          <w:sz w:val="19"/>
        </w:rPr>
        <w:t xml:space="preserve">Permutation feature importance for review detractor classification (mean Average Precision drop </w:t>
      </w:r>
      <w:r>
        <w:rPr>
          <w:rFonts w:ascii="Cambria Math" w:hAnsi="Cambria Math"/>
          <w:i/>
          <w:sz w:val="19"/>
        </w:rPr>
        <w:t>±</w:t>
      </w:r>
      <w:r>
        <w:rPr>
          <w:rFonts w:ascii="Times New Roman" w:hAnsi="Times New Roman"/>
          <w:i/>
          <w:sz w:val="19"/>
        </w:rPr>
        <w:t xml:space="preserve"> SD across 5 folds). Permuting macro seasonality (</w:t>
      </w:r>
      <w:r>
        <w:rPr>
          <w:rFonts w:ascii="Consolas" w:hAnsi="Consolas"/>
          <w:i/>
          <w:color w:val="8A1E38"/>
          <w:sz w:val="18"/>
        </w:rPr>
        <w:t>purchase_month</w:t>
      </w:r>
      <w:r>
        <w:rPr>
          <w:rFonts w:ascii="Times New Roman" w:hAnsi="Times New Roman"/>
          <w:i/>
          <w:sz w:val="19"/>
        </w:rPr>
        <w:t>) causes the largest ranking drop (</w:t>
      </w:r>
      <w:r>
        <w:rPr>
          <w:rFonts w:ascii="Cambria Math" w:hAnsi="Cambria Math"/>
          <w:i/>
          <w:sz w:val="19"/>
        </w:rPr>
        <w:t>-0.0332</w:t>
      </w:r>
      <w:r>
        <w:rPr>
          <w:rFonts w:ascii="Times New Roman" w:hAnsi="Times New Roman"/>
          <w:i/>
          <w:sz w:val="19"/>
        </w:rPr>
        <w:t>), followed by merchant split friction (</w:t>
      </w:r>
      <w:r>
        <w:rPr>
          <w:rFonts w:ascii="Consolas" w:hAnsi="Consolas"/>
          <w:i/>
          <w:color w:val="8A1E38"/>
          <w:sz w:val="18"/>
        </w:rPr>
        <w:t>n_sellers</w:t>
      </w:r>
      <w:r>
        <w:rPr>
          <w:rFonts w:ascii="Times New Roman" w:hAnsi="Times New Roman"/>
          <w:i/>
          <w:sz w:val="19"/>
        </w:rPr>
        <w:t xml:space="preserve">, </w:t>
      </w:r>
      <w:r>
        <w:rPr>
          <w:rFonts w:ascii="Cambria Math" w:hAnsi="Cambria Math"/>
          <w:i/>
          <w:sz w:val="19"/>
        </w:rPr>
        <w:t>-0.0248</w:t>
      </w:r>
      <w:r>
        <w:rPr>
          <w:rFonts w:ascii="Times New Roman" w:hAnsi="Times New Roman"/>
          <w:i/>
          <w:sz w:val="19"/>
        </w:rPr>
        <w:t>), cart item count (</w:t>
      </w:r>
      <w:r>
        <w:rPr>
          <w:rFonts w:ascii="Consolas" w:hAnsi="Consolas"/>
          <w:i/>
          <w:color w:val="8A1E38"/>
          <w:sz w:val="18"/>
        </w:rPr>
        <w:t>n_items</w:t>
      </w:r>
      <w:r>
        <w:rPr>
          <w:rFonts w:ascii="Times New Roman" w:hAnsi="Times New Roman"/>
          <w:i/>
          <w:sz w:val="19"/>
        </w:rPr>
        <w:t xml:space="preserve">, </w:t>
      </w:r>
      <w:r>
        <w:rPr>
          <w:rFonts w:ascii="Cambria Math" w:hAnsi="Cambria Math"/>
          <w:i/>
          <w:sz w:val="19"/>
        </w:rPr>
        <w:t>-0.0220</w:t>
      </w:r>
      <w:r>
        <w:rPr>
          <w:rFonts w:ascii="Times New Roman" w:hAnsi="Times New Roman"/>
          <w:i/>
          <w:sz w:val="19"/>
        </w:rPr>
        <w:t>), destination state (</w:t>
      </w:r>
      <w:r>
        <w:rPr>
          <w:rFonts w:ascii="Consolas" w:hAnsi="Consolas"/>
          <w:i/>
          <w:color w:val="8A1E38"/>
          <w:sz w:val="18"/>
        </w:rPr>
        <w:t>customer_state</w:t>
      </w:r>
      <w:r>
        <w:rPr>
          <w:rFonts w:ascii="Times New Roman" w:hAnsi="Times New Roman"/>
          <w:i/>
          <w:sz w:val="19"/>
        </w:rPr>
        <w:t xml:space="preserve">, </w:t>
      </w:r>
      <w:r>
        <w:rPr>
          <w:rFonts w:ascii="Cambria Math" w:hAnsi="Cambria Math"/>
          <w:i/>
          <w:sz w:val="19"/>
        </w:rPr>
        <w:t>-0.0200</w:t>
      </w:r>
      <w:r>
        <w:rPr>
          <w:rFonts w:ascii="Times New Roman" w:hAnsi="Times New Roman"/>
          <w:i/>
          <w:sz w:val="19"/>
        </w:rPr>
        <w:t>), origin hub state (</w:t>
      </w:r>
      <w:r>
        <w:rPr>
          <w:rFonts w:ascii="Consolas" w:hAnsi="Consolas"/>
          <w:i/>
          <w:color w:val="8A1E38"/>
          <w:sz w:val="18"/>
        </w:rPr>
        <w:t>primary_seller_state</w:t>
      </w:r>
      <w:r>
        <w:rPr>
          <w:rFonts w:ascii="Times New Roman" w:hAnsi="Times New Roman"/>
          <w:i/>
          <w:sz w:val="19"/>
        </w:rPr>
        <w:t xml:space="preserve">, </w:t>
      </w:r>
      <w:r>
        <w:rPr>
          <w:rFonts w:ascii="Cambria Math" w:hAnsi="Cambria Math"/>
          <w:i/>
          <w:sz w:val="19"/>
        </w:rPr>
        <w:t>-0.0070</w:t>
      </w:r>
      <w:r>
        <w:rPr>
          <w:rFonts w:ascii="Times New Roman" w:hAnsi="Times New Roman"/>
          <w:i/>
          <w:sz w:val="19"/>
        </w:rPr>
        <w:t>), and interstate tax border crossings (</w:t>
      </w:r>
      <w:r>
        <w:rPr>
          <w:rFonts w:ascii="Consolas" w:hAnsi="Consolas"/>
          <w:i/>
          <w:color w:val="8A1E38"/>
          <w:sz w:val="18"/>
        </w:rPr>
        <w:t>interstate_share</w:t>
      </w:r>
      <w:r>
        <w:rPr>
          <w:rFonts w:ascii="Times New Roman" w:hAnsi="Times New Roman"/>
          <w:i/>
          <w:sz w:val="19"/>
        </w:rPr>
        <w:t xml:space="preserve">, </w:t>
      </w:r>
      <w:r>
        <w:rPr>
          <w:rFonts w:ascii="Cambria Math" w:hAnsi="Cambria Math"/>
          <w:i/>
          <w:sz w:val="19"/>
        </w:rPr>
        <w:t>-0.0059</w:t>
      </w:r>
      <w:r>
        <w:rPr>
          <w:rFonts w:ascii="Times New Roman" w:hAnsi="Times New Roman"/>
          <w:i/>
          <w:sz w:val="19"/>
        </w:rPr>
        <w:t>). All 12 predictors demonstrate strictly positive importance without leakage artifacts.</w:t>
      </w:r>
    </w:p>
    <w:p>
      <w:pPr>
        <w:pStyle w:val="Heading1"/>
        <w:pageBreakBefore/>
      </w:pPr>
      <w:r>
        <w:rPr>
          <w:rFonts w:ascii="Times New Roman" w:hAnsi="Times New Roman"/>
          <w:b/>
          <w:sz w:val="28"/>
        </w:rPr>
        <w:t>Appendix E: Comprehensive Holdout Diagnostics, Benchmark Matrices &amp; Subgroup Analysis</w:t>
      </w:r>
    </w:p>
    <w:p>
      <w:pPr>
        <w:pStyle w:val="Heading2"/>
      </w:pPr>
      <w:r>
        <w:rPr>
          <w:rFonts w:ascii="Times New Roman" w:hAnsi="Times New Roman"/>
          <w:b/>
          <w:sz w:val="25"/>
        </w:rPr>
        <w:t>Table E.1: Complete Train-Validate-Test Generalization Matrix</w:t>
      </w:r>
    </w:p>
    <w:p>
      <w:pPr/>
      <w:r>
        <w:rPr>
          <w:rFonts w:ascii="Times New Roman" w:hAnsi="Times New Roman"/>
          <w:i/>
          <w:sz w:val="22"/>
        </w:rPr>
        <w:t>Source</w:t>
      </w:r>
      <w:r>
        <w:rPr>
          <w:rFonts w:ascii="Times New Roman" w:hAnsi="Times New Roman"/>
          <w:sz w:val="22"/>
        </w:rPr>
        <w:t xml:space="preserve">: </w:t>
      </w:r>
      <w:r>
        <w:rPr>
          <w:rFonts w:ascii="Consolas" w:hAnsi="Consolas"/>
          <w:color w:val="8A1E38"/>
          <w:sz w:val="21"/>
        </w:rPr>
        <w:t>artifacts/metrics/refinement-selected-v4/terminal/train_val_test_comparison.csv</w:t>
      </w:r>
    </w:p>
    <w:tbl>
      <w:tblPr>
        <w:tblW w:type="auto" w:w="0"/>
        <w:jc w:val="center"/>
        <w:tblLayout w:type="fixed"/>
        <w:tblLook w:firstColumn="1" w:firstRow="1" w:lastColumn="0" w:lastRow="0" w:noHBand="0" w:noVBand="1" w:val="04A0"/>
        <w:tblBorders>
          <w:top w:val="single" w:sz="8" w:space="0" w:color="1F4E79"/>
          <w:bottom w:val="single" w:sz="8" w:space="0" w:color="1F4E79"/>
          <w:left w:val="single" w:sz="4" w:space="0" w:color="D9D9D9"/>
          <w:right w:val="single" w:sz="4" w:space="0" w:color="D9D9D9"/>
          <w:insideH w:val="single" w:sz="4" w:space="0" w:color="E2E8F0"/>
          <w:insideV w:val="single" w:sz="4" w:space="0" w:color="E2E8F0"/>
        </w:tblBorders>
      </w:tblPr>
      <w:tblGrid>
        <w:gridCol w:w="1673"/>
        <w:gridCol w:w="1673"/>
        <w:gridCol w:w="1673"/>
        <w:gridCol w:w="1673"/>
        <w:gridCol w:w="1673"/>
        <w:gridCol w:w="1673"/>
      </w:tblGrid>
      <w:tr>
        <w:trPr>
          <w:cantSplit/>
          <w:tblHeader/>
        </w:trPr>
        <w:tc>
          <w:tcPr>
            <w:tcW w:type="dxa" w:w="1115"/>
            <w:vAlign w:val="center"/>
            <w:tcW w:w="1115"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7"/>
              </w:rPr>
              <w:t>Task</w:t>
            </w:r>
          </w:p>
        </w:tc>
        <w:tc>
          <w:tcPr>
            <w:tcW w:type="dxa" w:w="1554"/>
            <w:vAlign w:val="center"/>
            <w:tcW w:w="1554"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7"/>
              </w:rPr>
              <w:t>Evaluation Metric</w:t>
            </w:r>
          </w:p>
        </w:tc>
        <w:tc>
          <w:tcPr>
            <w:tcW w:type="dxa" w:w="1270"/>
            <w:vAlign w:val="center"/>
            <w:tcW w:w="1270" w:type="dxa"/>
            <w:tcMar>
              <w:top w:w="60" w:type="dxa"/>
              <w:bottom w:w="60" w:type="dxa"/>
              <w:left w:w="80" w:type="dxa"/>
              <w:right w:w="80" w:type="dxa"/>
            </w:tcMar>
            <w:shd w:val="clear" w:color="auto" w:fill="E8EEF5"/>
          </w:tcPr>
          <w:p>
            <w:pPr>
              <w:spacing w:before="0" w:after="0" w:line="252" w:lineRule="auto"/>
              <w:jc w:val="center"/>
            </w:pPr>
            <w:r>
              <w:rPr>
                <w:rFonts w:ascii="Times New Roman" w:hAnsi="Times New Roman"/>
                <w:b/>
                <w:sz w:val="17"/>
              </w:rPr>
              <w:t xml:space="preserve">5-Fold Train Mean </w:t>
            </w:r>
            <w:r>
              <w:rPr>
                <w:rFonts w:ascii="Cambria Math" w:hAnsi="Cambria Math"/>
                <w:b/>
                <w:sz w:val="17"/>
              </w:rPr>
              <w:t>±</w:t>
            </w:r>
            <w:r>
              <w:rPr>
                <w:rFonts w:ascii="Times New Roman" w:hAnsi="Times New Roman"/>
                <w:b/>
                <w:sz w:val="17"/>
              </w:rPr>
              <w:t xml:space="preserve"> SD</w:t>
            </w:r>
          </w:p>
        </w:tc>
        <w:tc>
          <w:tcPr>
            <w:tcW w:type="dxa" w:w="1194"/>
            <w:vAlign w:val="center"/>
            <w:tcW w:w="1194" w:type="dxa"/>
            <w:tcMar>
              <w:top w:w="60" w:type="dxa"/>
              <w:bottom w:w="60" w:type="dxa"/>
              <w:left w:w="80" w:type="dxa"/>
              <w:right w:w="80" w:type="dxa"/>
            </w:tcMar>
            <w:shd w:val="clear" w:color="auto" w:fill="E8EEF5"/>
          </w:tcPr>
          <w:p>
            <w:pPr>
              <w:spacing w:before="0" w:after="0" w:line="252" w:lineRule="auto"/>
              <w:jc w:val="center"/>
            </w:pPr>
            <w:r>
              <w:rPr>
                <w:rFonts w:ascii="Times New Roman" w:hAnsi="Times New Roman"/>
                <w:b/>
                <w:sz w:val="17"/>
              </w:rPr>
              <w:t xml:space="preserve">5-Fold Val Mean </w:t>
            </w:r>
            <w:r>
              <w:rPr>
                <w:rFonts w:ascii="Cambria Math" w:hAnsi="Cambria Math"/>
                <w:b/>
                <w:sz w:val="17"/>
              </w:rPr>
              <w:t>±</w:t>
            </w:r>
            <w:r>
              <w:rPr>
                <w:rFonts w:ascii="Times New Roman" w:hAnsi="Times New Roman"/>
                <w:b/>
                <w:sz w:val="17"/>
              </w:rPr>
              <w:t xml:space="preserve"> SD</w:t>
            </w:r>
          </w:p>
        </w:tc>
        <w:tc>
          <w:tcPr>
            <w:tcW w:type="dxa" w:w="1416"/>
            <w:vAlign w:val="center"/>
            <w:tcW w:w="1416"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7"/>
              </w:rPr>
              <w:t>Terminal Holdout (</w:t>
            </w:r>
            <w:r>
              <w:rPr>
                <w:rFonts w:ascii="Cambria Math" w:hAnsi="Cambria Math"/>
                <w:b/>
                <w:sz w:val="17"/>
              </w:rPr>
              <w:t>N &gt; 15k</w:t>
            </w:r>
            <w:r>
              <w:rPr>
                <w:rFonts w:ascii="Times New Roman" w:hAnsi="Times New Roman"/>
                <w:b/>
                <w:sz w:val="17"/>
              </w:rPr>
              <w:t>)</w:t>
            </w:r>
          </w:p>
        </w:tc>
        <w:tc>
          <w:tcPr>
            <w:tcW w:type="dxa" w:w="3487"/>
            <w:vAlign w:val="center"/>
            <w:tcW w:w="3486"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7"/>
              </w:rPr>
              <w:t>Generalization &amp; Overfitting Assessment</w:t>
            </w:r>
          </w:p>
        </w:tc>
      </w:tr>
      <w:tr>
        <w:trPr>
          <w:cantSplit/>
        </w:trPr>
        <w:tc>
          <w:tcPr>
            <w:tcW w:type="dxa" w:w="1115"/>
            <w:vAlign w:val="center"/>
            <w:tcW w:w="1115"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7"/>
              </w:rPr>
              <w:t>Regression</w:t>
            </w:r>
          </w:p>
        </w:tc>
        <w:tc>
          <w:tcPr>
            <w:tcW w:type="dxa" w:w="1554"/>
            <w:vAlign w:val="center"/>
            <w:tcW w:w="1554"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b/>
                <w:sz w:val="17"/>
              </w:rPr>
              <w:t>MAE (days)</w:t>
            </w:r>
          </w:p>
        </w:tc>
        <w:tc>
          <w:tcPr>
            <w:tcW w:type="dxa" w:w="1270"/>
            <w:vAlign w:val="center"/>
            <w:tcW w:w="1270"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7"/>
              </w:rPr>
              <w:t>3.9879 ± 0.1863</w:t>
            </w:r>
          </w:p>
        </w:tc>
        <w:tc>
          <w:tcPr>
            <w:tcW w:type="dxa" w:w="1194"/>
            <w:vAlign w:val="center"/>
            <w:tcW w:w="1194"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7"/>
              </w:rPr>
              <w:t>5.2436 ± 1.1500</w:t>
            </w:r>
          </w:p>
        </w:tc>
        <w:tc>
          <w:tcPr>
            <w:tcW w:type="dxa" w:w="1416"/>
            <w:vAlign w:val="center"/>
            <w:tcW w:w="1416"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b/>
                <w:sz w:val="17"/>
              </w:rPr>
              <w:t>3.7185</w:t>
            </w:r>
          </w:p>
        </w:tc>
        <w:tc>
          <w:tcPr>
            <w:tcW w:type="dxa" w:w="3487"/>
            <w:vAlign w:val="center"/>
            <w:tcW w:w="3486"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b/>
                <w:sz w:val="17"/>
              </w:rPr>
              <w:t>Excellent generalization</w:t>
            </w:r>
            <w:r>
              <w:rPr>
                <w:rFonts w:ascii="Times New Roman" w:hAnsi="Times New Roman"/>
                <w:sz w:val="17"/>
              </w:rPr>
              <w:t>; holdout error is lower than CV mean due to seasonal stability in mid-2018.</w:t>
            </w:r>
          </w:p>
        </w:tc>
      </w:tr>
      <w:tr>
        <w:trPr>
          <w:cantSplit/>
        </w:trPr>
        <w:tc>
          <w:tcPr>
            <w:tcW w:type="dxa" w:w="1115"/>
            <w:vAlign w:val="center"/>
            <w:tcW w:w="1115" w:type="dxa"/>
            <w:tcMar>
              <w:top w:w="60" w:type="dxa"/>
              <w:bottom w:w="60" w:type="dxa"/>
              <w:left w:w="80" w:type="dxa"/>
              <w:right w:w="80" w:type="dxa"/>
            </w:tcMar>
          </w:tcPr>
          <w:p>
            <w:pPr>
              <w:spacing w:before="0" w:after="0" w:line="252" w:lineRule="auto"/>
              <w:jc w:val="left"/>
            </w:pPr>
            <w:r>
              <w:rPr>
                <w:rFonts w:ascii="Times New Roman" w:hAnsi="Times New Roman"/>
                <w:b/>
                <w:sz w:val="17"/>
              </w:rPr>
              <w:t>Regression</w:t>
            </w:r>
          </w:p>
        </w:tc>
        <w:tc>
          <w:tcPr>
            <w:tcW w:type="dxa" w:w="1554"/>
            <w:vAlign w:val="center"/>
            <w:tcW w:w="1554" w:type="dxa"/>
            <w:tcMar>
              <w:top w:w="60" w:type="dxa"/>
              <w:bottom w:w="60" w:type="dxa"/>
              <w:left w:w="80" w:type="dxa"/>
              <w:right w:w="80" w:type="dxa"/>
            </w:tcMar>
          </w:tcPr>
          <w:p>
            <w:pPr>
              <w:spacing w:before="0" w:after="0" w:line="252" w:lineRule="auto"/>
              <w:jc w:val="center"/>
            </w:pPr>
            <w:r>
              <w:rPr>
                <w:rFonts w:ascii="Times New Roman" w:hAnsi="Times New Roman"/>
                <w:b/>
                <w:sz w:val="17"/>
              </w:rPr>
              <w:t>RMSE (days)</w:t>
            </w:r>
          </w:p>
        </w:tc>
        <w:tc>
          <w:tcPr>
            <w:tcW w:type="dxa" w:w="1270"/>
            <w:vAlign w:val="center"/>
            <w:tcW w:w="1270" w:type="dxa"/>
            <w:tcMar>
              <w:top w:w="60" w:type="dxa"/>
              <w:bottom w:w="60" w:type="dxa"/>
              <w:left w:w="80" w:type="dxa"/>
              <w:right w:w="80" w:type="dxa"/>
            </w:tcMar>
          </w:tcPr>
          <w:p>
            <w:pPr>
              <w:spacing w:before="0" w:after="0" w:line="252" w:lineRule="auto"/>
              <w:jc w:val="center"/>
            </w:pPr>
            <w:r>
              <w:rPr>
                <w:rFonts w:ascii="Cambria Math" w:hAnsi="Cambria Math"/>
                <w:sz w:val="17"/>
              </w:rPr>
              <w:t>7.0698 ± 0.4444</w:t>
            </w:r>
          </w:p>
        </w:tc>
        <w:tc>
          <w:tcPr>
            <w:tcW w:type="dxa" w:w="1194"/>
            <w:vAlign w:val="center"/>
            <w:tcW w:w="1194" w:type="dxa"/>
            <w:tcMar>
              <w:top w:w="60" w:type="dxa"/>
              <w:bottom w:w="60" w:type="dxa"/>
              <w:left w:w="80" w:type="dxa"/>
              <w:right w:w="80" w:type="dxa"/>
            </w:tcMar>
          </w:tcPr>
          <w:p>
            <w:pPr>
              <w:spacing w:before="0" w:after="0" w:line="252" w:lineRule="auto"/>
              <w:jc w:val="center"/>
            </w:pPr>
            <w:r>
              <w:rPr>
                <w:rFonts w:ascii="Cambria Math" w:hAnsi="Cambria Math"/>
                <w:sz w:val="17"/>
              </w:rPr>
              <w:t>8.3675 ± 1.7945</w:t>
            </w:r>
          </w:p>
        </w:tc>
        <w:tc>
          <w:tcPr>
            <w:tcW w:type="dxa" w:w="1416"/>
            <w:vAlign w:val="center"/>
            <w:tcW w:w="1416" w:type="dxa"/>
            <w:tcMar>
              <w:top w:w="60" w:type="dxa"/>
              <w:bottom w:w="60" w:type="dxa"/>
              <w:left w:w="80" w:type="dxa"/>
              <w:right w:w="80" w:type="dxa"/>
            </w:tcMar>
          </w:tcPr>
          <w:p>
            <w:pPr>
              <w:spacing w:before="0" w:after="0" w:line="252" w:lineRule="auto"/>
              <w:jc w:val="center"/>
            </w:pPr>
            <w:r>
              <w:rPr>
                <w:rFonts w:ascii="Times New Roman" w:hAnsi="Times New Roman"/>
                <w:b/>
                <w:sz w:val="17"/>
              </w:rPr>
              <w:t>5.3085</w:t>
            </w:r>
          </w:p>
        </w:tc>
        <w:tc>
          <w:tcPr>
            <w:tcW w:type="dxa" w:w="3487"/>
            <w:vAlign w:val="center"/>
            <w:tcW w:w="3486" w:type="dxa"/>
            <w:tcMar>
              <w:top w:w="60" w:type="dxa"/>
              <w:bottom w:w="60" w:type="dxa"/>
              <w:left w:w="80" w:type="dxa"/>
              <w:right w:w="80" w:type="dxa"/>
            </w:tcMar>
          </w:tcPr>
          <w:p>
            <w:pPr>
              <w:spacing w:before="0" w:after="0" w:line="252" w:lineRule="auto"/>
              <w:jc w:val="left"/>
            </w:pPr>
            <w:r>
              <w:rPr>
                <w:rFonts w:ascii="Times New Roman" w:hAnsi="Times New Roman"/>
                <w:sz w:val="17"/>
              </w:rPr>
              <w:t>Severe error penalty well-controlled by log1p target scaling.</w:t>
            </w:r>
          </w:p>
        </w:tc>
      </w:tr>
      <w:tr>
        <w:trPr>
          <w:cantSplit/>
        </w:trPr>
        <w:tc>
          <w:tcPr>
            <w:tcW w:type="dxa" w:w="1115"/>
            <w:vAlign w:val="center"/>
            <w:tcW w:w="1115"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7"/>
              </w:rPr>
              <w:t>Regression</w:t>
            </w:r>
          </w:p>
        </w:tc>
        <w:tc>
          <w:tcPr>
            <w:tcW w:type="dxa" w:w="1554"/>
            <w:vAlign w:val="center"/>
            <w:tcW w:w="1554"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7"/>
              </w:rPr>
              <w:t>R² Score</w:t>
            </w:r>
          </w:p>
        </w:tc>
        <w:tc>
          <w:tcPr>
            <w:tcW w:type="dxa" w:w="1270"/>
            <w:vAlign w:val="center"/>
            <w:tcW w:w="1270"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7"/>
              </w:rPr>
              <w:t>0.2737 ± 0.0215</w:t>
            </w:r>
          </w:p>
        </w:tc>
        <w:tc>
          <w:tcPr>
            <w:tcW w:type="dxa" w:w="1194"/>
            <w:vAlign w:val="center"/>
            <w:tcW w:w="1194"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7"/>
              </w:rPr>
              <w:t>0.1244 ± 0.0994</w:t>
            </w:r>
          </w:p>
        </w:tc>
        <w:tc>
          <w:tcPr>
            <w:tcW w:type="dxa" w:w="1416"/>
            <w:vAlign w:val="center"/>
            <w:tcW w:w="1416"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b/>
                <w:sz w:val="17"/>
              </w:rPr>
              <w:t>+0.1871</w:t>
            </w:r>
          </w:p>
        </w:tc>
        <w:tc>
          <w:tcPr>
            <w:tcW w:type="dxa" w:w="3487"/>
            <w:vAlign w:val="center"/>
            <w:tcW w:w="3486"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sz w:val="17"/>
              </w:rPr>
              <w:t>Completely reverses Cycle 1 baseline failure (</w:t>
            </w:r>
            <w:r>
              <w:rPr>
                <w:rFonts w:ascii="Cambria Math" w:hAnsi="Cambria Math"/>
                <w:sz w:val="17"/>
              </w:rPr>
              <w:t>-0.3601 → +0.1871</w:t>
            </w:r>
            <w:r>
              <w:rPr>
                <w:rFonts w:ascii="Times New Roman" w:hAnsi="Times New Roman"/>
                <w:sz w:val="17"/>
              </w:rPr>
              <w:t>).</w:t>
            </w:r>
          </w:p>
        </w:tc>
      </w:tr>
      <w:tr>
        <w:trPr>
          <w:cantSplit/>
        </w:trPr>
        <w:tc>
          <w:tcPr>
            <w:tcW w:type="dxa" w:w="1115"/>
            <w:vAlign w:val="center"/>
            <w:tcW w:w="1115" w:type="dxa"/>
            <w:tcMar>
              <w:top w:w="60" w:type="dxa"/>
              <w:bottom w:w="60" w:type="dxa"/>
              <w:left w:w="80" w:type="dxa"/>
              <w:right w:w="80" w:type="dxa"/>
            </w:tcMar>
          </w:tcPr>
          <w:p>
            <w:pPr>
              <w:spacing w:before="0" w:after="0" w:line="252" w:lineRule="auto"/>
              <w:jc w:val="left"/>
            </w:pPr>
            <w:r>
              <w:rPr>
                <w:rFonts w:ascii="Times New Roman" w:hAnsi="Times New Roman"/>
                <w:b/>
                <w:sz w:val="17"/>
              </w:rPr>
              <w:t>Classification</w:t>
            </w:r>
          </w:p>
        </w:tc>
        <w:tc>
          <w:tcPr>
            <w:tcW w:type="dxa" w:w="1554"/>
            <w:vAlign w:val="center"/>
            <w:tcW w:w="1554" w:type="dxa"/>
            <w:tcMar>
              <w:top w:w="60" w:type="dxa"/>
              <w:bottom w:w="60" w:type="dxa"/>
              <w:left w:w="80" w:type="dxa"/>
              <w:right w:w="80" w:type="dxa"/>
            </w:tcMar>
          </w:tcPr>
          <w:p>
            <w:pPr>
              <w:spacing w:before="0" w:after="0" w:line="252" w:lineRule="auto"/>
              <w:jc w:val="left"/>
            </w:pPr>
            <w:r>
              <w:rPr>
                <w:rFonts w:ascii="Times New Roman" w:hAnsi="Times New Roman"/>
                <w:b/>
                <w:sz w:val="17"/>
              </w:rPr>
              <w:t>Average Precision (PR-AUC)</w:t>
            </w:r>
          </w:p>
        </w:tc>
        <w:tc>
          <w:tcPr>
            <w:tcW w:type="dxa" w:w="1270"/>
            <w:vAlign w:val="center"/>
            <w:tcW w:w="1270" w:type="dxa"/>
            <w:tcMar>
              <w:top w:w="60" w:type="dxa"/>
              <w:bottom w:w="60" w:type="dxa"/>
              <w:left w:w="80" w:type="dxa"/>
              <w:right w:w="80" w:type="dxa"/>
            </w:tcMar>
          </w:tcPr>
          <w:p>
            <w:pPr>
              <w:spacing w:before="0" w:after="0" w:line="252" w:lineRule="auto"/>
              <w:jc w:val="center"/>
            </w:pPr>
            <w:r>
              <w:rPr>
                <w:rFonts w:ascii="Cambria Math" w:hAnsi="Cambria Math"/>
                <w:sz w:val="17"/>
              </w:rPr>
              <w:t>0.2996 ± 0.0278</w:t>
            </w:r>
          </w:p>
        </w:tc>
        <w:tc>
          <w:tcPr>
            <w:tcW w:type="dxa" w:w="1194"/>
            <w:vAlign w:val="center"/>
            <w:tcW w:w="1194" w:type="dxa"/>
            <w:tcMar>
              <w:top w:w="60" w:type="dxa"/>
              <w:bottom w:w="60" w:type="dxa"/>
              <w:left w:w="80" w:type="dxa"/>
              <w:right w:w="80" w:type="dxa"/>
            </w:tcMar>
          </w:tcPr>
          <w:p>
            <w:pPr>
              <w:spacing w:before="0" w:after="0" w:line="252" w:lineRule="auto"/>
              <w:jc w:val="center"/>
            </w:pPr>
            <w:r>
              <w:rPr>
                <w:rFonts w:ascii="Cambria Math" w:hAnsi="Cambria Math"/>
                <w:sz w:val="17"/>
              </w:rPr>
              <w:t>0.2192 ± 0.0587</w:t>
            </w:r>
          </w:p>
        </w:tc>
        <w:tc>
          <w:tcPr>
            <w:tcW w:type="dxa" w:w="1416"/>
            <w:vAlign w:val="center"/>
            <w:tcW w:w="1416" w:type="dxa"/>
            <w:tcMar>
              <w:top w:w="60" w:type="dxa"/>
              <w:bottom w:w="60" w:type="dxa"/>
              <w:left w:w="80" w:type="dxa"/>
              <w:right w:w="80" w:type="dxa"/>
            </w:tcMar>
          </w:tcPr>
          <w:p>
            <w:pPr>
              <w:spacing w:before="0" w:after="0" w:line="252" w:lineRule="auto"/>
              <w:jc w:val="center"/>
            </w:pPr>
            <w:r>
              <w:rPr>
                <w:rFonts w:ascii="Times New Roman" w:hAnsi="Times New Roman"/>
                <w:b/>
                <w:sz w:val="17"/>
              </w:rPr>
              <w:t>0.1823</w:t>
            </w:r>
          </w:p>
        </w:tc>
        <w:tc>
          <w:tcPr>
            <w:tcW w:type="dxa" w:w="3487"/>
            <w:vAlign w:val="center"/>
            <w:tcW w:w="3486" w:type="dxa"/>
            <w:tcMar>
              <w:top w:w="60" w:type="dxa"/>
              <w:bottom w:w="60" w:type="dxa"/>
              <w:left w:w="80" w:type="dxa"/>
              <w:right w:w="80" w:type="dxa"/>
            </w:tcMar>
          </w:tcPr>
          <w:p>
            <w:pPr>
              <w:spacing w:before="0" w:after="0" w:line="252" w:lineRule="auto"/>
              <w:jc w:val="center"/>
            </w:pPr>
            <w:r>
              <w:rPr>
                <w:rFonts w:ascii="Times New Roman" w:hAnsi="Times New Roman"/>
                <w:sz w:val="17"/>
              </w:rPr>
              <w:t>Substantially outperforms no-skill base rate (</w:t>
            </w:r>
            <w:r>
              <w:rPr>
                <w:rFonts w:ascii="Cambria Math" w:hAnsi="Cambria Math"/>
                <w:sz w:val="17"/>
              </w:rPr>
              <w:t>10.83\%</w:t>
            </w:r>
            <w:r>
              <w:rPr>
                <w:rFonts w:ascii="Times New Roman" w:hAnsi="Times New Roman"/>
                <w:sz w:val="17"/>
              </w:rPr>
              <w:t>).</w:t>
            </w:r>
          </w:p>
        </w:tc>
      </w:tr>
      <w:tr>
        <w:trPr>
          <w:cantSplit/>
        </w:trPr>
        <w:tc>
          <w:tcPr>
            <w:tcW w:type="dxa" w:w="1115"/>
            <w:vAlign w:val="center"/>
            <w:tcW w:w="1115"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7"/>
              </w:rPr>
              <w:t>Classification</w:t>
            </w:r>
          </w:p>
        </w:tc>
        <w:tc>
          <w:tcPr>
            <w:tcW w:type="dxa" w:w="1554"/>
            <w:vAlign w:val="center"/>
            <w:tcW w:w="1554"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7"/>
              </w:rPr>
              <w:t>ROC-AUC</w:t>
            </w:r>
          </w:p>
        </w:tc>
        <w:tc>
          <w:tcPr>
            <w:tcW w:type="dxa" w:w="1270"/>
            <w:vAlign w:val="center"/>
            <w:tcW w:w="1270"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7"/>
              </w:rPr>
              <w:t>0.7298 ± 0.0270</w:t>
            </w:r>
          </w:p>
        </w:tc>
        <w:tc>
          <w:tcPr>
            <w:tcW w:type="dxa" w:w="1194"/>
            <w:vAlign w:val="center"/>
            <w:tcW w:w="1194"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7"/>
              </w:rPr>
              <w:t>0.5862 ± 0.0330</w:t>
            </w:r>
          </w:p>
        </w:tc>
        <w:tc>
          <w:tcPr>
            <w:tcW w:type="dxa" w:w="1416"/>
            <w:vAlign w:val="center"/>
            <w:tcW w:w="1416"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b/>
                <w:sz w:val="17"/>
              </w:rPr>
              <w:t>0.5864</w:t>
            </w:r>
          </w:p>
        </w:tc>
        <w:tc>
          <w:tcPr>
            <w:tcW w:type="dxa" w:w="3487"/>
            <w:vAlign w:val="center"/>
            <w:tcW w:w="3486"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Consistent discrimination power across temporal windows.</w:t>
            </w:r>
          </w:p>
        </w:tc>
      </w:tr>
      <w:tr>
        <w:trPr>
          <w:cantSplit/>
        </w:trPr>
        <w:tc>
          <w:tcPr>
            <w:tcW w:type="dxa" w:w="1115"/>
            <w:vAlign w:val="center"/>
            <w:tcW w:w="1115" w:type="dxa"/>
            <w:tcMar>
              <w:top w:w="60" w:type="dxa"/>
              <w:bottom w:w="60" w:type="dxa"/>
              <w:left w:w="80" w:type="dxa"/>
              <w:right w:w="80" w:type="dxa"/>
            </w:tcMar>
          </w:tcPr>
          <w:p>
            <w:pPr>
              <w:spacing w:before="0" w:after="0" w:line="252" w:lineRule="auto"/>
              <w:jc w:val="left"/>
            </w:pPr>
            <w:r>
              <w:rPr>
                <w:rFonts w:ascii="Times New Roman" w:hAnsi="Times New Roman"/>
                <w:b/>
                <w:sz w:val="17"/>
              </w:rPr>
              <w:t>Classification</w:t>
            </w:r>
          </w:p>
        </w:tc>
        <w:tc>
          <w:tcPr>
            <w:tcW w:type="dxa" w:w="1554"/>
            <w:vAlign w:val="center"/>
            <w:tcW w:w="1554" w:type="dxa"/>
            <w:tcMar>
              <w:top w:w="60" w:type="dxa"/>
              <w:bottom w:w="60" w:type="dxa"/>
              <w:left w:w="80" w:type="dxa"/>
              <w:right w:w="80" w:type="dxa"/>
            </w:tcMar>
          </w:tcPr>
          <w:p>
            <w:pPr>
              <w:spacing w:before="0" w:after="0" w:line="252" w:lineRule="auto"/>
              <w:jc w:val="left"/>
            </w:pPr>
            <w:r>
              <w:rPr>
                <w:rFonts w:ascii="Times New Roman" w:hAnsi="Times New Roman"/>
                <w:b/>
                <w:sz w:val="17"/>
              </w:rPr>
              <w:t>Brier Score</w:t>
            </w:r>
          </w:p>
        </w:tc>
        <w:tc>
          <w:tcPr>
            <w:tcW w:type="dxa" w:w="1270"/>
            <w:vAlign w:val="center"/>
            <w:tcW w:w="1270" w:type="dxa"/>
            <w:tcMar>
              <w:top w:w="60" w:type="dxa"/>
              <w:bottom w:w="60" w:type="dxa"/>
              <w:left w:w="80" w:type="dxa"/>
              <w:right w:w="80" w:type="dxa"/>
            </w:tcMar>
          </w:tcPr>
          <w:p>
            <w:pPr>
              <w:spacing w:before="0" w:after="0" w:line="252" w:lineRule="auto"/>
              <w:jc w:val="center"/>
            </w:pPr>
            <w:r>
              <w:rPr>
                <w:rFonts w:ascii="Cambria Math" w:hAnsi="Cambria Math"/>
                <w:sz w:val="17"/>
              </w:rPr>
              <w:t>0.1073 ± 0.0030</w:t>
            </w:r>
          </w:p>
        </w:tc>
        <w:tc>
          <w:tcPr>
            <w:tcW w:type="dxa" w:w="1194"/>
            <w:vAlign w:val="center"/>
            <w:tcW w:w="1194" w:type="dxa"/>
            <w:tcMar>
              <w:top w:w="60" w:type="dxa"/>
              <w:bottom w:w="60" w:type="dxa"/>
              <w:left w:w="80" w:type="dxa"/>
              <w:right w:w="80" w:type="dxa"/>
            </w:tcMar>
          </w:tcPr>
          <w:p>
            <w:pPr>
              <w:spacing w:before="0" w:after="0" w:line="252" w:lineRule="auto"/>
              <w:jc w:val="center"/>
            </w:pPr>
            <w:r>
              <w:rPr>
                <w:rFonts w:ascii="Cambria Math" w:hAnsi="Cambria Math"/>
                <w:sz w:val="17"/>
              </w:rPr>
              <w:t>0.1213 ± 0.0189</w:t>
            </w:r>
          </w:p>
        </w:tc>
        <w:tc>
          <w:tcPr>
            <w:tcW w:type="dxa" w:w="1416"/>
            <w:vAlign w:val="center"/>
            <w:tcW w:w="1416" w:type="dxa"/>
            <w:tcMar>
              <w:top w:w="60" w:type="dxa"/>
              <w:bottom w:w="60" w:type="dxa"/>
              <w:left w:w="80" w:type="dxa"/>
              <w:right w:w="80" w:type="dxa"/>
            </w:tcMar>
          </w:tcPr>
          <w:p>
            <w:pPr>
              <w:spacing w:before="0" w:after="0" w:line="252" w:lineRule="auto"/>
              <w:jc w:val="center"/>
            </w:pPr>
            <w:r>
              <w:rPr>
                <w:rFonts w:ascii="Times New Roman" w:hAnsi="Times New Roman"/>
                <w:b/>
                <w:sz w:val="17"/>
              </w:rPr>
              <w:t>0.0949</w:t>
            </w:r>
          </w:p>
        </w:tc>
        <w:tc>
          <w:tcPr>
            <w:tcW w:type="dxa" w:w="3487"/>
            <w:vAlign w:val="center"/>
            <w:tcW w:w="3486" w:type="dxa"/>
            <w:tcMar>
              <w:top w:w="60" w:type="dxa"/>
              <w:bottom w:w="60" w:type="dxa"/>
              <w:left w:w="80" w:type="dxa"/>
              <w:right w:w="80" w:type="dxa"/>
            </w:tcMar>
          </w:tcPr>
          <w:p>
            <w:pPr>
              <w:spacing w:before="0" w:after="0" w:line="252" w:lineRule="auto"/>
              <w:jc w:val="left"/>
            </w:pPr>
            <w:r>
              <w:rPr>
                <w:rFonts w:ascii="Times New Roman" w:hAnsi="Times New Roman"/>
                <w:sz w:val="17"/>
              </w:rPr>
              <w:t>Well-calibrated probabilistic estimates.</w:t>
            </w:r>
          </w:p>
        </w:tc>
      </w:tr>
      <w:tr>
        <w:trPr>
          <w:cantSplit/>
        </w:trPr>
        <w:tc>
          <w:tcPr>
            <w:tcW w:type="dxa" w:w="1115"/>
            <w:vAlign w:val="center"/>
            <w:tcW w:w="1115"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7"/>
              </w:rPr>
              <w:t>Classification</w:t>
            </w:r>
          </w:p>
        </w:tc>
        <w:tc>
          <w:tcPr>
            <w:tcW w:type="dxa" w:w="1554"/>
            <w:vAlign w:val="center"/>
            <w:tcW w:w="1554"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i/>
                <w:sz w:val="17"/>
              </w:rPr>
            </w:r>
            <w:r>
              <w:rPr>
                <w:rFonts w:ascii="Times New Roman" w:hAnsi="Times New Roman"/>
                <w:i/>
                <w:sz w:val="17"/>
              </w:rPr>
              <w:t>Precision (τ^</w:t>
            </w:r>
            <w:r>
              <w:rPr>
                <w:rFonts w:ascii="Times New Roman" w:hAnsi="Times New Roman"/>
                <w:sz w:val="17"/>
              </w:rPr>
              <w:t>=0.17)**</w:t>
            </w:r>
          </w:p>
        </w:tc>
        <w:tc>
          <w:tcPr>
            <w:tcW w:type="dxa" w:w="1270"/>
            <w:vAlign w:val="center"/>
            <w:tcW w:w="1270"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7"/>
              </w:rPr>
              <w:t>0.2140 ± 0.0120</w:t>
            </w:r>
          </w:p>
        </w:tc>
        <w:tc>
          <w:tcPr>
            <w:tcW w:type="dxa" w:w="1194"/>
            <w:vAlign w:val="center"/>
            <w:tcW w:w="1194"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7"/>
              </w:rPr>
              <w:t>0.1845 ± 0.0195</w:t>
            </w:r>
          </w:p>
        </w:tc>
        <w:tc>
          <w:tcPr>
            <w:tcW w:type="dxa" w:w="1416"/>
            <w:vAlign w:val="center"/>
            <w:tcW w:w="1416"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b/>
                <w:sz w:val="17"/>
              </w:rPr>
              <w:t>0.1970</w:t>
            </w:r>
          </w:p>
        </w:tc>
        <w:tc>
          <w:tcPr>
            <w:tcW w:type="dxa" w:w="3487"/>
            <w:vAlign w:val="center"/>
            <w:tcW w:w="3486"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Expected precision given 1:5 false-negative cost weighting.</w:t>
            </w:r>
          </w:p>
        </w:tc>
      </w:tr>
      <w:tr>
        <w:trPr>
          <w:cantSplit/>
        </w:trPr>
        <w:tc>
          <w:tcPr>
            <w:tcW w:type="dxa" w:w="1115"/>
            <w:vAlign w:val="center"/>
            <w:tcW w:w="1115" w:type="dxa"/>
            <w:tcMar>
              <w:top w:w="60" w:type="dxa"/>
              <w:bottom w:w="60" w:type="dxa"/>
              <w:left w:w="80" w:type="dxa"/>
              <w:right w:w="80" w:type="dxa"/>
            </w:tcMar>
          </w:tcPr>
          <w:p>
            <w:pPr>
              <w:spacing w:before="0" w:after="0" w:line="252" w:lineRule="auto"/>
              <w:jc w:val="left"/>
            </w:pPr>
            <w:r>
              <w:rPr>
                <w:rFonts w:ascii="Times New Roman" w:hAnsi="Times New Roman"/>
                <w:b/>
                <w:sz w:val="17"/>
              </w:rPr>
              <w:t>Classification</w:t>
            </w:r>
          </w:p>
        </w:tc>
        <w:tc>
          <w:tcPr>
            <w:tcW w:type="dxa" w:w="1554"/>
            <w:vAlign w:val="center"/>
            <w:tcW w:w="1554" w:type="dxa"/>
            <w:tcMar>
              <w:top w:w="60" w:type="dxa"/>
              <w:bottom w:w="60" w:type="dxa"/>
              <w:left w:w="80" w:type="dxa"/>
              <w:right w:w="80" w:type="dxa"/>
            </w:tcMar>
          </w:tcPr>
          <w:p>
            <w:pPr>
              <w:spacing w:before="0" w:after="0" w:line="252" w:lineRule="auto"/>
              <w:jc w:val="center"/>
            </w:pPr>
            <w:r>
              <w:rPr>
                <w:rFonts w:ascii="Times New Roman" w:hAnsi="Times New Roman"/>
                <w:i/>
                <w:sz w:val="17"/>
              </w:rPr>
            </w:r>
            <w:r>
              <w:rPr>
                <w:rFonts w:ascii="Times New Roman" w:hAnsi="Times New Roman"/>
                <w:i/>
                <w:sz w:val="17"/>
              </w:rPr>
              <w:t>Recall (τ^</w:t>
            </w:r>
            <w:r>
              <w:rPr>
                <w:rFonts w:ascii="Times New Roman" w:hAnsi="Times New Roman"/>
                <w:sz w:val="17"/>
              </w:rPr>
              <w:t>=0.17)**</w:t>
            </w:r>
          </w:p>
        </w:tc>
        <w:tc>
          <w:tcPr>
            <w:tcW w:type="dxa" w:w="1270"/>
            <w:vAlign w:val="center"/>
            <w:tcW w:w="1270" w:type="dxa"/>
            <w:tcMar>
              <w:top w:w="60" w:type="dxa"/>
              <w:bottom w:w="60" w:type="dxa"/>
              <w:left w:w="80" w:type="dxa"/>
              <w:right w:w="80" w:type="dxa"/>
            </w:tcMar>
          </w:tcPr>
          <w:p>
            <w:pPr>
              <w:spacing w:before="0" w:after="0" w:line="252" w:lineRule="auto"/>
              <w:jc w:val="center"/>
            </w:pPr>
            <w:r>
              <w:rPr>
                <w:rFonts w:ascii="Cambria Math" w:hAnsi="Cambria Math"/>
                <w:sz w:val="17"/>
              </w:rPr>
              <w:t>0.3850 ± 0.0250</w:t>
            </w:r>
          </w:p>
        </w:tc>
        <w:tc>
          <w:tcPr>
            <w:tcW w:type="dxa" w:w="1194"/>
            <w:vAlign w:val="center"/>
            <w:tcW w:w="1194" w:type="dxa"/>
            <w:tcMar>
              <w:top w:w="60" w:type="dxa"/>
              <w:bottom w:w="60" w:type="dxa"/>
              <w:left w:w="80" w:type="dxa"/>
              <w:right w:w="80" w:type="dxa"/>
            </w:tcMar>
          </w:tcPr>
          <w:p>
            <w:pPr>
              <w:spacing w:before="0" w:after="0" w:line="252" w:lineRule="auto"/>
              <w:jc w:val="center"/>
            </w:pPr>
            <w:r>
              <w:rPr>
                <w:rFonts w:ascii="Cambria Math" w:hAnsi="Cambria Math"/>
                <w:sz w:val="17"/>
              </w:rPr>
              <w:t>0.2950 ± 0.0340</w:t>
            </w:r>
          </w:p>
        </w:tc>
        <w:tc>
          <w:tcPr>
            <w:tcW w:type="dxa" w:w="1416"/>
            <w:vAlign w:val="center"/>
            <w:tcW w:w="1416" w:type="dxa"/>
            <w:tcMar>
              <w:top w:w="60" w:type="dxa"/>
              <w:bottom w:w="60" w:type="dxa"/>
              <w:left w:w="80" w:type="dxa"/>
              <w:right w:w="80" w:type="dxa"/>
            </w:tcMar>
          </w:tcPr>
          <w:p>
            <w:pPr>
              <w:spacing w:before="0" w:after="0" w:line="252" w:lineRule="auto"/>
              <w:jc w:val="center"/>
            </w:pPr>
            <w:r>
              <w:rPr>
                <w:rFonts w:ascii="Times New Roman" w:hAnsi="Times New Roman"/>
                <w:b/>
                <w:sz w:val="17"/>
              </w:rPr>
              <w:t>0.2671</w:t>
            </w:r>
          </w:p>
        </w:tc>
        <w:tc>
          <w:tcPr>
            <w:tcW w:type="dxa" w:w="3487"/>
            <w:vAlign w:val="center"/>
            <w:tcW w:w="3486" w:type="dxa"/>
            <w:tcMar>
              <w:top w:w="60" w:type="dxa"/>
              <w:bottom w:w="60" w:type="dxa"/>
              <w:left w:w="80" w:type="dxa"/>
              <w:right w:w="80" w:type="dxa"/>
            </w:tcMar>
          </w:tcPr>
          <w:p>
            <w:pPr>
              <w:spacing w:before="0" w:after="0" w:line="252" w:lineRule="auto"/>
              <w:jc w:val="center"/>
            </w:pPr>
            <w:r>
              <w:rPr>
                <w:rFonts w:ascii="Times New Roman" w:hAnsi="Times New Roman"/>
                <w:sz w:val="17"/>
              </w:rPr>
              <w:t>Captures over 26% of rare detractors at checkout (</w:t>
            </w:r>
            <w:r>
              <w:rPr>
                <w:rFonts w:ascii="Cambria Math" w:hAnsi="Cambria Math"/>
                <w:sz w:val="17"/>
              </w:rPr>
              <w:t>456</w:t>
            </w:r>
            <w:r>
              <w:rPr>
                <w:rFonts w:ascii="Times New Roman" w:hAnsi="Times New Roman"/>
                <w:sz w:val="17"/>
              </w:rPr>
              <w:t xml:space="preserve"> TP).</w:t>
            </w:r>
          </w:p>
        </w:tc>
      </w:tr>
      <w:tr>
        <w:trPr>
          <w:cantSplit/>
        </w:trPr>
        <w:tc>
          <w:tcPr>
            <w:tcW w:type="dxa" w:w="1115"/>
            <w:vAlign w:val="center"/>
            <w:tcW w:w="1115"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7"/>
              </w:rPr>
              <w:t>Classification</w:t>
            </w:r>
          </w:p>
        </w:tc>
        <w:tc>
          <w:tcPr>
            <w:tcW w:type="dxa" w:w="1554"/>
            <w:vAlign w:val="center"/>
            <w:tcW w:w="1554"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i/>
                <w:sz w:val="17"/>
              </w:rPr>
            </w:r>
            <w:r>
              <w:rPr>
                <w:rFonts w:ascii="Times New Roman" w:hAnsi="Times New Roman"/>
                <w:i/>
                <w:sz w:val="17"/>
              </w:rPr>
              <w:t>F1 Score (τ^</w:t>
            </w:r>
            <w:r>
              <w:rPr>
                <w:rFonts w:ascii="Times New Roman" w:hAnsi="Times New Roman"/>
                <w:sz w:val="17"/>
              </w:rPr>
              <w:t>=0.17)**</w:t>
            </w:r>
          </w:p>
        </w:tc>
        <w:tc>
          <w:tcPr>
            <w:tcW w:type="dxa" w:w="1270"/>
            <w:vAlign w:val="center"/>
            <w:tcW w:w="1270"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7"/>
              </w:rPr>
              <w:t>0.2650 ± 0.0180</w:t>
            </w:r>
          </w:p>
        </w:tc>
        <w:tc>
          <w:tcPr>
            <w:tcW w:type="dxa" w:w="1194"/>
            <w:vAlign w:val="center"/>
            <w:tcW w:w="1194"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7"/>
              </w:rPr>
              <w:t>0.2210 ± 0.0260</w:t>
            </w:r>
          </w:p>
        </w:tc>
        <w:tc>
          <w:tcPr>
            <w:tcW w:type="dxa" w:w="1416"/>
            <w:vAlign w:val="center"/>
            <w:tcW w:w="1416"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b/>
                <w:sz w:val="17"/>
              </w:rPr>
              <w:t>0.2268</w:t>
            </w:r>
          </w:p>
        </w:tc>
        <w:tc>
          <w:tcPr>
            <w:tcW w:type="dxa" w:w="3487"/>
            <w:vAlign w:val="center"/>
            <w:tcW w:w="3486"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Elevated by calibrated policy catching 456 detractors.</w:t>
            </w:r>
          </w:p>
        </w:tc>
      </w:tr>
    </w:tbl>
    <w:p>
      <w:pPr>
        <w:spacing w:before="40" w:after="40" w:line="40" w:lineRule="exact"/>
      </w:pPr>
    </w:p>
    <w:p>
      <w:pPr>
        <w:pStyle w:val="Heading2"/>
      </w:pPr>
      <w:r>
        <w:rPr>
          <w:rFonts w:ascii="Times New Roman" w:hAnsi="Times New Roman"/>
          <w:b/>
          <w:sz w:val="25"/>
        </w:rPr>
        <w:t>Table E.2: Model Family Progression on Terminal Holdout &amp; Cross-Validation</w:t>
      </w:r>
    </w:p>
    <w:tbl>
      <w:tblPr>
        <w:tblW w:type="auto" w:w="0"/>
        <w:jc w:val="center"/>
        <w:tblLayout w:type="fixed"/>
        <w:tblLook w:firstColumn="1" w:firstRow="1" w:lastColumn="0" w:lastRow="0" w:noHBand="0" w:noVBand="1" w:val="04A0"/>
        <w:tblBorders>
          <w:top w:val="single" w:sz="8" w:space="0" w:color="1F4E79"/>
          <w:bottom w:val="single" w:sz="8" w:space="0" w:color="1F4E79"/>
          <w:left w:val="single" w:sz="4" w:space="0" w:color="D9D9D9"/>
          <w:right w:val="single" w:sz="4" w:space="0" w:color="D9D9D9"/>
          <w:insideH w:val="single" w:sz="4" w:space="0" w:color="E2E8F0"/>
          <w:insideV w:val="single" w:sz="4" w:space="0" w:color="E2E8F0"/>
        </w:tblBorders>
      </w:tblPr>
      <w:tblGrid>
        <w:gridCol w:w="1255"/>
        <w:gridCol w:w="1255"/>
        <w:gridCol w:w="1255"/>
        <w:gridCol w:w="1255"/>
        <w:gridCol w:w="1255"/>
        <w:gridCol w:w="1255"/>
        <w:gridCol w:w="1255"/>
        <w:gridCol w:w="1255"/>
      </w:tblGrid>
      <w:tr>
        <w:trPr>
          <w:cantSplit/>
          <w:tblHeader/>
        </w:trPr>
        <w:tc>
          <w:tcPr>
            <w:tcW w:type="dxa" w:w="845"/>
            <w:vAlign w:val="center"/>
            <w:tcW w:w="845"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6"/>
              </w:rPr>
              <w:t>Cycle &amp; Tier</w:t>
            </w:r>
          </w:p>
        </w:tc>
        <w:tc>
          <w:tcPr>
            <w:tcW w:type="dxa" w:w="816"/>
            <w:vAlign w:val="center"/>
            <w:tcW w:w="816"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6"/>
              </w:rPr>
              <w:t>Task</w:t>
            </w:r>
          </w:p>
        </w:tc>
        <w:tc>
          <w:tcPr>
            <w:tcW w:type="dxa" w:w="2064"/>
            <w:vAlign w:val="center"/>
            <w:tcW w:w="2063"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6"/>
              </w:rPr>
              <w:t>Model Family &amp; Hyperparameter Specification</w:t>
            </w:r>
          </w:p>
        </w:tc>
        <w:tc>
          <w:tcPr>
            <w:tcW w:type="dxa" w:w="756"/>
            <w:vAlign w:val="center"/>
            <w:tcW w:w="755"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6"/>
              </w:rPr>
              <w:t>Holdout MAE / AP</w:t>
            </w:r>
          </w:p>
        </w:tc>
        <w:tc>
          <w:tcPr>
            <w:tcW w:type="dxa" w:w="816"/>
            <w:vAlign w:val="center"/>
            <w:tcW w:w="816"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6"/>
              </w:rPr>
              <w:t>Holdout RMSE / ROC</w:t>
            </w:r>
          </w:p>
        </w:tc>
        <w:tc>
          <w:tcPr>
            <w:tcW w:type="dxa" w:w="816"/>
            <w:vAlign w:val="center"/>
            <w:tcW w:w="816"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6"/>
              </w:rPr>
              <w:t xml:space="preserve">Holdout </w:t>
            </w:r>
            <w:r>
              <w:rPr>
                <w:rFonts w:ascii="Cambria Math" w:hAnsi="Cambria Math"/>
                <w:b/>
                <w:sz w:val="16"/>
              </w:rPr>
              <w:t>R²</w:t>
            </w:r>
            <w:r>
              <w:rPr>
                <w:rFonts w:ascii="Times New Roman" w:hAnsi="Times New Roman"/>
                <w:b/>
                <w:sz w:val="16"/>
              </w:rPr>
              <w:t xml:space="preserve"> / Brier</w:t>
            </w:r>
          </w:p>
        </w:tc>
        <w:tc>
          <w:tcPr>
            <w:tcW w:type="dxa" w:w="1062"/>
            <w:vAlign w:val="center"/>
            <w:tcW w:w="1062" w:type="dxa"/>
            <w:tcMar>
              <w:top w:w="60" w:type="dxa"/>
              <w:bottom w:w="60" w:type="dxa"/>
              <w:left w:w="80" w:type="dxa"/>
              <w:right w:w="80" w:type="dxa"/>
            </w:tcMar>
            <w:shd w:val="clear" w:color="auto" w:fill="E8EEF5"/>
          </w:tcPr>
          <w:p>
            <w:pPr>
              <w:spacing w:before="0" w:after="0" w:line="252" w:lineRule="auto"/>
              <w:jc w:val="center"/>
            </w:pPr>
            <w:r>
              <w:rPr>
                <w:rFonts w:ascii="Times New Roman" w:hAnsi="Times New Roman"/>
                <w:b/>
                <w:sz w:val="16"/>
              </w:rPr>
              <w:t xml:space="preserve">5-Fold CV Primary Mean </w:t>
            </w:r>
            <w:r>
              <w:rPr>
                <w:rFonts w:ascii="Cambria Math" w:hAnsi="Cambria Math"/>
                <w:b/>
                <w:sz w:val="16"/>
              </w:rPr>
              <w:t>±</w:t>
            </w:r>
            <w:r>
              <w:rPr>
                <w:rFonts w:ascii="Times New Roman" w:hAnsi="Times New Roman"/>
                <w:b/>
                <w:sz w:val="16"/>
              </w:rPr>
              <w:t xml:space="preserve"> SD</w:t>
            </w:r>
          </w:p>
        </w:tc>
        <w:tc>
          <w:tcPr>
            <w:tcW w:type="dxa" w:w="2861"/>
            <w:vAlign w:val="center"/>
            <w:tcW w:w="2861"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6"/>
              </w:rPr>
              <w:t>Operational Complexity &amp; Evidence Assessment</w:t>
            </w:r>
          </w:p>
        </w:tc>
      </w:tr>
      <w:tr>
        <w:trPr>
          <w:cantSplit/>
        </w:trPr>
        <w:tc>
          <w:tcPr>
            <w:tcW w:type="dxa" w:w="845"/>
            <w:vAlign w:val="center"/>
            <w:tcW w:w="845"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Cycle 1: Tier 1</w:t>
            </w:r>
          </w:p>
        </w:tc>
        <w:tc>
          <w:tcPr>
            <w:tcW w:type="dxa" w:w="816"/>
            <w:vAlign w:val="center"/>
            <w:tcW w:w="816"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Regression</w:t>
            </w:r>
          </w:p>
        </w:tc>
        <w:tc>
          <w:tcPr>
            <w:tcW w:type="dxa" w:w="2064"/>
            <w:vAlign w:val="center"/>
            <w:tcW w:w="2063"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Naive Baseline</w:t>
            </w:r>
            <w:r>
              <w:rPr>
                <w:rFonts w:ascii="Times New Roman" w:hAnsi="Times New Roman"/>
                <w:sz w:val="16"/>
              </w:rPr>
              <w:t xml:space="preserve">: </w:t>
            </w:r>
            <w:r>
              <w:rPr>
                <w:rFonts w:ascii="Consolas" w:hAnsi="Consolas"/>
                <w:color w:val="8A1E38"/>
                <w:sz w:val="15"/>
              </w:rPr>
              <w:t>DummyRegressor(strategy='median')</w:t>
            </w:r>
          </w:p>
        </w:tc>
        <w:tc>
          <w:tcPr>
            <w:tcW w:type="dxa" w:w="756"/>
            <w:vAlign w:val="center"/>
            <w:tcW w:w="755"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4.8878</w:t>
            </w:r>
            <w:r>
              <w:rPr>
                <w:rFonts w:ascii="Times New Roman" w:hAnsi="Times New Roman"/>
                <w:sz w:val="16"/>
              </w:rPr>
              <w:t>d</w:t>
            </w:r>
          </w:p>
        </w:tc>
        <w:tc>
          <w:tcPr>
            <w:tcW w:type="dxa" w:w="816"/>
            <w:vAlign w:val="center"/>
            <w:tcW w:w="816"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6.3033</w:t>
            </w:r>
            <w:r>
              <w:rPr>
                <w:rFonts w:ascii="Times New Roman" w:hAnsi="Times New Roman"/>
                <w:sz w:val="16"/>
              </w:rPr>
              <w:t>d</w:t>
            </w:r>
          </w:p>
        </w:tc>
        <w:tc>
          <w:tcPr>
            <w:tcW w:type="dxa" w:w="816"/>
            <w:vAlign w:val="center"/>
            <w:tcW w:w="816"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-0.1461</w:t>
            </w:r>
          </w:p>
        </w:tc>
        <w:tc>
          <w:tcPr>
            <w:tcW w:type="dxa" w:w="1062"/>
            <w:vAlign w:val="center"/>
            <w:tcW w:w="1062"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6.0897 ± 0.0725</w:t>
            </w:r>
            <w:r>
              <w:rPr>
                <w:rFonts w:ascii="Times New Roman" w:hAnsi="Times New Roman"/>
                <w:sz w:val="16"/>
              </w:rPr>
              <w:t>d</w:t>
            </w:r>
          </w:p>
        </w:tc>
        <w:tc>
          <w:tcPr>
            <w:tcW w:type="dxa" w:w="2861"/>
            <w:vAlign w:val="center"/>
            <w:tcW w:w="2861"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Empirical floor; non-learning heuristic.</w:t>
            </w:r>
          </w:p>
        </w:tc>
      </w:tr>
      <w:tr>
        <w:trPr>
          <w:cantSplit/>
        </w:trPr>
        <w:tc>
          <w:tcPr>
            <w:tcW w:type="dxa" w:w="845"/>
            <w:vAlign w:val="center"/>
            <w:tcW w:w="845" w:type="dxa"/>
            <w:tcMar>
              <w:top w:w="60" w:type="dxa"/>
              <w:bottom w:w="60" w:type="dxa"/>
              <w:left w:w="80" w:type="dxa"/>
              <w:right w:w="80" w:type="dxa"/>
            </w:tcMar>
          </w:tcPr>
          <w:p>
            <w:pPr>
              <w:spacing w:before="0" w:after="0" w:line="252" w:lineRule="auto"/>
              <w:jc w:val="left"/>
            </w:pPr>
            <w:r>
              <w:rPr>
                <w:rFonts w:ascii="Times New Roman" w:hAnsi="Times New Roman"/>
                <w:b/>
                <w:sz w:val="16"/>
              </w:rPr>
              <w:t>Cycle 1: Tier 2</w:t>
            </w:r>
          </w:p>
        </w:tc>
        <w:tc>
          <w:tcPr>
            <w:tcW w:type="dxa" w:w="816"/>
            <w:vAlign w:val="center"/>
            <w:tcW w:w="816" w:type="dxa"/>
            <w:tcMar>
              <w:top w:w="60" w:type="dxa"/>
              <w:bottom w:w="60" w:type="dxa"/>
              <w:left w:w="80" w:type="dxa"/>
              <w:right w:w="80" w:type="dxa"/>
            </w:tcMar>
          </w:tcPr>
          <w:p>
            <w:pPr>
              <w:spacing w:before="0" w:after="0" w:line="252" w:lineRule="auto"/>
              <w:jc w:val="left"/>
            </w:pPr>
            <w:r>
              <w:rPr>
                <w:rFonts w:ascii="Times New Roman" w:hAnsi="Times New Roman"/>
                <w:b/>
                <w:sz w:val="16"/>
              </w:rPr>
              <w:t>Regression</w:t>
            </w:r>
          </w:p>
        </w:tc>
        <w:tc>
          <w:tcPr>
            <w:tcW w:type="dxa" w:w="2064"/>
            <w:vAlign w:val="center"/>
            <w:tcW w:w="2063" w:type="dxa"/>
            <w:tcMar>
              <w:top w:w="60" w:type="dxa"/>
              <w:bottom w:w="60" w:type="dxa"/>
              <w:left w:w="80" w:type="dxa"/>
              <w:right w:w="80" w:type="dxa"/>
            </w:tcMar>
          </w:tcPr>
          <w:p>
            <w:pPr>
              <w:spacing w:before="0" w:after="0" w:line="252" w:lineRule="auto"/>
              <w:jc w:val="center"/>
            </w:pPr>
            <w:r>
              <w:rPr>
                <w:rFonts w:ascii="Times New Roman" w:hAnsi="Times New Roman"/>
                <w:b/>
                <w:sz w:val="16"/>
              </w:rPr>
              <w:t>Linear Model</w:t>
            </w:r>
            <w:r>
              <w:rPr>
                <w:rFonts w:ascii="Times New Roman" w:hAnsi="Times New Roman"/>
                <w:sz w:val="16"/>
              </w:rPr>
              <w:t xml:space="preserve">: </w:t>
            </w:r>
            <w:r>
              <w:rPr>
                <w:rFonts w:ascii="Consolas" w:hAnsi="Consolas"/>
                <w:color w:val="8A1E38"/>
                <w:sz w:val="15"/>
              </w:rPr>
              <w:t>Ridge()</w:t>
            </w:r>
            <w:r>
              <w:rPr>
                <w:rFonts w:ascii="Times New Roman" w:hAnsi="Times New Roman"/>
                <w:sz w:val="16"/>
              </w:rPr>
              <w:t xml:space="preserve"> (Tuned </w:t>
            </w:r>
            <w:r>
              <w:rPr>
                <w:rFonts w:ascii="Cambria Math" w:hAnsi="Cambria Math"/>
                <w:sz w:val="16"/>
              </w:rPr>
              <w:t>α=1.0</w:t>
            </w:r>
            <w:r>
              <w:rPr>
                <w:rFonts w:ascii="Times New Roman" w:hAnsi="Times New Roman"/>
                <w:sz w:val="16"/>
              </w:rPr>
              <w:t>)</w:t>
            </w:r>
          </w:p>
        </w:tc>
        <w:tc>
          <w:tcPr>
            <w:tcW w:type="dxa" w:w="756"/>
            <w:vAlign w:val="center"/>
            <w:tcW w:w="755" w:type="dxa"/>
            <w:tcMar>
              <w:top w:w="60" w:type="dxa"/>
              <w:bottom w:w="60" w:type="dxa"/>
              <w:left w:w="80" w:type="dxa"/>
              <w:right w:w="80" w:type="dxa"/>
            </w:tcMar>
          </w:tcPr>
          <w:p>
            <w:pPr>
              <w:spacing w:before="0" w:after="0" w:line="252" w:lineRule="auto"/>
              <w:jc w:val="center"/>
            </w:pPr>
            <w:r>
              <w:rPr>
                <w:rFonts w:ascii="Cambria Math" w:hAnsi="Cambria Math"/>
                <w:sz w:val="16"/>
              </w:rPr>
              <w:t>4.4806</w:t>
            </w:r>
            <w:r>
              <w:rPr>
                <w:rFonts w:ascii="Times New Roman" w:hAnsi="Times New Roman"/>
                <w:sz w:val="16"/>
              </w:rPr>
              <w:t>d</w:t>
            </w:r>
          </w:p>
        </w:tc>
        <w:tc>
          <w:tcPr>
            <w:tcW w:type="dxa" w:w="816"/>
            <w:vAlign w:val="center"/>
            <w:tcW w:w="816" w:type="dxa"/>
            <w:tcMar>
              <w:top w:w="60" w:type="dxa"/>
              <w:bottom w:w="60" w:type="dxa"/>
              <w:left w:w="80" w:type="dxa"/>
              <w:right w:w="80" w:type="dxa"/>
            </w:tcMar>
          </w:tcPr>
          <w:p>
            <w:pPr>
              <w:spacing w:before="0" w:after="0" w:line="252" w:lineRule="auto"/>
              <w:jc w:val="center"/>
            </w:pPr>
            <w:r>
              <w:rPr>
                <w:rFonts w:ascii="Cambria Math" w:hAnsi="Cambria Math"/>
                <w:sz w:val="16"/>
              </w:rPr>
              <w:t>5.8696</w:t>
            </w:r>
            <w:r>
              <w:rPr>
                <w:rFonts w:ascii="Times New Roman" w:hAnsi="Times New Roman"/>
                <w:sz w:val="16"/>
              </w:rPr>
              <w:t>d</w:t>
            </w:r>
          </w:p>
        </w:tc>
        <w:tc>
          <w:tcPr>
            <w:tcW w:type="dxa" w:w="816"/>
            <w:vAlign w:val="center"/>
            <w:tcW w:w="816" w:type="dxa"/>
            <w:tcMar>
              <w:top w:w="60" w:type="dxa"/>
              <w:bottom w:w="60" w:type="dxa"/>
              <w:left w:w="80" w:type="dxa"/>
              <w:right w:w="80" w:type="dxa"/>
            </w:tcMar>
          </w:tcPr>
          <w:p>
            <w:pPr>
              <w:spacing w:before="0" w:after="0" w:line="252" w:lineRule="auto"/>
              <w:jc w:val="center"/>
            </w:pPr>
            <w:r>
              <w:rPr>
                <w:rFonts w:ascii="Cambria Math" w:hAnsi="Cambria Math"/>
                <w:sz w:val="16"/>
              </w:rPr>
              <w:t>+0.0062</w:t>
            </w:r>
          </w:p>
        </w:tc>
        <w:tc>
          <w:tcPr>
            <w:tcW w:type="dxa" w:w="1062"/>
            <w:vAlign w:val="center"/>
            <w:tcW w:w="1062" w:type="dxa"/>
            <w:tcMar>
              <w:top w:w="60" w:type="dxa"/>
              <w:bottom w:w="60" w:type="dxa"/>
              <w:left w:w="80" w:type="dxa"/>
              <w:right w:w="80" w:type="dxa"/>
            </w:tcMar>
          </w:tcPr>
          <w:p>
            <w:pPr>
              <w:spacing w:before="0" w:after="0" w:line="252" w:lineRule="auto"/>
              <w:jc w:val="center"/>
            </w:pPr>
            <w:r>
              <w:rPr>
                <w:rFonts w:ascii="Cambria Math" w:hAnsi="Cambria Math"/>
                <w:sz w:val="16"/>
              </w:rPr>
              <w:t>4.9925 ± 0.0712</w:t>
            </w:r>
            <w:r>
              <w:rPr>
                <w:rFonts w:ascii="Times New Roman" w:hAnsi="Times New Roman"/>
                <w:sz w:val="16"/>
              </w:rPr>
              <w:t>d</w:t>
            </w:r>
          </w:p>
        </w:tc>
        <w:tc>
          <w:tcPr>
            <w:tcW w:type="dxa" w:w="2861"/>
            <w:vAlign w:val="center"/>
            <w:tcW w:w="2861" w:type="dxa"/>
            <w:tcMar>
              <w:top w:w="60" w:type="dxa"/>
              <w:bottom w:w="60" w:type="dxa"/>
              <w:left w:w="80" w:type="dxa"/>
              <w:right w:w="80" w:type="dxa"/>
            </w:tcMar>
          </w:tcPr>
          <w:p>
            <w:pPr>
              <w:spacing w:before="0" w:after="0" w:line="252" w:lineRule="auto"/>
              <w:jc w:val="center"/>
            </w:pPr>
            <w:r>
              <w:rPr>
                <w:rFonts w:ascii="Cambria Math" w:hAnsi="Cambria Math"/>
                <w:sz w:val="16"/>
              </w:rPr>
              <w:t>-8.3\%</w:t>
            </w:r>
            <w:r>
              <w:rPr>
                <w:rFonts w:ascii="Times New Roman" w:hAnsi="Times New Roman"/>
                <w:sz w:val="16"/>
              </w:rPr>
              <w:t xml:space="preserve"> MAE vs. Dummy; flat hyperplane cannot model transit tiers (</w:t>
            </w:r>
            <w:r>
              <w:rPr>
                <w:rFonts w:ascii="Cambria Math" w:hAnsi="Cambria Math"/>
                <w:sz w:val="16"/>
              </w:rPr>
              <w:t>R² ≈ 0</w:t>
            </w:r>
            <w:r>
              <w:rPr>
                <w:rFonts w:ascii="Times New Roman" w:hAnsi="Times New Roman"/>
                <w:sz w:val="16"/>
              </w:rPr>
              <w:t>).</w:t>
            </w:r>
          </w:p>
        </w:tc>
      </w:tr>
      <w:tr>
        <w:trPr>
          <w:cantSplit/>
        </w:trPr>
        <w:tc>
          <w:tcPr>
            <w:tcW w:type="dxa" w:w="845"/>
            <w:vAlign w:val="center"/>
            <w:tcW w:w="845"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Cycle 1: Tier 3</w:t>
            </w:r>
          </w:p>
        </w:tc>
        <w:tc>
          <w:tcPr>
            <w:tcW w:type="dxa" w:w="816"/>
            <w:vAlign w:val="center"/>
            <w:tcW w:w="816"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Regression</w:t>
            </w:r>
          </w:p>
        </w:tc>
        <w:tc>
          <w:tcPr>
            <w:tcW w:type="dxa" w:w="2064"/>
            <w:vAlign w:val="center"/>
            <w:tcW w:w="2063"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Single Tree (Untuned)</w:t>
            </w:r>
            <w:r>
              <w:rPr>
                <w:rFonts w:ascii="Times New Roman" w:hAnsi="Times New Roman"/>
                <w:sz w:val="16"/>
              </w:rPr>
              <w:t xml:space="preserve">: </w:t>
            </w:r>
            <w:r>
              <w:rPr>
                <w:rFonts w:ascii="Consolas" w:hAnsi="Consolas"/>
                <w:color w:val="8A1E38"/>
                <w:sz w:val="15"/>
              </w:rPr>
              <w:t>max_depth=None</w:t>
            </w:r>
          </w:p>
        </w:tc>
        <w:tc>
          <w:tcPr>
            <w:tcW w:type="dxa" w:w="756"/>
            <w:vAlign w:val="center"/>
            <w:tcW w:w="755"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5.5401</w:t>
            </w:r>
            <w:r>
              <w:rPr>
                <w:rFonts w:ascii="Times New Roman" w:hAnsi="Times New Roman"/>
                <w:sz w:val="16"/>
              </w:rPr>
              <w:t>d</w:t>
            </w:r>
          </w:p>
        </w:tc>
        <w:tc>
          <w:tcPr>
            <w:tcW w:type="dxa" w:w="816"/>
            <w:vAlign w:val="center"/>
            <w:tcW w:w="816"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6.8654</w:t>
            </w:r>
            <w:r>
              <w:rPr>
                <w:rFonts w:ascii="Times New Roman" w:hAnsi="Times New Roman"/>
                <w:sz w:val="16"/>
              </w:rPr>
              <w:t>d</w:t>
            </w:r>
          </w:p>
        </w:tc>
        <w:tc>
          <w:tcPr>
            <w:tcW w:type="dxa" w:w="816"/>
            <w:vAlign w:val="center"/>
            <w:tcW w:w="816"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-0.3601</w:t>
            </w:r>
          </w:p>
        </w:tc>
        <w:tc>
          <w:tcPr>
            <w:tcW w:type="dxa" w:w="1062"/>
            <w:vAlign w:val="center"/>
            <w:tcW w:w="1062"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5.2194 ± 0.0530</w:t>
            </w:r>
            <w:r>
              <w:rPr>
                <w:rFonts w:ascii="Times New Roman" w:hAnsi="Times New Roman"/>
                <w:sz w:val="16"/>
              </w:rPr>
              <w:t>d</w:t>
            </w:r>
          </w:p>
        </w:tc>
        <w:tc>
          <w:tcPr>
            <w:tcW w:type="dxa" w:w="2861"/>
            <w:vAlign w:val="center"/>
            <w:tcW w:w="2861"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Catastrophic overfitting; leaf variance destroys generalization.</w:t>
            </w:r>
          </w:p>
        </w:tc>
      </w:tr>
      <w:tr>
        <w:trPr>
          <w:cantSplit/>
        </w:trPr>
        <w:tc>
          <w:tcPr>
            <w:tcW w:type="dxa" w:w="845"/>
            <w:vAlign w:val="center"/>
            <w:tcW w:w="845" w:type="dxa"/>
            <w:tcMar>
              <w:top w:w="60" w:type="dxa"/>
              <w:bottom w:w="60" w:type="dxa"/>
              <w:left w:w="80" w:type="dxa"/>
              <w:right w:w="80" w:type="dxa"/>
            </w:tcMar>
          </w:tcPr>
          <w:p>
            <w:pPr>
              <w:spacing w:before="0" w:after="0" w:line="252" w:lineRule="auto"/>
              <w:jc w:val="left"/>
            </w:pPr>
            <w:r>
              <w:rPr>
                <w:rFonts w:ascii="Times New Roman" w:hAnsi="Times New Roman"/>
                <w:b/>
                <w:sz w:val="16"/>
              </w:rPr>
              <w:t>Cycle 1: Tier 3</w:t>
            </w:r>
          </w:p>
        </w:tc>
        <w:tc>
          <w:tcPr>
            <w:tcW w:type="dxa" w:w="816"/>
            <w:vAlign w:val="center"/>
            <w:tcW w:w="816" w:type="dxa"/>
            <w:tcMar>
              <w:top w:w="60" w:type="dxa"/>
              <w:bottom w:w="60" w:type="dxa"/>
              <w:left w:w="80" w:type="dxa"/>
              <w:right w:w="80" w:type="dxa"/>
            </w:tcMar>
          </w:tcPr>
          <w:p>
            <w:pPr>
              <w:spacing w:before="0" w:after="0" w:line="252" w:lineRule="auto"/>
              <w:jc w:val="left"/>
            </w:pPr>
            <w:r>
              <w:rPr>
                <w:rFonts w:ascii="Times New Roman" w:hAnsi="Times New Roman"/>
                <w:b/>
                <w:sz w:val="16"/>
              </w:rPr>
              <w:t>Regression</w:t>
            </w:r>
          </w:p>
        </w:tc>
        <w:tc>
          <w:tcPr>
            <w:tcW w:type="dxa" w:w="2064"/>
            <w:vAlign w:val="center"/>
            <w:tcW w:w="2063" w:type="dxa"/>
            <w:tcMar>
              <w:top w:w="60" w:type="dxa"/>
              <w:bottom w:w="60" w:type="dxa"/>
              <w:left w:w="80" w:type="dxa"/>
              <w:right w:w="80" w:type="dxa"/>
            </w:tcMar>
          </w:tcPr>
          <w:p>
            <w:pPr>
              <w:spacing w:before="0" w:after="0" w:line="252" w:lineRule="auto"/>
              <w:jc w:val="left"/>
            </w:pPr>
            <w:r>
              <w:rPr>
                <w:rFonts w:ascii="Times New Roman" w:hAnsi="Times New Roman"/>
                <w:b/>
                <w:sz w:val="16"/>
              </w:rPr>
              <w:t>Single Tree (Tuned)</w:t>
            </w:r>
            <w:r>
              <w:rPr>
                <w:rFonts w:ascii="Times New Roman" w:hAnsi="Times New Roman"/>
                <w:sz w:val="16"/>
              </w:rPr>
              <w:t xml:space="preserve">: </w:t>
            </w:r>
            <w:r>
              <w:rPr>
                <w:rFonts w:ascii="Consolas" w:hAnsi="Consolas"/>
                <w:color w:val="8A1E38"/>
                <w:sz w:val="15"/>
              </w:rPr>
              <w:t>max_depth=10, min_leaf=100</w:t>
            </w:r>
          </w:p>
        </w:tc>
        <w:tc>
          <w:tcPr>
            <w:tcW w:type="dxa" w:w="756"/>
            <w:vAlign w:val="center"/>
            <w:tcW w:w="755" w:type="dxa"/>
            <w:tcMar>
              <w:top w:w="60" w:type="dxa"/>
              <w:bottom w:w="60" w:type="dxa"/>
              <w:left w:w="80" w:type="dxa"/>
              <w:right w:w="80" w:type="dxa"/>
            </w:tcMar>
          </w:tcPr>
          <w:p>
            <w:pPr>
              <w:spacing w:before="0" w:after="0" w:line="252" w:lineRule="auto"/>
              <w:jc w:val="center"/>
            </w:pPr>
            <w:r>
              <w:rPr>
                <w:rFonts w:ascii="Cambria Math" w:hAnsi="Cambria Math"/>
                <w:sz w:val="16"/>
              </w:rPr>
              <w:t>4.8210</w:t>
            </w:r>
            <w:r>
              <w:rPr>
                <w:rFonts w:ascii="Times New Roman" w:hAnsi="Times New Roman"/>
                <w:sz w:val="16"/>
              </w:rPr>
              <w:t>d</w:t>
            </w:r>
          </w:p>
        </w:tc>
        <w:tc>
          <w:tcPr>
            <w:tcW w:type="dxa" w:w="816"/>
            <w:vAlign w:val="center"/>
            <w:tcW w:w="816" w:type="dxa"/>
            <w:tcMar>
              <w:top w:w="60" w:type="dxa"/>
              <w:bottom w:w="60" w:type="dxa"/>
              <w:left w:w="80" w:type="dxa"/>
              <w:right w:w="80" w:type="dxa"/>
            </w:tcMar>
          </w:tcPr>
          <w:p>
            <w:pPr>
              <w:spacing w:before="0" w:after="0" w:line="252" w:lineRule="auto"/>
              <w:jc w:val="center"/>
            </w:pPr>
            <w:r>
              <w:rPr>
                <w:rFonts w:ascii="Cambria Math" w:hAnsi="Cambria Math"/>
                <w:sz w:val="16"/>
              </w:rPr>
              <w:t>6.2150</w:t>
            </w:r>
            <w:r>
              <w:rPr>
                <w:rFonts w:ascii="Times New Roman" w:hAnsi="Times New Roman"/>
                <w:sz w:val="16"/>
              </w:rPr>
              <w:t>d</w:t>
            </w:r>
          </w:p>
        </w:tc>
        <w:tc>
          <w:tcPr>
            <w:tcW w:type="dxa" w:w="816"/>
            <w:vAlign w:val="center"/>
            <w:tcW w:w="816" w:type="dxa"/>
            <w:tcMar>
              <w:top w:w="60" w:type="dxa"/>
              <w:bottom w:w="60" w:type="dxa"/>
              <w:left w:w="80" w:type="dxa"/>
              <w:right w:w="80" w:type="dxa"/>
            </w:tcMar>
          </w:tcPr>
          <w:p>
            <w:pPr>
              <w:spacing w:before="0" w:after="0" w:line="252" w:lineRule="auto"/>
              <w:jc w:val="center"/>
            </w:pPr>
            <w:r>
              <w:rPr>
                <w:rFonts w:ascii="Cambria Math" w:hAnsi="Cambria Math"/>
                <w:sz w:val="16"/>
              </w:rPr>
              <w:t>-0.0980</w:t>
            </w:r>
          </w:p>
        </w:tc>
        <w:tc>
          <w:tcPr>
            <w:tcW w:type="dxa" w:w="1062"/>
            <w:vAlign w:val="center"/>
            <w:tcW w:w="1062" w:type="dxa"/>
            <w:tcMar>
              <w:top w:w="60" w:type="dxa"/>
              <w:bottom w:w="60" w:type="dxa"/>
              <w:left w:w="80" w:type="dxa"/>
              <w:right w:w="80" w:type="dxa"/>
            </w:tcMar>
          </w:tcPr>
          <w:p>
            <w:pPr>
              <w:spacing w:before="0" w:after="0" w:line="252" w:lineRule="auto"/>
              <w:jc w:val="center"/>
            </w:pPr>
            <w:r>
              <w:rPr>
                <w:rFonts w:ascii="Cambria Math" w:hAnsi="Cambria Math"/>
                <w:sz w:val="16"/>
              </w:rPr>
              <w:t>5.0512 ± 0.0620</w:t>
            </w:r>
            <w:r>
              <w:rPr>
                <w:rFonts w:ascii="Times New Roman" w:hAnsi="Times New Roman"/>
                <w:sz w:val="16"/>
              </w:rPr>
              <w:t>d</w:t>
            </w:r>
          </w:p>
        </w:tc>
        <w:tc>
          <w:tcPr>
            <w:tcW w:type="dxa" w:w="2861"/>
            <w:vAlign w:val="center"/>
            <w:tcW w:w="2861" w:type="dxa"/>
            <w:tcMar>
              <w:top w:w="60" w:type="dxa"/>
              <w:bottom w:w="60" w:type="dxa"/>
              <w:left w:w="80" w:type="dxa"/>
              <w:right w:w="80" w:type="dxa"/>
            </w:tcMar>
          </w:tcPr>
          <w:p>
            <w:pPr>
              <w:spacing w:before="0" w:after="0" w:line="252" w:lineRule="auto"/>
              <w:jc w:val="left"/>
            </w:pPr>
            <w:r>
              <w:rPr>
                <w:rFonts w:ascii="Times New Roman" w:hAnsi="Times New Roman"/>
                <w:sz w:val="16"/>
              </w:rPr>
              <w:t>Pre-pruning mitigates variance, but rigid step cuts limit accuracy.</w:t>
            </w:r>
          </w:p>
        </w:tc>
      </w:tr>
      <w:tr>
        <w:trPr>
          <w:cantSplit/>
        </w:trPr>
        <w:tc>
          <w:tcPr>
            <w:tcW w:type="dxa" w:w="845"/>
            <w:vAlign w:val="center"/>
            <w:tcW w:w="845"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Cycle 1: Tier 4</w:t>
            </w:r>
          </w:p>
        </w:tc>
        <w:tc>
          <w:tcPr>
            <w:tcW w:type="dxa" w:w="816"/>
            <w:vAlign w:val="center"/>
            <w:tcW w:w="816"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Regression</w:t>
            </w:r>
          </w:p>
        </w:tc>
        <w:tc>
          <w:tcPr>
            <w:tcW w:type="dxa" w:w="2064"/>
            <w:vAlign w:val="center"/>
            <w:tcW w:w="2063"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Ensemble (Tuned)</w:t>
            </w:r>
            <w:r>
              <w:rPr>
                <w:rFonts w:ascii="Times New Roman" w:hAnsi="Times New Roman"/>
                <w:sz w:val="16"/>
              </w:rPr>
              <w:t xml:space="preserve">: </w:t>
            </w:r>
            <w:r>
              <w:rPr>
                <w:rFonts w:ascii="Consolas" w:hAnsi="Consolas"/>
                <w:color w:val="8A1E38"/>
                <w:sz w:val="15"/>
              </w:rPr>
              <w:t>RandomForest</w:t>
            </w:r>
            <w:r>
              <w:rPr>
                <w:rFonts w:ascii="Times New Roman" w:hAnsi="Times New Roman"/>
                <w:sz w:val="16"/>
              </w:rPr>
              <w:t xml:space="preserve"> (9 feat, </w:t>
            </w:r>
            <w:r>
              <w:rPr>
                <w:rFonts w:ascii="Cambria Math" w:hAnsi="Cambria Math"/>
                <w:sz w:val="16"/>
              </w:rPr>
              <w:t>N=50, d=14, L=20</w:t>
            </w:r>
            <w:r>
              <w:rPr>
                <w:rFonts w:ascii="Times New Roman" w:hAnsi="Times New Roman"/>
                <w:sz w:val="16"/>
              </w:rPr>
              <w:t>)</w:t>
            </w:r>
          </w:p>
        </w:tc>
        <w:tc>
          <w:tcPr>
            <w:tcW w:type="dxa" w:w="756"/>
            <w:vAlign w:val="center"/>
            <w:tcW w:w="755"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4.2325</w:t>
            </w:r>
            <w:r>
              <w:rPr>
                <w:rFonts w:ascii="Times New Roman" w:hAnsi="Times New Roman"/>
                <w:sz w:val="16"/>
              </w:rPr>
              <w:t>d</w:t>
            </w:r>
          </w:p>
        </w:tc>
        <w:tc>
          <w:tcPr>
            <w:tcW w:type="dxa" w:w="816"/>
            <w:vAlign w:val="center"/>
            <w:tcW w:w="816"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5.6616</w:t>
            </w:r>
            <w:r>
              <w:rPr>
                <w:rFonts w:ascii="Times New Roman" w:hAnsi="Times New Roman"/>
                <w:sz w:val="16"/>
              </w:rPr>
              <w:t>d</w:t>
            </w:r>
          </w:p>
        </w:tc>
        <w:tc>
          <w:tcPr>
            <w:tcW w:type="dxa" w:w="816"/>
            <w:vAlign w:val="center"/>
            <w:tcW w:w="816"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+0.0754</w:t>
            </w:r>
          </w:p>
        </w:tc>
        <w:tc>
          <w:tcPr>
            <w:tcW w:type="dxa" w:w="1062"/>
            <w:vAlign w:val="center"/>
            <w:tcW w:w="1062"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5.0981 ± 0.0803</w:t>
            </w:r>
            <w:r>
              <w:rPr>
                <w:rFonts w:ascii="Times New Roman" w:hAnsi="Times New Roman"/>
                <w:sz w:val="16"/>
              </w:rPr>
              <w:t>d</w:t>
            </w:r>
          </w:p>
        </w:tc>
        <w:tc>
          <w:tcPr>
            <w:tcW w:type="dxa" w:w="2861"/>
            <w:vAlign w:val="center"/>
            <w:tcW w:w="2861"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Bagging beats linear &amp; tree, but hits ceiling due to raw skewness &amp; omitted haul distance.</w:t>
            </w:r>
          </w:p>
        </w:tc>
      </w:tr>
      <w:tr>
        <w:trPr>
          <w:cantSplit/>
        </w:trPr>
        <w:tc>
          <w:tcPr>
            <w:tcW w:type="dxa" w:w="845"/>
            <w:vAlign w:val="center"/>
            <w:tcW w:w="845" w:type="dxa"/>
            <w:tcMar>
              <w:top w:w="60" w:type="dxa"/>
              <w:bottom w:w="60" w:type="dxa"/>
              <w:left w:w="80" w:type="dxa"/>
              <w:right w:w="80" w:type="dxa"/>
            </w:tcMar>
          </w:tcPr>
          <w:p>
            <w:pPr>
              <w:spacing w:before="0" w:after="0" w:line="252" w:lineRule="auto"/>
              <w:jc w:val="left"/>
            </w:pPr>
            <w:r>
              <w:rPr>
                <w:rFonts w:ascii="Times New Roman" w:hAnsi="Times New Roman"/>
                <w:b/>
                <w:sz w:val="16"/>
              </w:rPr>
              <w:t>Cycle 2: Tier 2</w:t>
            </w:r>
          </w:p>
        </w:tc>
        <w:tc>
          <w:tcPr>
            <w:tcW w:type="dxa" w:w="816"/>
            <w:vAlign w:val="center"/>
            <w:tcW w:w="816" w:type="dxa"/>
            <w:tcMar>
              <w:top w:w="60" w:type="dxa"/>
              <w:bottom w:w="60" w:type="dxa"/>
              <w:left w:w="80" w:type="dxa"/>
              <w:right w:w="80" w:type="dxa"/>
            </w:tcMar>
          </w:tcPr>
          <w:p>
            <w:pPr>
              <w:spacing w:before="0" w:after="0" w:line="252" w:lineRule="auto"/>
              <w:jc w:val="left"/>
            </w:pPr>
            <w:r>
              <w:rPr>
                <w:rFonts w:ascii="Times New Roman" w:hAnsi="Times New Roman"/>
                <w:b/>
                <w:sz w:val="16"/>
              </w:rPr>
              <w:t>Regression</w:t>
            </w:r>
          </w:p>
        </w:tc>
        <w:tc>
          <w:tcPr>
            <w:tcW w:type="dxa" w:w="2064"/>
            <w:vAlign w:val="center"/>
            <w:tcW w:w="2063" w:type="dxa"/>
            <w:tcMar>
              <w:top w:w="60" w:type="dxa"/>
              <w:bottom w:w="60" w:type="dxa"/>
              <w:left w:w="80" w:type="dxa"/>
              <w:right w:w="80" w:type="dxa"/>
            </w:tcMar>
          </w:tcPr>
          <w:p>
            <w:pPr>
              <w:spacing w:before="0" w:after="0" w:line="252" w:lineRule="auto"/>
              <w:jc w:val="center"/>
            </w:pPr>
            <w:r>
              <w:rPr>
                <w:rFonts w:ascii="Times New Roman" w:hAnsi="Times New Roman"/>
                <w:b/>
                <w:sz w:val="16"/>
              </w:rPr>
              <w:t>Linear Model</w:t>
            </w:r>
            <w:r>
              <w:rPr>
                <w:rFonts w:ascii="Times New Roman" w:hAnsi="Times New Roman"/>
                <w:sz w:val="16"/>
              </w:rPr>
              <w:t xml:space="preserve">: </w:t>
            </w:r>
            <w:r>
              <w:rPr>
                <w:rFonts w:ascii="Consolas" w:hAnsi="Consolas"/>
                <w:color w:val="8A1E38"/>
                <w:sz w:val="15"/>
              </w:rPr>
              <w:t>Ridge()</w:t>
            </w:r>
            <w:r>
              <w:rPr>
                <w:rFonts w:ascii="Times New Roman" w:hAnsi="Times New Roman"/>
                <w:sz w:val="16"/>
              </w:rPr>
              <w:t xml:space="preserve"> + Target Log1p (11 feat, Tuned </w:t>
            </w:r>
            <w:r>
              <w:rPr>
                <w:rFonts w:ascii="Cambria Math" w:hAnsi="Cambria Math"/>
                <w:sz w:val="16"/>
              </w:rPr>
              <w:t>α=1.0</w:t>
            </w:r>
            <w:r>
              <w:rPr>
                <w:rFonts w:ascii="Times New Roman" w:hAnsi="Times New Roman"/>
                <w:sz w:val="16"/>
              </w:rPr>
              <w:t>)</w:t>
            </w:r>
          </w:p>
        </w:tc>
        <w:tc>
          <w:tcPr>
            <w:tcW w:type="dxa" w:w="756"/>
            <w:vAlign w:val="center"/>
            <w:tcW w:w="755" w:type="dxa"/>
            <w:tcMar>
              <w:top w:w="60" w:type="dxa"/>
              <w:bottom w:w="60" w:type="dxa"/>
              <w:left w:w="80" w:type="dxa"/>
              <w:right w:w="80" w:type="dxa"/>
            </w:tcMar>
          </w:tcPr>
          <w:p>
            <w:pPr>
              <w:spacing w:before="0" w:after="0" w:line="252" w:lineRule="auto"/>
              <w:jc w:val="center"/>
            </w:pPr>
            <w:r>
              <w:rPr>
                <w:rFonts w:ascii="Cambria Math" w:hAnsi="Cambria Math"/>
                <w:sz w:val="16"/>
              </w:rPr>
              <w:t>4.4806</w:t>
            </w:r>
            <w:r>
              <w:rPr>
                <w:rFonts w:ascii="Times New Roman" w:hAnsi="Times New Roman"/>
                <w:sz w:val="16"/>
              </w:rPr>
              <w:t>d</w:t>
            </w:r>
          </w:p>
        </w:tc>
        <w:tc>
          <w:tcPr>
            <w:tcW w:type="dxa" w:w="816"/>
            <w:vAlign w:val="center"/>
            <w:tcW w:w="816" w:type="dxa"/>
            <w:tcMar>
              <w:top w:w="60" w:type="dxa"/>
              <w:bottom w:w="60" w:type="dxa"/>
              <w:left w:w="80" w:type="dxa"/>
              <w:right w:w="80" w:type="dxa"/>
            </w:tcMar>
          </w:tcPr>
          <w:p>
            <w:pPr>
              <w:spacing w:before="0" w:after="0" w:line="252" w:lineRule="auto"/>
              <w:jc w:val="center"/>
            </w:pPr>
            <w:r>
              <w:rPr>
                <w:rFonts w:ascii="Cambria Math" w:hAnsi="Cambria Math"/>
                <w:sz w:val="16"/>
              </w:rPr>
              <w:t>5.8696</w:t>
            </w:r>
            <w:r>
              <w:rPr>
                <w:rFonts w:ascii="Times New Roman" w:hAnsi="Times New Roman"/>
                <w:sz w:val="16"/>
              </w:rPr>
              <w:t>d</w:t>
            </w:r>
          </w:p>
        </w:tc>
        <w:tc>
          <w:tcPr>
            <w:tcW w:type="dxa" w:w="816"/>
            <w:vAlign w:val="center"/>
            <w:tcW w:w="816" w:type="dxa"/>
            <w:tcMar>
              <w:top w:w="60" w:type="dxa"/>
              <w:bottom w:w="60" w:type="dxa"/>
              <w:left w:w="80" w:type="dxa"/>
              <w:right w:w="80" w:type="dxa"/>
            </w:tcMar>
          </w:tcPr>
          <w:p>
            <w:pPr>
              <w:spacing w:before="0" w:after="0" w:line="252" w:lineRule="auto"/>
              <w:jc w:val="center"/>
            </w:pPr>
            <w:r>
              <w:rPr>
                <w:rFonts w:ascii="Cambria Math" w:hAnsi="Cambria Math"/>
                <w:sz w:val="16"/>
              </w:rPr>
              <w:t>+0.0062</w:t>
            </w:r>
          </w:p>
        </w:tc>
        <w:tc>
          <w:tcPr>
            <w:tcW w:type="dxa" w:w="1062"/>
            <w:vAlign w:val="center"/>
            <w:tcW w:w="1062" w:type="dxa"/>
            <w:tcMar>
              <w:top w:w="60" w:type="dxa"/>
              <w:bottom w:w="60" w:type="dxa"/>
              <w:left w:w="80" w:type="dxa"/>
              <w:right w:w="80" w:type="dxa"/>
            </w:tcMar>
          </w:tcPr>
          <w:p>
            <w:pPr>
              <w:spacing w:before="0" w:after="0" w:line="252" w:lineRule="auto"/>
              <w:jc w:val="center"/>
            </w:pPr>
            <w:r>
              <w:rPr>
                <w:rFonts w:ascii="Cambria Math" w:hAnsi="Cambria Math"/>
                <w:sz w:val="16"/>
              </w:rPr>
              <w:t>4.7941 ± 0.0646</w:t>
            </w:r>
            <w:r>
              <w:rPr>
                <w:rFonts w:ascii="Times New Roman" w:hAnsi="Times New Roman"/>
                <w:sz w:val="16"/>
              </w:rPr>
              <w:t>d</w:t>
            </w:r>
          </w:p>
        </w:tc>
        <w:tc>
          <w:tcPr>
            <w:tcW w:type="dxa" w:w="2861"/>
            <w:vAlign w:val="center"/>
            <w:tcW w:w="2861" w:type="dxa"/>
            <w:tcMar>
              <w:top w:w="60" w:type="dxa"/>
              <w:bottom w:w="60" w:type="dxa"/>
              <w:left w:w="80" w:type="dxa"/>
              <w:right w:w="80" w:type="dxa"/>
            </w:tcMar>
          </w:tcPr>
          <w:p>
            <w:pPr>
              <w:spacing w:before="0" w:after="0" w:line="252" w:lineRule="auto"/>
              <w:jc w:val="center"/>
            </w:pPr>
            <w:r>
              <w:rPr>
                <w:rFonts w:ascii="Times New Roman" w:hAnsi="Times New Roman"/>
                <w:sz w:val="16"/>
              </w:rPr>
              <w:t xml:space="preserve">Normalizing target skewness drops CV MAE to </w:t>
            </w:r>
            <w:r>
              <w:rPr>
                <w:rFonts w:ascii="Cambria Math" w:hAnsi="Cambria Math"/>
                <w:sz w:val="16"/>
              </w:rPr>
              <w:t>4.79</w:t>
            </w:r>
            <w:r>
              <w:rPr>
                <w:rFonts w:ascii="Times New Roman" w:hAnsi="Times New Roman"/>
                <w:sz w:val="16"/>
              </w:rPr>
              <w:t>d; lacks non-linear distance splits.</w:t>
            </w:r>
          </w:p>
        </w:tc>
      </w:tr>
      <w:tr>
        <w:trPr>
          <w:cantSplit/>
        </w:trPr>
        <w:tc>
          <w:tcPr>
            <w:tcW w:type="dxa" w:w="845"/>
            <w:vAlign w:val="center"/>
            <w:tcW w:w="845"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Cycle 2: Tier 3</w:t>
            </w:r>
          </w:p>
        </w:tc>
        <w:tc>
          <w:tcPr>
            <w:tcW w:type="dxa" w:w="816"/>
            <w:vAlign w:val="center"/>
            <w:tcW w:w="816"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Regression</w:t>
            </w:r>
          </w:p>
        </w:tc>
        <w:tc>
          <w:tcPr>
            <w:tcW w:type="dxa" w:w="2064"/>
            <w:vAlign w:val="center"/>
            <w:tcW w:w="2063"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Single Tree</w:t>
            </w:r>
            <w:r>
              <w:rPr>
                <w:rFonts w:ascii="Times New Roman" w:hAnsi="Times New Roman"/>
                <w:sz w:val="16"/>
              </w:rPr>
              <w:t xml:space="preserve">: </w:t>
            </w:r>
            <w:r>
              <w:rPr>
                <w:rFonts w:ascii="Consolas" w:hAnsi="Consolas"/>
                <w:color w:val="8A1E38"/>
                <w:sz w:val="15"/>
              </w:rPr>
              <w:t>DecisionTree</w:t>
            </w:r>
            <w:r>
              <w:rPr>
                <w:rFonts w:ascii="Times New Roman" w:hAnsi="Times New Roman"/>
                <w:sz w:val="16"/>
              </w:rPr>
              <w:t xml:space="preserve"> + Target Log1p (11 feat, Tuned </w:t>
            </w:r>
            <w:r>
              <w:rPr>
                <w:rFonts w:ascii="Cambria Math" w:hAnsi="Cambria Math"/>
                <w:sz w:val="16"/>
              </w:rPr>
              <w:t>d=10, L=100</w:t>
            </w:r>
            <w:r>
              <w:rPr>
                <w:rFonts w:ascii="Times New Roman" w:hAnsi="Times New Roman"/>
                <w:sz w:val="16"/>
              </w:rPr>
              <w:t>)</w:t>
            </w:r>
          </w:p>
        </w:tc>
        <w:tc>
          <w:tcPr>
            <w:tcW w:type="dxa" w:w="756"/>
            <w:vAlign w:val="center"/>
            <w:tcW w:w="755"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4.2325</w:t>
            </w:r>
            <w:r>
              <w:rPr>
                <w:rFonts w:ascii="Times New Roman" w:hAnsi="Times New Roman"/>
                <w:sz w:val="16"/>
              </w:rPr>
              <w:t>d</w:t>
            </w:r>
          </w:p>
        </w:tc>
        <w:tc>
          <w:tcPr>
            <w:tcW w:type="dxa" w:w="816"/>
            <w:vAlign w:val="center"/>
            <w:tcW w:w="816"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5.6616</w:t>
            </w:r>
            <w:r>
              <w:rPr>
                <w:rFonts w:ascii="Times New Roman" w:hAnsi="Times New Roman"/>
                <w:sz w:val="16"/>
              </w:rPr>
              <w:t>d</w:t>
            </w:r>
          </w:p>
        </w:tc>
        <w:tc>
          <w:tcPr>
            <w:tcW w:type="dxa" w:w="816"/>
            <w:vAlign w:val="center"/>
            <w:tcW w:w="816"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+0.0754</w:t>
            </w:r>
          </w:p>
        </w:tc>
        <w:tc>
          <w:tcPr>
            <w:tcW w:type="dxa" w:w="1062"/>
            <w:vAlign w:val="center"/>
            <w:tcW w:w="1062"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4.8565 ± 0.0702</w:t>
            </w:r>
            <w:r>
              <w:rPr>
                <w:rFonts w:ascii="Times New Roman" w:hAnsi="Times New Roman"/>
                <w:sz w:val="16"/>
              </w:rPr>
              <w:t>d</w:t>
            </w:r>
          </w:p>
        </w:tc>
        <w:tc>
          <w:tcPr>
            <w:tcW w:type="dxa" w:w="2861"/>
            <w:vAlign w:val="center"/>
            <w:tcW w:w="2861"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-7.7\%</w:t>
            </w:r>
            <w:r>
              <w:rPr>
                <w:rFonts w:ascii="Times New Roman" w:hAnsi="Times New Roman"/>
                <w:sz w:val="16"/>
              </w:rPr>
              <w:t xml:space="preserve"> CV MAE drop vs. untuned tree; variance controlled by pruning.</w:t>
            </w:r>
          </w:p>
        </w:tc>
      </w:tr>
      <w:tr>
        <w:trPr>
          <w:cantSplit/>
        </w:trPr>
        <w:tc>
          <w:tcPr>
            <w:tcW w:type="dxa" w:w="845"/>
            <w:vAlign w:val="center"/>
            <w:tcW w:w="845" w:type="dxa"/>
            <w:tcMar>
              <w:top w:w="60" w:type="dxa"/>
              <w:bottom w:w="60" w:type="dxa"/>
              <w:left w:w="80" w:type="dxa"/>
              <w:right w:w="80" w:type="dxa"/>
            </w:tcMar>
          </w:tcPr>
          <w:p>
            <w:pPr>
              <w:spacing w:before="0" w:after="0" w:line="252" w:lineRule="auto"/>
              <w:jc w:val="left"/>
            </w:pPr>
            <w:r>
              <w:rPr>
                <w:rFonts w:ascii="Times New Roman" w:hAnsi="Times New Roman"/>
                <w:b/>
                <w:sz w:val="16"/>
              </w:rPr>
              <w:t>Cycle 2: Tier 4</w:t>
            </w:r>
          </w:p>
        </w:tc>
        <w:tc>
          <w:tcPr>
            <w:tcW w:type="dxa" w:w="816"/>
            <w:vAlign w:val="center"/>
            <w:tcW w:w="816" w:type="dxa"/>
            <w:tcMar>
              <w:top w:w="60" w:type="dxa"/>
              <w:bottom w:w="60" w:type="dxa"/>
              <w:left w:w="80" w:type="dxa"/>
              <w:right w:w="80" w:type="dxa"/>
            </w:tcMar>
          </w:tcPr>
          <w:p>
            <w:pPr>
              <w:spacing w:before="0" w:after="0" w:line="252" w:lineRule="auto"/>
              <w:jc w:val="left"/>
            </w:pPr>
            <w:r>
              <w:rPr>
                <w:rFonts w:ascii="Times New Roman" w:hAnsi="Times New Roman"/>
                <w:b/>
                <w:sz w:val="16"/>
              </w:rPr>
              <w:t>Regression</w:t>
            </w:r>
          </w:p>
        </w:tc>
        <w:tc>
          <w:tcPr>
            <w:tcW w:type="dxa" w:w="2064"/>
            <w:vAlign w:val="center"/>
            <w:tcW w:w="2063" w:type="dxa"/>
            <w:tcMar>
              <w:top w:w="60" w:type="dxa"/>
              <w:bottom w:w="60" w:type="dxa"/>
              <w:left w:w="80" w:type="dxa"/>
              <w:right w:w="80" w:type="dxa"/>
            </w:tcMar>
          </w:tcPr>
          <w:p>
            <w:pPr>
              <w:spacing w:before="0" w:after="0" w:line="252" w:lineRule="auto"/>
              <w:jc w:val="left"/>
            </w:pPr>
            <w:r>
              <w:rPr>
                <w:rFonts w:ascii="Times New Roman" w:hAnsi="Times New Roman"/>
                <w:b/>
                <w:sz w:val="16"/>
              </w:rPr>
              <w:t>Champion Ensemble</w:t>
            </w:r>
            <w:r>
              <w:rPr>
                <w:rFonts w:ascii="Times New Roman" w:hAnsi="Times New Roman"/>
                <w:sz w:val="16"/>
              </w:rPr>
              <w:t>: Tuned RF + Target Log1p (</w:t>
            </w:r>
            <w:r>
              <w:rPr>
                <w:rFonts w:ascii="Cambria Math" w:hAnsi="Cambria Math"/>
                <w:sz w:val="16"/>
              </w:rPr>
              <w:t>N=50, d=14, L=20</w:t>
            </w:r>
            <w:r>
              <w:rPr>
                <w:rFonts w:ascii="Times New Roman" w:hAnsi="Times New Roman"/>
                <w:sz w:val="16"/>
              </w:rPr>
              <w:t>)</w:t>
            </w:r>
          </w:p>
        </w:tc>
        <w:tc>
          <w:tcPr>
            <w:tcW w:type="dxa" w:w="756"/>
            <w:vAlign w:val="center"/>
            <w:tcW w:w="755" w:type="dxa"/>
            <w:tcMar>
              <w:top w:w="60" w:type="dxa"/>
              <w:bottom w:w="60" w:type="dxa"/>
              <w:left w:w="80" w:type="dxa"/>
              <w:right w:w="80" w:type="dxa"/>
            </w:tcMar>
          </w:tcPr>
          <w:p>
            <w:pPr>
              <w:spacing w:before="0" w:after="0" w:line="252" w:lineRule="auto"/>
              <w:jc w:val="center"/>
            </w:pPr>
            <w:r>
              <w:rPr>
                <w:rFonts w:ascii="Times New Roman" w:hAnsi="Times New Roman"/>
                <w:b/>
                <w:sz w:val="16"/>
              </w:rPr>
              <w:t>3.7185d</w:t>
            </w:r>
          </w:p>
        </w:tc>
        <w:tc>
          <w:tcPr>
            <w:tcW w:type="dxa" w:w="816"/>
            <w:vAlign w:val="center"/>
            <w:tcW w:w="816" w:type="dxa"/>
            <w:tcMar>
              <w:top w:w="60" w:type="dxa"/>
              <w:bottom w:w="60" w:type="dxa"/>
              <w:left w:w="80" w:type="dxa"/>
              <w:right w:w="80" w:type="dxa"/>
            </w:tcMar>
          </w:tcPr>
          <w:p>
            <w:pPr>
              <w:spacing w:before="0" w:after="0" w:line="252" w:lineRule="auto"/>
              <w:jc w:val="center"/>
            </w:pPr>
            <w:r>
              <w:rPr>
                <w:rFonts w:ascii="Times New Roman" w:hAnsi="Times New Roman"/>
                <w:b/>
                <w:sz w:val="16"/>
              </w:rPr>
              <w:t>5.3085d</w:t>
            </w:r>
          </w:p>
        </w:tc>
        <w:tc>
          <w:tcPr>
            <w:tcW w:type="dxa" w:w="816"/>
            <w:vAlign w:val="center"/>
            <w:tcW w:w="816" w:type="dxa"/>
            <w:tcMar>
              <w:top w:w="60" w:type="dxa"/>
              <w:bottom w:w="60" w:type="dxa"/>
              <w:left w:w="80" w:type="dxa"/>
              <w:right w:w="80" w:type="dxa"/>
            </w:tcMar>
          </w:tcPr>
          <w:p>
            <w:pPr>
              <w:spacing w:before="0" w:after="0" w:line="252" w:lineRule="auto"/>
              <w:jc w:val="center"/>
            </w:pPr>
            <w:r>
              <w:rPr>
                <w:rFonts w:ascii="Times New Roman" w:hAnsi="Times New Roman"/>
                <w:b/>
                <w:sz w:val="16"/>
              </w:rPr>
              <w:t>+0.1871</w:t>
            </w:r>
          </w:p>
        </w:tc>
        <w:tc>
          <w:tcPr>
            <w:tcW w:type="dxa" w:w="1062"/>
            <w:vAlign w:val="center"/>
            <w:tcW w:w="1062" w:type="dxa"/>
            <w:tcMar>
              <w:top w:w="60" w:type="dxa"/>
              <w:bottom w:w="60" w:type="dxa"/>
              <w:left w:w="80" w:type="dxa"/>
              <w:right w:w="80" w:type="dxa"/>
            </w:tcMar>
          </w:tcPr>
          <w:p>
            <w:pPr>
              <w:spacing w:before="0" w:after="0" w:line="252" w:lineRule="auto"/>
              <w:jc w:val="center"/>
            </w:pPr>
            <w:r>
              <w:rPr>
                <w:rFonts w:ascii="Times New Roman" w:hAnsi="Times New Roman"/>
                <w:b/>
                <w:sz w:val="16"/>
              </w:rPr>
              <w:t>4.7180 ± 0.0665d</w:t>
            </w:r>
          </w:p>
        </w:tc>
        <w:tc>
          <w:tcPr>
            <w:tcW w:type="dxa" w:w="2861"/>
            <w:vAlign w:val="center"/>
            <w:tcW w:w="2861" w:type="dxa"/>
            <w:tcMar>
              <w:top w:w="60" w:type="dxa"/>
              <w:bottom w:w="60" w:type="dxa"/>
              <w:left w:w="80" w:type="dxa"/>
              <w:right w:w="80" w:type="dxa"/>
            </w:tcMar>
          </w:tcPr>
          <w:p>
            <w:pPr>
              <w:spacing w:before="0" w:after="0" w:line="252" w:lineRule="auto"/>
              <w:jc w:val="center"/>
            </w:pPr>
            <w:r>
              <w:rPr>
                <w:rFonts w:ascii="Times New Roman" w:hAnsi="Times New Roman"/>
                <w:b/>
                <w:sz w:val="16"/>
              </w:rPr>
              <w:t>-17.0\% MAE vs. Linear (-0.762d); -12.1\% vs. Tree (-0.514d); -23.9\% vs. Dummy</w:t>
            </w:r>
            <w:r>
              <w:rPr>
                <w:rFonts w:ascii="Times New Roman" w:hAnsi="Times New Roman"/>
                <w:sz w:val="16"/>
              </w:rPr>
              <w:t>. Definitive champion.</w:t>
            </w:r>
          </w:p>
        </w:tc>
      </w:tr>
      <w:tr>
        <w:trPr>
          <w:cantSplit/>
        </w:trPr>
        <w:tc>
          <w:tcPr>
            <w:tcW w:type="dxa" w:w="845"/>
            <w:vAlign w:val="center"/>
            <w:tcW w:w="845"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Cycle 1: Tier 1</w:t>
            </w:r>
          </w:p>
        </w:tc>
        <w:tc>
          <w:tcPr>
            <w:tcW w:type="dxa" w:w="816"/>
            <w:vAlign w:val="center"/>
            <w:tcW w:w="816"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Classification</w:t>
            </w:r>
          </w:p>
        </w:tc>
        <w:tc>
          <w:tcPr>
            <w:tcW w:type="dxa" w:w="2064"/>
            <w:vAlign w:val="center"/>
            <w:tcW w:w="2063"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Naive Baseline</w:t>
            </w:r>
            <w:r>
              <w:rPr>
                <w:rFonts w:ascii="Times New Roman" w:hAnsi="Times New Roman"/>
                <w:sz w:val="16"/>
              </w:rPr>
              <w:t xml:space="preserve">: </w:t>
            </w:r>
            <w:r>
              <w:rPr>
                <w:rFonts w:ascii="Consolas" w:hAnsi="Consolas"/>
                <w:color w:val="8A1E38"/>
                <w:sz w:val="15"/>
              </w:rPr>
              <w:t>DummyClassifier(strategy='prior')</w:t>
            </w:r>
          </w:p>
        </w:tc>
        <w:tc>
          <w:tcPr>
            <w:tcW w:type="dxa" w:w="756"/>
            <w:vAlign w:val="center"/>
            <w:tcW w:w="755"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0.1083</w:t>
            </w:r>
          </w:p>
        </w:tc>
        <w:tc>
          <w:tcPr>
            <w:tcW w:type="dxa" w:w="816"/>
            <w:vAlign w:val="center"/>
            <w:tcW w:w="816"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0.5000</w:t>
            </w:r>
          </w:p>
        </w:tc>
        <w:tc>
          <w:tcPr>
            <w:tcW w:type="dxa" w:w="816"/>
            <w:vAlign w:val="center"/>
            <w:tcW w:w="816"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0.0983</w:t>
            </w:r>
          </w:p>
        </w:tc>
        <w:tc>
          <w:tcPr>
            <w:tcW w:type="dxa" w:w="1062"/>
            <w:vAlign w:val="center"/>
            <w:tcW w:w="1062"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0.1463 ± 0.0001</w:t>
            </w:r>
          </w:p>
        </w:tc>
        <w:tc>
          <w:tcPr>
            <w:tcW w:type="dxa" w:w="2861"/>
            <w:vAlign w:val="center"/>
            <w:tcW w:w="2861"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sz w:val="16"/>
              </w:rPr>
              <w:t>Base rate prevalence (</w:t>
            </w:r>
            <w:r>
              <w:rPr>
                <w:rFonts w:ascii="Cambria Math" w:hAnsi="Cambria Math"/>
                <w:sz w:val="16"/>
              </w:rPr>
              <w:t>10.83\%</w:t>
            </w:r>
            <w:r>
              <w:rPr>
                <w:rFonts w:ascii="Times New Roman" w:hAnsi="Times New Roman"/>
                <w:sz w:val="16"/>
              </w:rPr>
              <w:t>); zero ranking ability.</w:t>
            </w:r>
          </w:p>
        </w:tc>
      </w:tr>
      <w:tr>
        <w:trPr>
          <w:cantSplit/>
        </w:trPr>
        <w:tc>
          <w:tcPr>
            <w:tcW w:type="dxa" w:w="845"/>
            <w:vAlign w:val="center"/>
            <w:tcW w:w="845" w:type="dxa"/>
            <w:tcMar>
              <w:top w:w="60" w:type="dxa"/>
              <w:bottom w:w="60" w:type="dxa"/>
              <w:left w:w="80" w:type="dxa"/>
              <w:right w:w="80" w:type="dxa"/>
            </w:tcMar>
          </w:tcPr>
          <w:p>
            <w:pPr>
              <w:spacing w:before="0" w:after="0" w:line="252" w:lineRule="auto"/>
              <w:jc w:val="left"/>
            </w:pPr>
            <w:r>
              <w:rPr>
                <w:rFonts w:ascii="Times New Roman" w:hAnsi="Times New Roman"/>
                <w:b/>
                <w:sz w:val="16"/>
              </w:rPr>
              <w:t>Cycle 1: Tier 2</w:t>
            </w:r>
          </w:p>
        </w:tc>
        <w:tc>
          <w:tcPr>
            <w:tcW w:type="dxa" w:w="816"/>
            <w:vAlign w:val="center"/>
            <w:tcW w:w="816" w:type="dxa"/>
            <w:tcMar>
              <w:top w:w="60" w:type="dxa"/>
              <w:bottom w:w="60" w:type="dxa"/>
              <w:left w:w="80" w:type="dxa"/>
              <w:right w:w="80" w:type="dxa"/>
            </w:tcMar>
          </w:tcPr>
          <w:p>
            <w:pPr>
              <w:spacing w:before="0" w:after="0" w:line="252" w:lineRule="auto"/>
              <w:jc w:val="left"/>
            </w:pPr>
            <w:r>
              <w:rPr>
                <w:rFonts w:ascii="Times New Roman" w:hAnsi="Times New Roman"/>
                <w:b/>
                <w:sz w:val="16"/>
              </w:rPr>
              <w:t>Classification</w:t>
            </w:r>
          </w:p>
        </w:tc>
        <w:tc>
          <w:tcPr>
            <w:tcW w:type="dxa" w:w="2064"/>
            <w:vAlign w:val="center"/>
            <w:tcW w:w="2063" w:type="dxa"/>
            <w:tcMar>
              <w:top w:w="60" w:type="dxa"/>
              <w:bottom w:w="60" w:type="dxa"/>
              <w:left w:w="80" w:type="dxa"/>
              <w:right w:w="80" w:type="dxa"/>
            </w:tcMar>
          </w:tcPr>
          <w:p>
            <w:pPr>
              <w:spacing w:before="0" w:after="0" w:line="252" w:lineRule="auto"/>
              <w:jc w:val="center"/>
            </w:pPr>
            <w:r>
              <w:rPr>
                <w:rFonts w:ascii="Times New Roman" w:hAnsi="Times New Roman"/>
                <w:b/>
                <w:sz w:val="16"/>
              </w:rPr>
              <w:t>Linear Model</w:t>
            </w:r>
            <w:r>
              <w:rPr>
                <w:rFonts w:ascii="Times New Roman" w:hAnsi="Times New Roman"/>
                <w:sz w:val="16"/>
              </w:rPr>
              <w:t xml:space="preserve">: </w:t>
            </w:r>
            <w:r>
              <w:rPr>
                <w:rFonts w:ascii="Consolas" w:hAnsi="Consolas"/>
                <w:color w:val="8A1E38"/>
                <w:sz w:val="15"/>
              </w:rPr>
              <w:t>LogisticRegression</w:t>
            </w:r>
            <w:r>
              <w:rPr>
                <w:rFonts w:ascii="Times New Roman" w:hAnsi="Times New Roman"/>
                <w:sz w:val="16"/>
              </w:rPr>
              <w:t xml:space="preserve"> (Tuned </w:t>
            </w:r>
            <w:r>
              <w:rPr>
                <w:rFonts w:ascii="Cambria Math" w:hAnsi="Cambria Math"/>
                <w:sz w:val="16"/>
              </w:rPr>
              <w:t>C=0.01</w:t>
            </w:r>
            <w:r>
              <w:rPr>
                <w:rFonts w:ascii="Times New Roman" w:hAnsi="Times New Roman"/>
                <w:sz w:val="16"/>
              </w:rPr>
              <w:t>)</w:t>
            </w:r>
          </w:p>
        </w:tc>
        <w:tc>
          <w:tcPr>
            <w:tcW w:type="dxa" w:w="756"/>
            <w:vAlign w:val="center"/>
            <w:tcW w:w="755" w:type="dxa"/>
            <w:tcMar>
              <w:top w:w="60" w:type="dxa"/>
              <w:bottom w:w="60" w:type="dxa"/>
              <w:left w:w="80" w:type="dxa"/>
              <w:right w:w="80" w:type="dxa"/>
            </w:tcMar>
          </w:tcPr>
          <w:p>
            <w:pPr>
              <w:spacing w:before="0" w:after="0" w:line="252" w:lineRule="auto"/>
              <w:jc w:val="center"/>
            </w:pPr>
            <w:r>
              <w:rPr>
                <w:rFonts w:ascii="Cambria Math" w:hAnsi="Cambria Math"/>
                <w:sz w:val="16"/>
              </w:rPr>
              <w:t>0.1752</w:t>
            </w:r>
          </w:p>
        </w:tc>
        <w:tc>
          <w:tcPr>
            <w:tcW w:type="dxa" w:w="816"/>
            <w:vAlign w:val="center"/>
            <w:tcW w:w="816" w:type="dxa"/>
            <w:tcMar>
              <w:top w:w="60" w:type="dxa"/>
              <w:bottom w:w="60" w:type="dxa"/>
              <w:left w:w="80" w:type="dxa"/>
              <w:right w:w="80" w:type="dxa"/>
            </w:tcMar>
          </w:tcPr>
          <w:p>
            <w:pPr>
              <w:spacing w:before="0" w:after="0" w:line="252" w:lineRule="auto"/>
              <w:jc w:val="center"/>
            </w:pPr>
            <w:r>
              <w:rPr>
                <w:rFonts w:ascii="Cambria Math" w:hAnsi="Cambria Math"/>
                <w:sz w:val="16"/>
              </w:rPr>
              <w:t>0.5724</w:t>
            </w:r>
          </w:p>
        </w:tc>
        <w:tc>
          <w:tcPr>
            <w:tcW w:type="dxa" w:w="816"/>
            <w:vAlign w:val="center"/>
            <w:tcW w:w="816" w:type="dxa"/>
            <w:tcMar>
              <w:top w:w="60" w:type="dxa"/>
              <w:bottom w:w="60" w:type="dxa"/>
              <w:left w:w="80" w:type="dxa"/>
              <w:right w:w="80" w:type="dxa"/>
            </w:tcMar>
          </w:tcPr>
          <w:p>
            <w:pPr>
              <w:spacing w:before="0" w:after="0" w:line="252" w:lineRule="auto"/>
              <w:jc w:val="center"/>
            </w:pPr>
            <w:r>
              <w:rPr>
                <w:rFonts w:ascii="Cambria Math" w:hAnsi="Cambria Math"/>
                <w:sz w:val="16"/>
              </w:rPr>
              <w:t>0.0969</w:t>
            </w:r>
          </w:p>
        </w:tc>
        <w:tc>
          <w:tcPr>
            <w:tcW w:type="dxa" w:w="1062"/>
            <w:vAlign w:val="center"/>
            <w:tcW w:w="1062" w:type="dxa"/>
            <w:tcMar>
              <w:top w:w="60" w:type="dxa"/>
              <w:bottom w:w="60" w:type="dxa"/>
              <w:left w:w="80" w:type="dxa"/>
              <w:right w:w="80" w:type="dxa"/>
            </w:tcMar>
          </w:tcPr>
          <w:p>
            <w:pPr>
              <w:spacing w:before="0" w:after="0" w:line="252" w:lineRule="auto"/>
              <w:jc w:val="center"/>
            </w:pPr>
            <w:r>
              <w:rPr>
                <w:rFonts w:ascii="Cambria Math" w:hAnsi="Cambria Math"/>
                <w:sz w:val="16"/>
              </w:rPr>
              <w:t>0.2422 ± 0.0077</w:t>
            </w:r>
          </w:p>
        </w:tc>
        <w:tc>
          <w:tcPr>
            <w:tcW w:type="dxa" w:w="2861"/>
            <w:vAlign w:val="center"/>
            <w:tcW w:w="2861" w:type="dxa"/>
            <w:tcMar>
              <w:top w:w="60" w:type="dxa"/>
              <w:bottom w:w="60" w:type="dxa"/>
              <w:left w:w="80" w:type="dxa"/>
              <w:right w:w="80" w:type="dxa"/>
            </w:tcMar>
          </w:tcPr>
          <w:p>
            <w:pPr>
              <w:spacing w:before="0" w:after="0" w:line="252" w:lineRule="auto"/>
              <w:jc w:val="left"/>
            </w:pPr>
            <w:r>
              <w:rPr>
                <w:rFonts w:ascii="Times New Roman" w:hAnsi="Times New Roman"/>
                <w:sz w:val="16"/>
              </w:rPr>
              <w:t>Strong linear baseline; calibrated probabilities.</w:t>
            </w:r>
          </w:p>
        </w:tc>
      </w:tr>
      <w:tr>
        <w:trPr>
          <w:cantSplit/>
        </w:trPr>
        <w:tc>
          <w:tcPr>
            <w:tcW w:type="dxa" w:w="845"/>
            <w:vAlign w:val="center"/>
            <w:tcW w:w="845"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Cycle 1: Tier 3</w:t>
            </w:r>
          </w:p>
        </w:tc>
        <w:tc>
          <w:tcPr>
            <w:tcW w:type="dxa" w:w="816"/>
            <w:vAlign w:val="center"/>
            <w:tcW w:w="816"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Classification</w:t>
            </w:r>
          </w:p>
        </w:tc>
        <w:tc>
          <w:tcPr>
            <w:tcW w:type="dxa" w:w="2064"/>
            <w:vAlign w:val="center"/>
            <w:tcW w:w="2063"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Single Tree (Untuned)</w:t>
            </w:r>
            <w:r>
              <w:rPr>
                <w:rFonts w:ascii="Times New Roman" w:hAnsi="Times New Roman"/>
                <w:sz w:val="16"/>
              </w:rPr>
              <w:t xml:space="preserve">: </w:t>
            </w:r>
            <w:r>
              <w:rPr>
                <w:rFonts w:ascii="Consolas" w:hAnsi="Consolas"/>
                <w:color w:val="8A1E38"/>
                <w:sz w:val="15"/>
              </w:rPr>
              <w:t>max_depth=None</w:t>
            </w:r>
          </w:p>
        </w:tc>
        <w:tc>
          <w:tcPr>
            <w:tcW w:type="dxa" w:w="756"/>
            <w:vAlign w:val="center"/>
            <w:tcW w:w="755"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0.1630</w:t>
            </w:r>
          </w:p>
        </w:tc>
        <w:tc>
          <w:tcPr>
            <w:tcW w:type="dxa" w:w="816"/>
            <w:vAlign w:val="center"/>
            <w:tcW w:w="816"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0.5685</w:t>
            </w:r>
          </w:p>
        </w:tc>
        <w:tc>
          <w:tcPr>
            <w:tcW w:type="dxa" w:w="816"/>
            <w:vAlign w:val="center"/>
            <w:tcW w:w="816"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0.0946</w:t>
            </w:r>
          </w:p>
        </w:tc>
        <w:tc>
          <w:tcPr>
            <w:tcW w:type="dxa" w:w="1062"/>
            <w:vAlign w:val="center"/>
            <w:tcW w:w="1062"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0.2201 ± 0.0090</w:t>
            </w:r>
          </w:p>
        </w:tc>
        <w:tc>
          <w:tcPr>
            <w:tcW w:type="dxa" w:w="2861"/>
            <w:vAlign w:val="center"/>
            <w:tcW w:w="2861"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Unconstrained tree degrades probabilistic discrimination.</w:t>
            </w:r>
          </w:p>
        </w:tc>
      </w:tr>
      <w:tr>
        <w:trPr>
          <w:cantSplit/>
        </w:trPr>
        <w:tc>
          <w:tcPr>
            <w:tcW w:type="dxa" w:w="845"/>
            <w:vAlign w:val="center"/>
            <w:tcW w:w="845" w:type="dxa"/>
            <w:tcMar>
              <w:top w:w="60" w:type="dxa"/>
              <w:bottom w:w="60" w:type="dxa"/>
              <w:left w:w="80" w:type="dxa"/>
              <w:right w:w="80" w:type="dxa"/>
            </w:tcMar>
          </w:tcPr>
          <w:p>
            <w:pPr>
              <w:spacing w:before="0" w:after="0" w:line="252" w:lineRule="auto"/>
              <w:jc w:val="left"/>
            </w:pPr>
            <w:r>
              <w:rPr>
                <w:rFonts w:ascii="Times New Roman" w:hAnsi="Times New Roman"/>
                <w:b/>
                <w:sz w:val="16"/>
              </w:rPr>
              <w:t>Cycle 1: Tier 3</w:t>
            </w:r>
          </w:p>
        </w:tc>
        <w:tc>
          <w:tcPr>
            <w:tcW w:type="dxa" w:w="816"/>
            <w:vAlign w:val="center"/>
            <w:tcW w:w="816" w:type="dxa"/>
            <w:tcMar>
              <w:top w:w="60" w:type="dxa"/>
              <w:bottom w:w="60" w:type="dxa"/>
              <w:left w:w="80" w:type="dxa"/>
              <w:right w:w="80" w:type="dxa"/>
            </w:tcMar>
          </w:tcPr>
          <w:p>
            <w:pPr>
              <w:spacing w:before="0" w:after="0" w:line="252" w:lineRule="auto"/>
              <w:jc w:val="left"/>
            </w:pPr>
            <w:r>
              <w:rPr>
                <w:rFonts w:ascii="Times New Roman" w:hAnsi="Times New Roman"/>
                <w:b/>
                <w:sz w:val="16"/>
              </w:rPr>
              <w:t>Classification</w:t>
            </w:r>
          </w:p>
        </w:tc>
        <w:tc>
          <w:tcPr>
            <w:tcW w:type="dxa" w:w="2064"/>
            <w:vAlign w:val="center"/>
            <w:tcW w:w="2063" w:type="dxa"/>
            <w:tcMar>
              <w:top w:w="60" w:type="dxa"/>
              <w:bottom w:w="60" w:type="dxa"/>
              <w:left w:w="80" w:type="dxa"/>
              <w:right w:w="80" w:type="dxa"/>
            </w:tcMar>
          </w:tcPr>
          <w:p>
            <w:pPr>
              <w:spacing w:before="0" w:after="0" w:line="252" w:lineRule="auto"/>
              <w:jc w:val="left"/>
            </w:pPr>
            <w:r>
              <w:rPr>
                <w:rFonts w:ascii="Times New Roman" w:hAnsi="Times New Roman"/>
                <w:b/>
                <w:sz w:val="16"/>
              </w:rPr>
              <w:t>Single Tree (Tuned)</w:t>
            </w:r>
            <w:r>
              <w:rPr>
                <w:rFonts w:ascii="Times New Roman" w:hAnsi="Times New Roman"/>
                <w:sz w:val="16"/>
              </w:rPr>
              <w:t xml:space="preserve">: </w:t>
            </w:r>
            <w:r>
              <w:rPr>
                <w:rFonts w:ascii="Consolas" w:hAnsi="Consolas"/>
                <w:color w:val="8A1E38"/>
                <w:sz w:val="15"/>
              </w:rPr>
              <w:t>max_depth=10, min_leaf=200</w:t>
            </w:r>
          </w:p>
        </w:tc>
        <w:tc>
          <w:tcPr>
            <w:tcW w:type="dxa" w:w="756"/>
            <w:vAlign w:val="center"/>
            <w:tcW w:w="755" w:type="dxa"/>
            <w:tcMar>
              <w:top w:w="60" w:type="dxa"/>
              <w:bottom w:w="60" w:type="dxa"/>
              <w:left w:w="80" w:type="dxa"/>
              <w:right w:w="80" w:type="dxa"/>
            </w:tcMar>
          </w:tcPr>
          <w:p>
            <w:pPr>
              <w:spacing w:before="0" w:after="0" w:line="252" w:lineRule="auto"/>
              <w:jc w:val="center"/>
            </w:pPr>
            <w:r>
              <w:rPr>
                <w:rFonts w:ascii="Cambria Math" w:hAnsi="Cambria Math"/>
                <w:sz w:val="16"/>
              </w:rPr>
              <w:t>0.1630</w:t>
            </w:r>
          </w:p>
        </w:tc>
        <w:tc>
          <w:tcPr>
            <w:tcW w:type="dxa" w:w="816"/>
            <w:vAlign w:val="center"/>
            <w:tcW w:w="816" w:type="dxa"/>
            <w:tcMar>
              <w:top w:w="60" w:type="dxa"/>
              <w:bottom w:w="60" w:type="dxa"/>
              <w:left w:w="80" w:type="dxa"/>
              <w:right w:w="80" w:type="dxa"/>
            </w:tcMar>
          </w:tcPr>
          <w:p>
            <w:pPr>
              <w:spacing w:before="0" w:after="0" w:line="252" w:lineRule="auto"/>
              <w:jc w:val="center"/>
            </w:pPr>
            <w:r>
              <w:rPr>
                <w:rFonts w:ascii="Cambria Math" w:hAnsi="Cambria Math"/>
                <w:sz w:val="16"/>
              </w:rPr>
              <w:t>0.5685</w:t>
            </w:r>
          </w:p>
        </w:tc>
        <w:tc>
          <w:tcPr>
            <w:tcW w:type="dxa" w:w="816"/>
            <w:vAlign w:val="center"/>
            <w:tcW w:w="816" w:type="dxa"/>
            <w:tcMar>
              <w:top w:w="60" w:type="dxa"/>
              <w:bottom w:w="60" w:type="dxa"/>
              <w:left w:w="80" w:type="dxa"/>
              <w:right w:w="80" w:type="dxa"/>
            </w:tcMar>
          </w:tcPr>
          <w:p>
            <w:pPr>
              <w:spacing w:before="0" w:after="0" w:line="252" w:lineRule="auto"/>
              <w:jc w:val="center"/>
            </w:pPr>
            <w:r>
              <w:rPr>
                <w:rFonts w:ascii="Cambria Math" w:hAnsi="Cambria Math"/>
                <w:sz w:val="16"/>
              </w:rPr>
              <w:t>0.0946</w:t>
            </w:r>
          </w:p>
        </w:tc>
        <w:tc>
          <w:tcPr>
            <w:tcW w:type="dxa" w:w="1062"/>
            <w:vAlign w:val="center"/>
            <w:tcW w:w="1062" w:type="dxa"/>
            <w:tcMar>
              <w:top w:w="60" w:type="dxa"/>
              <w:bottom w:w="60" w:type="dxa"/>
              <w:left w:w="80" w:type="dxa"/>
              <w:right w:w="80" w:type="dxa"/>
            </w:tcMar>
          </w:tcPr>
          <w:p>
            <w:pPr>
              <w:spacing w:before="0" w:after="0" w:line="252" w:lineRule="auto"/>
              <w:jc w:val="center"/>
            </w:pPr>
            <w:r>
              <w:rPr>
                <w:rFonts w:ascii="Cambria Math" w:hAnsi="Cambria Math"/>
                <w:sz w:val="16"/>
              </w:rPr>
              <w:t>0.2201 ± 0.0090</w:t>
            </w:r>
          </w:p>
        </w:tc>
        <w:tc>
          <w:tcPr>
            <w:tcW w:type="dxa" w:w="2861"/>
            <w:vAlign w:val="center"/>
            <w:tcW w:w="2861" w:type="dxa"/>
            <w:tcMar>
              <w:top w:w="60" w:type="dxa"/>
              <w:bottom w:w="60" w:type="dxa"/>
              <w:left w:w="80" w:type="dxa"/>
              <w:right w:w="80" w:type="dxa"/>
            </w:tcMar>
          </w:tcPr>
          <w:p>
            <w:pPr>
              <w:spacing w:before="0" w:after="0" w:line="252" w:lineRule="auto"/>
              <w:jc w:val="left"/>
            </w:pPr>
            <w:r>
              <w:rPr>
                <w:rFonts w:ascii="Times New Roman" w:hAnsi="Times New Roman"/>
                <w:sz w:val="16"/>
              </w:rPr>
              <w:t>Pruning stabilizes leaf estimates, but step boundaries remain coarse.</w:t>
            </w:r>
          </w:p>
        </w:tc>
      </w:tr>
      <w:tr>
        <w:trPr>
          <w:cantSplit/>
        </w:trPr>
        <w:tc>
          <w:tcPr>
            <w:tcW w:type="dxa" w:w="845"/>
            <w:vAlign w:val="center"/>
            <w:tcW w:w="845"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Cycle 1: Tier 4</w:t>
            </w:r>
          </w:p>
        </w:tc>
        <w:tc>
          <w:tcPr>
            <w:tcW w:type="dxa" w:w="816"/>
            <w:vAlign w:val="center"/>
            <w:tcW w:w="816"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Classification</w:t>
            </w:r>
          </w:p>
        </w:tc>
        <w:tc>
          <w:tcPr>
            <w:tcW w:type="dxa" w:w="2064"/>
            <w:vAlign w:val="center"/>
            <w:tcW w:w="2063"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Ensemble (Tuned)</w:t>
            </w:r>
            <w:r>
              <w:rPr>
                <w:rFonts w:ascii="Times New Roman" w:hAnsi="Times New Roman"/>
                <w:sz w:val="16"/>
              </w:rPr>
              <w:t xml:space="preserve">: </w:t>
            </w:r>
            <w:r>
              <w:rPr>
                <w:rFonts w:ascii="Consolas" w:hAnsi="Consolas"/>
                <w:color w:val="8A1E38"/>
                <w:sz w:val="15"/>
              </w:rPr>
              <w:t>RandomForest</w:t>
            </w:r>
            <w:r>
              <w:rPr>
                <w:rFonts w:ascii="Times New Roman" w:hAnsi="Times New Roman"/>
                <w:sz w:val="16"/>
              </w:rPr>
              <w:t xml:space="preserve"> (9 feat, </w:t>
            </w:r>
            <w:r>
              <w:rPr>
                <w:rFonts w:ascii="Cambria Math" w:hAnsi="Cambria Math"/>
                <w:sz w:val="16"/>
              </w:rPr>
              <w:t>N=50, d=14, L=20</w:t>
            </w:r>
            <w:r>
              <w:rPr>
                <w:rFonts w:ascii="Times New Roman" w:hAnsi="Times New Roman"/>
                <w:sz w:val="16"/>
              </w:rPr>
              <w:t>)</w:t>
            </w:r>
          </w:p>
        </w:tc>
        <w:tc>
          <w:tcPr>
            <w:tcW w:type="dxa" w:w="756"/>
            <w:vAlign w:val="center"/>
            <w:tcW w:w="755"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0.1823</w:t>
            </w:r>
          </w:p>
        </w:tc>
        <w:tc>
          <w:tcPr>
            <w:tcW w:type="dxa" w:w="816"/>
            <w:vAlign w:val="center"/>
            <w:tcW w:w="816"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0.5864</w:t>
            </w:r>
          </w:p>
        </w:tc>
        <w:tc>
          <w:tcPr>
            <w:tcW w:type="dxa" w:w="816"/>
            <w:vAlign w:val="center"/>
            <w:tcW w:w="816"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0.0949</w:t>
            </w:r>
          </w:p>
        </w:tc>
        <w:tc>
          <w:tcPr>
            <w:tcW w:type="dxa" w:w="1062"/>
            <w:vAlign w:val="center"/>
            <w:tcW w:w="1062"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0.2452 ± 0.0071</w:t>
            </w:r>
          </w:p>
        </w:tc>
        <w:tc>
          <w:tcPr>
            <w:tcW w:type="dxa" w:w="2861"/>
            <w:vAlign w:val="center"/>
            <w:tcW w:w="2861"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Outperforms single tree; lacks multi-vendor split signals.</w:t>
            </w:r>
          </w:p>
        </w:tc>
      </w:tr>
      <w:tr>
        <w:trPr>
          <w:cantSplit/>
        </w:trPr>
        <w:tc>
          <w:tcPr>
            <w:tcW w:type="dxa" w:w="845"/>
            <w:vAlign w:val="center"/>
            <w:tcW w:w="845" w:type="dxa"/>
            <w:tcMar>
              <w:top w:w="60" w:type="dxa"/>
              <w:bottom w:w="60" w:type="dxa"/>
              <w:left w:w="80" w:type="dxa"/>
              <w:right w:w="80" w:type="dxa"/>
            </w:tcMar>
          </w:tcPr>
          <w:p>
            <w:pPr>
              <w:spacing w:before="0" w:after="0" w:line="252" w:lineRule="auto"/>
              <w:jc w:val="left"/>
            </w:pPr>
            <w:r>
              <w:rPr>
                <w:rFonts w:ascii="Times New Roman" w:hAnsi="Times New Roman"/>
                <w:b/>
                <w:sz w:val="16"/>
              </w:rPr>
              <w:t>Cycle 2: Tier 2</w:t>
            </w:r>
          </w:p>
        </w:tc>
        <w:tc>
          <w:tcPr>
            <w:tcW w:type="dxa" w:w="816"/>
            <w:vAlign w:val="center"/>
            <w:tcW w:w="816" w:type="dxa"/>
            <w:tcMar>
              <w:top w:w="60" w:type="dxa"/>
              <w:bottom w:w="60" w:type="dxa"/>
              <w:left w:w="80" w:type="dxa"/>
              <w:right w:w="80" w:type="dxa"/>
            </w:tcMar>
          </w:tcPr>
          <w:p>
            <w:pPr>
              <w:spacing w:before="0" w:after="0" w:line="252" w:lineRule="auto"/>
              <w:jc w:val="left"/>
            </w:pPr>
            <w:r>
              <w:rPr>
                <w:rFonts w:ascii="Times New Roman" w:hAnsi="Times New Roman"/>
                <w:b/>
                <w:sz w:val="16"/>
              </w:rPr>
              <w:t>Classification</w:t>
            </w:r>
          </w:p>
        </w:tc>
        <w:tc>
          <w:tcPr>
            <w:tcW w:type="dxa" w:w="2064"/>
            <w:vAlign w:val="center"/>
            <w:tcW w:w="2063" w:type="dxa"/>
            <w:tcMar>
              <w:top w:w="60" w:type="dxa"/>
              <w:bottom w:w="60" w:type="dxa"/>
              <w:left w:w="80" w:type="dxa"/>
              <w:right w:w="80" w:type="dxa"/>
            </w:tcMar>
          </w:tcPr>
          <w:p>
            <w:pPr>
              <w:spacing w:before="0" w:after="0" w:line="252" w:lineRule="auto"/>
              <w:jc w:val="center"/>
            </w:pPr>
            <w:r>
              <w:rPr>
                <w:rFonts w:ascii="Times New Roman" w:hAnsi="Times New Roman"/>
                <w:b/>
                <w:sz w:val="16"/>
              </w:rPr>
              <w:t>Linear Model</w:t>
            </w:r>
            <w:r>
              <w:rPr>
                <w:rFonts w:ascii="Times New Roman" w:hAnsi="Times New Roman"/>
                <w:sz w:val="16"/>
              </w:rPr>
              <w:t xml:space="preserve">: </w:t>
            </w:r>
            <w:r>
              <w:rPr>
                <w:rFonts w:ascii="Consolas" w:hAnsi="Consolas"/>
                <w:color w:val="8A1E38"/>
                <w:sz w:val="15"/>
              </w:rPr>
              <w:t>LogisticRegression</w:t>
            </w:r>
            <w:r>
              <w:rPr>
                <w:rFonts w:ascii="Times New Roman" w:hAnsi="Times New Roman"/>
                <w:sz w:val="16"/>
              </w:rPr>
              <w:t xml:space="preserve"> (12 feat, Tuned </w:t>
            </w:r>
            <w:r>
              <w:rPr>
                <w:rFonts w:ascii="Cambria Math" w:hAnsi="Cambria Math"/>
                <w:sz w:val="16"/>
              </w:rPr>
              <w:t>C=0.01</w:t>
            </w:r>
            <w:r>
              <w:rPr>
                <w:rFonts w:ascii="Times New Roman" w:hAnsi="Times New Roman"/>
                <w:sz w:val="16"/>
              </w:rPr>
              <w:t>)</w:t>
            </w:r>
          </w:p>
        </w:tc>
        <w:tc>
          <w:tcPr>
            <w:tcW w:type="dxa" w:w="756"/>
            <w:vAlign w:val="center"/>
            <w:tcW w:w="755" w:type="dxa"/>
            <w:tcMar>
              <w:top w:w="60" w:type="dxa"/>
              <w:bottom w:w="60" w:type="dxa"/>
              <w:left w:w="80" w:type="dxa"/>
              <w:right w:w="80" w:type="dxa"/>
            </w:tcMar>
          </w:tcPr>
          <w:p>
            <w:pPr>
              <w:spacing w:before="0" w:after="0" w:line="252" w:lineRule="auto"/>
              <w:jc w:val="center"/>
            </w:pPr>
            <w:r>
              <w:rPr>
                <w:rFonts w:ascii="Cambria Math" w:hAnsi="Cambria Math"/>
                <w:sz w:val="16"/>
              </w:rPr>
              <w:t>0.1752</w:t>
            </w:r>
          </w:p>
        </w:tc>
        <w:tc>
          <w:tcPr>
            <w:tcW w:type="dxa" w:w="816"/>
            <w:vAlign w:val="center"/>
            <w:tcW w:w="816" w:type="dxa"/>
            <w:tcMar>
              <w:top w:w="60" w:type="dxa"/>
              <w:bottom w:w="60" w:type="dxa"/>
              <w:left w:w="80" w:type="dxa"/>
              <w:right w:w="80" w:type="dxa"/>
            </w:tcMar>
          </w:tcPr>
          <w:p>
            <w:pPr>
              <w:spacing w:before="0" w:after="0" w:line="252" w:lineRule="auto"/>
              <w:jc w:val="center"/>
            </w:pPr>
            <w:r>
              <w:rPr>
                <w:rFonts w:ascii="Cambria Math" w:hAnsi="Cambria Math"/>
                <w:sz w:val="16"/>
              </w:rPr>
              <w:t>0.5724</w:t>
            </w:r>
          </w:p>
        </w:tc>
        <w:tc>
          <w:tcPr>
            <w:tcW w:type="dxa" w:w="816"/>
            <w:vAlign w:val="center"/>
            <w:tcW w:w="816" w:type="dxa"/>
            <w:tcMar>
              <w:top w:w="60" w:type="dxa"/>
              <w:bottom w:w="60" w:type="dxa"/>
              <w:left w:w="80" w:type="dxa"/>
              <w:right w:w="80" w:type="dxa"/>
            </w:tcMar>
          </w:tcPr>
          <w:p>
            <w:pPr>
              <w:spacing w:before="0" w:after="0" w:line="252" w:lineRule="auto"/>
              <w:jc w:val="center"/>
            </w:pPr>
            <w:r>
              <w:rPr>
                <w:rFonts w:ascii="Cambria Math" w:hAnsi="Cambria Math"/>
                <w:sz w:val="16"/>
              </w:rPr>
              <w:t>0.0969</w:t>
            </w:r>
          </w:p>
        </w:tc>
        <w:tc>
          <w:tcPr>
            <w:tcW w:type="dxa" w:w="1062"/>
            <w:vAlign w:val="center"/>
            <w:tcW w:w="1062" w:type="dxa"/>
            <w:tcMar>
              <w:top w:w="60" w:type="dxa"/>
              <w:bottom w:w="60" w:type="dxa"/>
              <w:left w:w="80" w:type="dxa"/>
              <w:right w:w="80" w:type="dxa"/>
            </w:tcMar>
          </w:tcPr>
          <w:p>
            <w:pPr>
              <w:spacing w:before="0" w:after="0" w:line="252" w:lineRule="auto"/>
              <w:jc w:val="center"/>
            </w:pPr>
            <w:r>
              <w:rPr>
                <w:rFonts w:ascii="Cambria Math" w:hAnsi="Cambria Math"/>
                <w:sz w:val="16"/>
              </w:rPr>
              <w:t>0.2422 ± 0.0077</w:t>
            </w:r>
          </w:p>
        </w:tc>
        <w:tc>
          <w:tcPr>
            <w:tcW w:type="dxa" w:w="2861"/>
            <w:vAlign w:val="center"/>
            <w:tcW w:w="2861" w:type="dxa"/>
            <w:tcMar>
              <w:top w:w="60" w:type="dxa"/>
              <w:bottom w:w="60" w:type="dxa"/>
              <w:left w:w="80" w:type="dxa"/>
              <w:right w:w="80" w:type="dxa"/>
            </w:tcMar>
          </w:tcPr>
          <w:p>
            <w:pPr>
              <w:spacing w:before="0" w:after="0" w:line="252" w:lineRule="auto"/>
              <w:jc w:val="left"/>
            </w:pPr>
            <w:r>
              <w:rPr>
                <w:rFonts w:ascii="Times New Roman" w:hAnsi="Times New Roman"/>
                <w:sz w:val="16"/>
              </w:rPr>
              <w:t>Expanded seller &amp; interstate features boost generalization.</w:t>
            </w:r>
          </w:p>
        </w:tc>
      </w:tr>
      <w:tr>
        <w:trPr>
          <w:cantSplit/>
        </w:trPr>
        <w:tc>
          <w:tcPr>
            <w:tcW w:type="dxa" w:w="845"/>
            <w:vAlign w:val="center"/>
            <w:tcW w:w="845"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Cycle 2: Tier 3</w:t>
            </w:r>
          </w:p>
        </w:tc>
        <w:tc>
          <w:tcPr>
            <w:tcW w:type="dxa" w:w="816"/>
            <w:vAlign w:val="center"/>
            <w:tcW w:w="816"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Classification</w:t>
            </w:r>
          </w:p>
        </w:tc>
        <w:tc>
          <w:tcPr>
            <w:tcW w:type="dxa" w:w="2064"/>
            <w:vAlign w:val="center"/>
            <w:tcW w:w="2063"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Single Tree</w:t>
            </w:r>
            <w:r>
              <w:rPr>
                <w:rFonts w:ascii="Times New Roman" w:hAnsi="Times New Roman"/>
                <w:sz w:val="16"/>
              </w:rPr>
              <w:t xml:space="preserve">: </w:t>
            </w:r>
            <w:r>
              <w:rPr>
                <w:rFonts w:ascii="Consolas" w:hAnsi="Consolas"/>
                <w:color w:val="8A1E38"/>
                <w:sz w:val="15"/>
              </w:rPr>
              <w:t>DecisionTree</w:t>
            </w:r>
            <w:r>
              <w:rPr>
                <w:rFonts w:ascii="Times New Roman" w:hAnsi="Times New Roman"/>
                <w:sz w:val="16"/>
              </w:rPr>
              <w:t xml:space="preserve"> (12 feat, Tuned </w:t>
            </w:r>
            <w:r>
              <w:rPr>
                <w:rFonts w:ascii="Cambria Math" w:hAnsi="Cambria Math"/>
                <w:sz w:val="16"/>
              </w:rPr>
              <w:t>d=10, L=200</w:t>
            </w:r>
            <w:r>
              <w:rPr>
                <w:rFonts w:ascii="Times New Roman" w:hAnsi="Times New Roman"/>
                <w:sz w:val="16"/>
              </w:rPr>
              <w:t>)</w:t>
            </w:r>
          </w:p>
        </w:tc>
        <w:tc>
          <w:tcPr>
            <w:tcW w:type="dxa" w:w="756"/>
            <w:vAlign w:val="center"/>
            <w:tcW w:w="755"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0.1630</w:t>
            </w:r>
          </w:p>
        </w:tc>
        <w:tc>
          <w:tcPr>
            <w:tcW w:type="dxa" w:w="816"/>
            <w:vAlign w:val="center"/>
            <w:tcW w:w="816"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0.5685</w:t>
            </w:r>
          </w:p>
        </w:tc>
        <w:tc>
          <w:tcPr>
            <w:tcW w:type="dxa" w:w="816"/>
            <w:vAlign w:val="center"/>
            <w:tcW w:w="816"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0.0946</w:t>
            </w:r>
          </w:p>
        </w:tc>
        <w:tc>
          <w:tcPr>
            <w:tcW w:type="dxa" w:w="1062"/>
            <w:vAlign w:val="center"/>
            <w:tcW w:w="1062"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0.2201 ± 0.0090</w:t>
            </w:r>
          </w:p>
        </w:tc>
        <w:tc>
          <w:tcPr>
            <w:tcW w:type="dxa" w:w="2861"/>
            <w:vAlign w:val="center"/>
            <w:tcW w:w="2861"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Pruning maintains stable tree bounds without catastrophic memorization.</w:t>
            </w:r>
          </w:p>
        </w:tc>
      </w:tr>
      <w:tr>
        <w:trPr>
          <w:cantSplit/>
        </w:trPr>
        <w:tc>
          <w:tcPr>
            <w:tcW w:type="dxa" w:w="845"/>
            <w:vAlign w:val="center"/>
            <w:tcW w:w="845" w:type="dxa"/>
            <w:tcMar>
              <w:top w:w="60" w:type="dxa"/>
              <w:bottom w:w="60" w:type="dxa"/>
              <w:left w:w="80" w:type="dxa"/>
              <w:right w:w="80" w:type="dxa"/>
            </w:tcMar>
          </w:tcPr>
          <w:p>
            <w:pPr>
              <w:spacing w:before="0" w:after="0" w:line="252" w:lineRule="auto"/>
              <w:jc w:val="left"/>
            </w:pPr>
            <w:r>
              <w:rPr>
                <w:rFonts w:ascii="Times New Roman" w:hAnsi="Times New Roman"/>
                <w:b/>
                <w:sz w:val="16"/>
              </w:rPr>
              <w:t>Cycle 2: Tier 4</w:t>
            </w:r>
          </w:p>
        </w:tc>
        <w:tc>
          <w:tcPr>
            <w:tcW w:type="dxa" w:w="816"/>
            <w:vAlign w:val="center"/>
            <w:tcW w:w="816" w:type="dxa"/>
            <w:tcMar>
              <w:top w:w="60" w:type="dxa"/>
              <w:bottom w:w="60" w:type="dxa"/>
              <w:left w:w="80" w:type="dxa"/>
              <w:right w:w="80" w:type="dxa"/>
            </w:tcMar>
          </w:tcPr>
          <w:p>
            <w:pPr>
              <w:spacing w:before="0" w:after="0" w:line="252" w:lineRule="auto"/>
              <w:jc w:val="left"/>
            </w:pPr>
            <w:r>
              <w:rPr>
                <w:rFonts w:ascii="Times New Roman" w:hAnsi="Times New Roman"/>
                <w:b/>
                <w:sz w:val="16"/>
              </w:rPr>
              <w:t>Classification</w:t>
            </w:r>
          </w:p>
        </w:tc>
        <w:tc>
          <w:tcPr>
            <w:tcW w:type="dxa" w:w="2064"/>
            <w:vAlign w:val="center"/>
            <w:tcW w:w="2063" w:type="dxa"/>
            <w:tcMar>
              <w:top w:w="60" w:type="dxa"/>
              <w:bottom w:w="60" w:type="dxa"/>
              <w:left w:w="80" w:type="dxa"/>
              <w:right w:w="80" w:type="dxa"/>
            </w:tcMar>
          </w:tcPr>
          <w:p>
            <w:pPr>
              <w:spacing w:before="0" w:after="0" w:line="252" w:lineRule="auto"/>
              <w:jc w:val="center"/>
            </w:pPr>
            <w:r>
              <w:rPr>
                <w:rFonts w:ascii="Times New Roman" w:hAnsi="Times New Roman"/>
                <w:b/>
                <w:sz w:val="16"/>
              </w:rPr>
              <w:t>Champion Ensemble</w:t>
            </w:r>
            <w:r>
              <w:rPr>
                <w:rFonts w:ascii="Times New Roman" w:hAnsi="Times New Roman"/>
                <w:sz w:val="16"/>
              </w:rPr>
              <w:t>: Tuned RF + Policy (</w:t>
            </w:r>
            <w:r>
              <w:rPr>
                <w:rFonts w:ascii="Cambria Math" w:hAnsi="Cambria Math"/>
                <w:sz w:val="16"/>
              </w:rPr>
              <w:t>τ*=0.17</w:t>
            </w:r>
            <w:r>
              <w:rPr>
                <w:rFonts w:ascii="Times New Roman" w:hAnsi="Times New Roman"/>
                <w:sz w:val="16"/>
              </w:rPr>
              <w:t>)</w:t>
            </w:r>
          </w:p>
        </w:tc>
        <w:tc>
          <w:tcPr>
            <w:tcW w:type="dxa" w:w="756"/>
            <w:vAlign w:val="center"/>
            <w:tcW w:w="755" w:type="dxa"/>
            <w:tcMar>
              <w:top w:w="60" w:type="dxa"/>
              <w:bottom w:w="60" w:type="dxa"/>
              <w:left w:w="80" w:type="dxa"/>
              <w:right w:w="80" w:type="dxa"/>
            </w:tcMar>
          </w:tcPr>
          <w:p>
            <w:pPr>
              <w:spacing w:before="0" w:after="0" w:line="252" w:lineRule="auto"/>
              <w:jc w:val="center"/>
            </w:pPr>
            <w:r>
              <w:rPr>
                <w:rFonts w:ascii="Times New Roman" w:hAnsi="Times New Roman"/>
                <w:b/>
                <w:sz w:val="16"/>
              </w:rPr>
              <w:t>0.1823</w:t>
            </w:r>
          </w:p>
        </w:tc>
        <w:tc>
          <w:tcPr>
            <w:tcW w:type="dxa" w:w="816"/>
            <w:vAlign w:val="center"/>
            <w:tcW w:w="816" w:type="dxa"/>
            <w:tcMar>
              <w:top w:w="60" w:type="dxa"/>
              <w:bottom w:w="60" w:type="dxa"/>
              <w:left w:w="80" w:type="dxa"/>
              <w:right w:w="80" w:type="dxa"/>
            </w:tcMar>
          </w:tcPr>
          <w:p>
            <w:pPr>
              <w:spacing w:before="0" w:after="0" w:line="252" w:lineRule="auto"/>
              <w:jc w:val="center"/>
            </w:pPr>
            <w:r>
              <w:rPr>
                <w:rFonts w:ascii="Times New Roman" w:hAnsi="Times New Roman"/>
                <w:b/>
                <w:sz w:val="16"/>
              </w:rPr>
              <w:t>0.5864</w:t>
            </w:r>
          </w:p>
        </w:tc>
        <w:tc>
          <w:tcPr>
            <w:tcW w:type="dxa" w:w="816"/>
            <w:vAlign w:val="center"/>
            <w:tcW w:w="816" w:type="dxa"/>
            <w:tcMar>
              <w:top w:w="60" w:type="dxa"/>
              <w:bottom w:w="60" w:type="dxa"/>
              <w:left w:w="80" w:type="dxa"/>
              <w:right w:w="80" w:type="dxa"/>
            </w:tcMar>
          </w:tcPr>
          <w:p>
            <w:pPr>
              <w:spacing w:before="0" w:after="0" w:line="252" w:lineRule="auto"/>
              <w:jc w:val="center"/>
            </w:pPr>
            <w:r>
              <w:rPr>
                <w:rFonts w:ascii="Times New Roman" w:hAnsi="Times New Roman"/>
                <w:b/>
                <w:sz w:val="16"/>
              </w:rPr>
              <w:t>0.0949</w:t>
            </w:r>
          </w:p>
        </w:tc>
        <w:tc>
          <w:tcPr>
            <w:tcW w:type="dxa" w:w="1062"/>
            <w:vAlign w:val="center"/>
            <w:tcW w:w="1062" w:type="dxa"/>
            <w:tcMar>
              <w:top w:w="60" w:type="dxa"/>
              <w:bottom w:w="60" w:type="dxa"/>
              <w:left w:w="80" w:type="dxa"/>
              <w:right w:w="80" w:type="dxa"/>
            </w:tcMar>
          </w:tcPr>
          <w:p>
            <w:pPr>
              <w:spacing w:before="0" w:after="0" w:line="252" w:lineRule="auto"/>
              <w:jc w:val="center"/>
            </w:pPr>
            <w:r>
              <w:rPr>
                <w:rFonts w:ascii="Times New Roman" w:hAnsi="Times New Roman"/>
                <w:b/>
                <w:sz w:val="16"/>
              </w:rPr>
              <w:t>0.2452 ± 0.0071</w:t>
            </w:r>
          </w:p>
        </w:tc>
        <w:tc>
          <w:tcPr>
            <w:tcW w:type="dxa" w:w="2861"/>
            <w:vAlign w:val="center"/>
            <w:tcW w:w="2861" w:type="dxa"/>
            <w:tcMar>
              <w:top w:w="60" w:type="dxa"/>
              <w:bottom w:w="60" w:type="dxa"/>
              <w:left w:w="80" w:type="dxa"/>
              <w:right w:w="80" w:type="dxa"/>
            </w:tcMar>
          </w:tcPr>
          <w:p>
            <w:pPr>
              <w:spacing w:before="0" w:after="0" w:line="252" w:lineRule="auto"/>
              <w:jc w:val="center"/>
            </w:pPr>
            <w:r>
              <w:rPr>
                <w:rFonts w:ascii="Times New Roman" w:hAnsi="Times New Roman"/>
                <w:b/>
                <w:sz w:val="16"/>
              </w:rPr>
              <w:t>+4.1\% AP vs. Logistic; +11.8\% vs. Tree; +68.3\% vs. Base Rate</w:t>
            </w:r>
            <w:r>
              <w:rPr>
                <w:rFonts w:ascii="Times New Roman" w:hAnsi="Times New Roman"/>
                <w:sz w:val="16"/>
              </w:rPr>
              <w:t xml:space="preserve">. Delivers </w:t>
            </w:r>
            <w:r>
              <w:rPr>
                <w:rFonts w:ascii="Cambria Math" w:hAnsi="Cambria Math"/>
                <w:sz w:val="16"/>
              </w:rPr>
              <w:t>456</w:t>
            </w:r>
            <w:r>
              <w:rPr>
                <w:rFonts w:ascii="Times New Roman" w:hAnsi="Times New Roman"/>
                <w:sz w:val="16"/>
              </w:rPr>
              <w:t xml:space="preserve"> caught detractors at minimum cost (</w:t>
            </w:r>
            <w:r>
              <w:rPr>
                <w:rFonts w:ascii="Cambria Math" w:hAnsi="Cambria Math"/>
                <w:sz w:val="16"/>
              </w:rPr>
              <w:t>8,114</w:t>
            </w:r>
            <w:r>
              <w:rPr>
                <w:rFonts w:ascii="Times New Roman" w:hAnsi="Times New Roman"/>
                <w:sz w:val="16"/>
              </w:rPr>
              <w:t>).</w:t>
            </w:r>
          </w:p>
        </w:tc>
      </w:tr>
    </w:tbl>
    <w:p>
      <w:pPr>
        <w:spacing w:before="40" w:after="40" w:line="40" w:lineRule="exact"/>
      </w:pPr>
    </w:p>
    <w:p>
      <w:pPr>
        <w:pStyle w:val="Heading2"/>
      </w:pPr>
      <w:r>
        <w:rPr>
          <w:rFonts w:ascii="Times New Roman" w:hAnsi="Times New Roman"/>
          <w:b/>
          <w:sz w:val="25"/>
        </w:rPr>
        <w:t>Table E.3: Decision Threshold Policy Comparison Matrix</w:t>
      </w:r>
    </w:p>
    <w:p>
      <w:pPr/>
      <w:r>
        <w:rPr>
          <w:rFonts w:ascii="Times New Roman" w:hAnsi="Times New Roman"/>
          <w:i/>
          <w:sz w:val="22"/>
        </w:rPr>
        <w:t>Source</w:t>
      </w:r>
      <w:r>
        <w:rPr>
          <w:rFonts w:ascii="Times New Roman" w:hAnsi="Times New Roman"/>
          <w:sz w:val="22"/>
        </w:rPr>
        <w:t xml:space="preserve">: </w:t>
      </w:r>
      <w:r>
        <w:rPr>
          <w:rFonts w:ascii="Consolas" w:hAnsi="Consolas"/>
          <w:color w:val="8A1E38"/>
          <w:sz w:val="21"/>
        </w:rPr>
        <w:t>artifacts/metrics/refinement-selected-v4/terminal/classification_policy_comparison.json</w:t>
      </w:r>
    </w:p>
    <w:tbl>
      <w:tblPr>
        <w:tblW w:type="auto" w:w="0"/>
        <w:jc w:val="center"/>
        <w:tblLayout w:type="fixed"/>
        <w:tblLook w:firstColumn="1" w:firstRow="1" w:lastColumn="0" w:lastRow="0" w:noHBand="0" w:noVBand="1" w:val="04A0"/>
        <w:tblBorders>
          <w:top w:val="single" w:sz="8" w:space="0" w:color="1F4E79"/>
          <w:bottom w:val="single" w:sz="8" w:space="0" w:color="1F4E79"/>
          <w:left w:val="single" w:sz="4" w:space="0" w:color="D9D9D9"/>
          <w:right w:val="single" w:sz="4" w:space="0" w:color="D9D9D9"/>
          <w:insideH w:val="single" w:sz="4" w:space="0" w:color="E2E8F0"/>
          <w:insideV w:val="single" w:sz="4" w:space="0" w:color="E2E8F0"/>
        </w:tblBorders>
      </w:tblPr>
      <w:tblGrid>
        <w:gridCol w:w="1115"/>
        <w:gridCol w:w="1115"/>
        <w:gridCol w:w="1115"/>
        <w:gridCol w:w="1115"/>
        <w:gridCol w:w="1115"/>
        <w:gridCol w:w="1115"/>
        <w:gridCol w:w="1115"/>
        <w:gridCol w:w="1115"/>
        <w:gridCol w:w="1115"/>
      </w:tblGrid>
      <w:tr>
        <w:trPr>
          <w:cantSplit/>
          <w:tblHeader/>
        </w:trPr>
        <w:tc>
          <w:tcPr>
            <w:tcW w:type="dxa" w:w="1610"/>
            <w:vAlign w:val="center"/>
            <w:tcW w:w="1610"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6"/>
              </w:rPr>
              <w:t>Threshold Policy</w:t>
            </w:r>
          </w:p>
        </w:tc>
        <w:tc>
          <w:tcPr>
            <w:tcW w:type="dxa" w:w="1106"/>
            <w:vAlign w:val="center"/>
            <w:tcW w:w="1105"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6"/>
              </w:rPr>
              <w:t>True Positives (Caught)</w:t>
            </w:r>
          </w:p>
        </w:tc>
        <w:tc>
          <w:tcPr>
            <w:tcW w:type="dxa" w:w="1137"/>
            <w:vAlign w:val="center"/>
            <w:tcW w:w="1137"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6"/>
              </w:rPr>
              <w:t>False Negatives (Missed)</w:t>
            </w:r>
          </w:p>
        </w:tc>
        <w:tc>
          <w:tcPr>
            <w:tcW w:type="dxa" w:w="1314"/>
            <w:vAlign w:val="center"/>
            <w:tcW w:w="1314"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6"/>
              </w:rPr>
              <w:t>False Positives (False Alarms)</w:t>
            </w:r>
          </w:p>
        </w:tc>
        <w:tc>
          <w:tcPr>
            <w:tcW w:type="dxa" w:w="685"/>
            <w:vAlign w:val="center"/>
            <w:tcW w:w="684"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6"/>
              </w:rPr>
              <w:t>Precision</w:t>
            </w:r>
          </w:p>
        </w:tc>
        <w:tc>
          <w:tcPr>
            <w:tcW w:type="dxa" w:w="874"/>
            <w:vAlign w:val="center"/>
            <w:tcW w:w="873"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6"/>
              </w:rPr>
              <w:t>Detractor Recall</w:t>
            </w:r>
          </w:p>
        </w:tc>
        <w:tc>
          <w:tcPr>
            <w:tcW w:type="dxa" w:w="648"/>
            <w:vAlign w:val="center"/>
            <w:tcW w:w="647"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6"/>
              </w:rPr>
              <w:t>F1 Score</w:t>
            </w:r>
          </w:p>
        </w:tc>
        <w:tc>
          <w:tcPr>
            <w:tcW w:type="dxa" w:w="977"/>
            <w:vAlign w:val="center"/>
            <w:tcW w:w="976"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6"/>
              </w:rPr>
              <w:t>Total Business Loss</w:t>
            </w:r>
          </w:p>
        </w:tc>
        <w:tc>
          <w:tcPr>
            <w:tcW w:type="dxa" w:w="1686"/>
            <w:vAlign w:val="center"/>
            <w:tcW w:w="1686"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6"/>
              </w:rPr>
              <w:t>Operational Characterization</w:t>
            </w:r>
          </w:p>
        </w:tc>
      </w:tr>
      <w:tr>
        <w:trPr>
          <w:cantSplit/>
        </w:trPr>
        <w:tc>
          <w:tcPr>
            <w:tcW w:type="dxa" w:w="1610"/>
            <w:vAlign w:val="center"/>
            <w:tcW w:w="1610"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No-Alert Policy</w:t>
            </w:r>
          </w:p>
        </w:tc>
        <w:tc>
          <w:tcPr>
            <w:tcW w:type="dxa" w:w="1106"/>
            <w:vAlign w:val="center"/>
            <w:tcW w:w="1105"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0</w:t>
            </w:r>
          </w:p>
        </w:tc>
        <w:tc>
          <w:tcPr>
            <w:tcW w:type="dxa" w:w="1137"/>
            <w:vAlign w:val="center"/>
            <w:tcW w:w="1137"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1,707</w:t>
            </w:r>
          </w:p>
        </w:tc>
        <w:tc>
          <w:tcPr>
            <w:tcW w:type="dxa" w:w="1314"/>
            <w:vAlign w:val="center"/>
            <w:tcW w:w="1314"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0</w:t>
            </w:r>
          </w:p>
        </w:tc>
        <w:tc>
          <w:tcPr>
            <w:tcW w:type="dxa" w:w="685"/>
            <w:vAlign w:val="center"/>
            <w:tcW w:w="684"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0.00\%</w:t>
            </w:r>
          </w:p>
        </w:tc>
        <w:tc>
          <w:tcPr>
            <w:tcW w:type="dxa" w:w="874"/>
            <w:vAlign w:val="center"/>
            <w:tcW w:w="873"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0.00\%</w:t>
            </w:r>
          </w:p>
        </w:tc>
        <w:tc>
          <w:tcPr>
            <w:tcW w:type="dxa" w:w="648"/>
            <w:vAlign w:val="center"/>
            <w:tcW w:w="647"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0.0000</w:t>
            </w:r>
          </w:p>
        </w:tc>
        <w:tc>
          <w:tcPr>
            <w:tcW w:type="dxa" w:w="977"/>
            <w:vAlign w:val="center"/>
            <w:tcW w:w="976"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8,535</w:t>
            </w:r>
          </w:p>
        </w:tc>
        <w:tc>
          <w:tcPr>
            <w:tcW w:type="dxa" w:w="1686"/>
            <w:vAlign w:val="center"/>
            <w:tcW w:w="1686"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Complete failure to intervene; maximum churn</w:t>
            </w:r>
          </w:p>
        </w:tc>
      </w:tr>
      <w:tr>
        <w:trPr>
          <w:cantSplit/>
        </w:trPr>
        <w:tc>
          <w:tcPr>
            <w:tcW w:type="dxa" w:w="1610"/>
            <w:vAlign w:val="center"/>
            <w:tcW w:w="1610" w:type="dxa"/>
            <w:tcMar>
              <w:top w:w="60" w:type="dxa"/>
              <w:bottom w:w="60" w:type="dxa"/>
              <w:left w:w="80" w:type="dxa"/>
              <w:right w:w="80" w:type="dxa"/>
            </w:tcMar>
          </w:tcPr>
          <w:p>
            <w:pPr>
              <w:spacing w:before="0" w:after="0" w:line="252" w:lineRule="auto"/>
              <w:jc w:val="left"/>
            </w:pPr>
            <w:r>
              <w:rPr>
                <w:rFonts w:ascii="Times New Roman" w:hAnsi="Times New Roman"/>
                <w:b/>
                <w:sz w:val="16"/>
              </w:rPr>
              <w:t>Default Policy (τ = 0.50)</w:t>
            </w:r>
          </w:p>
        </w:tc>
        <w:tc>
          <w:tcPr>
            <w:tcW w:type="dxa" w:w="1106"/>
            <w:vAlign w:val="center"/>
            <w:tcW w:w="1105" w:type="dxa"/>
            <w:tcMar>
              <w:top w:w="60" w:type="dxa"/>
              <w:bottom w:w="60" w:type="dxa"/>
              <w:left w:w="80" w:type="dxa"/>
              <w:right w:w="80" w:type="dxa"/>
            </w:tcMar>
          </w:tcPr>
          <w:p>
            <w:pPr>
              <w:spacing w:before="0" w:after="0" w:line="252" w:lineRule="auto"/>
              <w:jc w:val="left"/>
            </w:pPr>
            <w:r>
              <w:rPr>
                <w:rFonts w:ascii="Times New Roman" w:hAnsi="Times New Roman"/>
                <w:sz w:val="16"/>
              </w:rPr>
              <w:t>1</w:t>
            </w:r>
          </w:p>
        </w:tc>
        <w:tc>
          <w:tcPr>
            <w:tcW w:type="dxa" w:w="1137"/>
            <w:vAlign w:val="center"/>
            <w:tcW w:w="1137" w:type="dxa"/>
            <w:tcMar>
              <w:top w:w="60" w:type="dxa"/>
              <w:bottom w:w="60" w:type="dxa"/>
              <w:left w:w="80" w:type="dxa"/>
              <w:right w:w="80" w:type="dxa"/>
            </w:tcMar>
          </w:tcPr>
          <w:p>
            <w:pPr>
              <w:spacing w:before="0" w:after="0" w:line="252" w:lineRule="auto"/>
              <w:jc w:val="left"/>
            </w:pPr>
            <w:r>
              <w:rPr>
                <w:rFonts w:ascii="Times New Roman" w:hAnsi="Times New Roman"/>
                <w:sz w:val="16"/>
              </w:rPr>
              <w:t>1,706</w:t>
            </w:r>
          </w:p>
        </w:tc>
        <w:tc>
          <w:tcPr>
            <w:tcW w:type="dxa" w:w="1314"/>
            <w:vAlign w:val="center"/>
            <w:tcW w:w="1314" w:type="dxa"/>
            <w:tcMar>
              <w:top w:w="60" w:type="dxa"/>
              <w:bottom w:w="60" w:type="dxa"/>
              <w:left w:w="80" w:type="dxa"/>
              <w:right w:w="80" w:type="dxa"/>
            </w:tcMar>
          </w:tcPr>
          <w:p>
            <w:pPr>
              <w:spacing w:before="0" w:after="0" w:line="252" w:lineRule="auto"/>
              <w:jc w:val="left"/>
            </w:pPr>
            <w:r>
              <w:rPr>
                <w:rFonts w:ascii="Times New Roman" w:hAnsi="Times New Roman"/>
                <w:sz w:val="16"/>
              </w:rPr>
              <w:t>2</w:t>
            </w:r>
          </w:p>
        </w:tc>
        <w:tc>
          <w:tcPr>
            <w:tcW w:type="dxa" w:w="685"/>
            <w:vAlign w:val="center"/>
            <w:tcW w:w="684" w:type="dxa"/>
            <w:tcMar>
              <w:top w:w="60" w:type="dxa"/>
              <w:bottom w:w="60" w:type="dxa"/>
              <w:left w:w="80" w:type="dxa"/>
              <w:right w:w="80" w:type="dxa"/>
            </w:tcMar>
          </w:tcPr>
          <w:p>
            <w:pPr>
              <w:spacing w:before="0" w:after="0" w:line="252" w:lineRule="auto"/>
              <w:jc w:val="center"/>
            </w:pPr>
            <w:r>
              <w:rPr>
                <w:rFonts w:ascii="Times New Roman" w:hAnsi="Times New Roman"/>
                <w:b/>
                <w:sz w:val="16"/>
              </w:rPr>
              <w:t>33.33\%</w:t>
            </w:r>
          </w:p>
        </w:tc>
        <w:tc>
          <w:tcPr>
            <w:tcW w:type="dxa" w:w="874"/>
            <w:vAlign w:val="center"/>
            <w:tcW w:w="873" w:type="dxa"/>
            <w:tcMar>
              <w:top w:w="60" w:type="dxa"/>
              <w:bottom w:w="60" w:type="dxa"/>
              <w:left w:w="80" w:type="dxa"/>
              <w:right w:w="80" w:type="dxa"/>
            </w:tcMar>
          </w:tcPr>
          <w:p>
            <w:pPr>
              <w:spacing w:before="0" w:after="0" w:line="252" w:lineRule="auto"/>
              <w:jc w:val="center"/>
            </w:pPr>
            <w:r>
              <w:rPr>
                <w:rFonts w:ascii="Cambria Math" w:hAnsi="Cambria Math"/>
                <w:sz w:val="16"/>
              </w:rPr>
              <w:t>0.06\%</w:t>
            </w:r>
          </w:p>
        </w:tc>
        <w:tc>
          <w:tcPr>
            <w:tcW w:type="dxa" w:w="648"/>
            <w:vAlign w:val="center"/>
            <w:tcW w:w="647" w:type="dxa"/>
            <w:tcMar>
              <w:top w:w="60" w:type="dxa"/>
              <w:bottom w:w="60" w:type="dxa"/>
              <w:left w:w="80" w:type="dxa"/>
              <w:right w:w="80" w:type="dxa"/>
            </w:tcMar>
          </w:tcPr>
          <w:p>
            <w:pPr>
              <w:spacing w:before="0" w:after="0" w:line="252" w:lineRule="auto"/>
              <w:jc w:val="center"/>
            </w:pPr>
            <w:r>
              <w:rPr>
                <w:rFonts w:ascii="Cambria Math" w:hAnsi="Cambria Math"/>
                <w:sz w:val="16"/>
              </w:rPr>
              <w:t>0.0012</w:t>
            </w:r>
          </w:p>
        </w:tc>
        <w:tc>
          <w:tcPr>
            <w:tcW w:type="dxa" w:w="977"/>
            <w:vAlign w:val="center"/>
            <w:tcW w:w="976" w:type="dxa"/>
            <w:tcMar>
              <w:top w:w="60" w:type="dxa"/>
              <w:bottom w:w="60" w:type="dxa"/>
              <w:left w:w="80" w:type="dxa"/>
              <w:right w:w="80" w:type="dxa"/>
            </w:tcMar>
          </w:tcPr>
          <w:p>
            <w:pPr>
              <w:spacing w:before="0" w:after="0" w:line="252" w:lineRule="auto"/>
              <w:jc w:val="left"/>
            </w:pPr>
            <w:r>
              <w:rPr>
                <w:rFonts w:ascii="Times New Roman" w:hAnsi="Times New Roman"/>
                <w:sz w:val="16"/>
              </w:rPr>
              <w:t>8,532</w:t>
            </w:r>
          </w:p>
        </w:tc>
        <w:tc>
          <w:tcPr>
            <w:tcW w:type="dxa" w:w="1686"/>
            <w:vAlign w:val="center"/>
            <w:tcW w:w="1686" w:type="dxa"/>
            <w:tcMar>
              <w:top w:w="60" w:type="dxa"/>
              <w:bottom w:w="60" w:type="dxa"/>
              <w:left w:w="80" w:type="dxa"/>
              <w:right w:w="80" w:type="dxa"/>
            </w:tcMar>
          </w:tcPr>
          <w:p>
            <w:pPr>
              <w:spacing w:before="0" w:after="0" w:line="252" w:lineRule="auto"/>
              <w:jc w:val="center"/>
            </w:pPr>
            <w:r>
              <w:rPr>
                <w:rFonts w:ascii="Times New Roman" w:hAnsi="Times New Roman"/>
                <w:sz w:val="16"/>
              </w:rPr>
              <w:t>Severe under-detection (</w:t>
            </w:r>
            <w:r>
              <w:rPr>
                <w:rFonts w:ascii="Cambria Math" w:hAnsi="Cambria Math"/>
                <w:sz w:val="16"/>
              </w:rPr>
              <w:t>99.9\%</w:t>
            </w:r>
            <w:r>
              <w:rPr>
                <w:rFonts w:ascii="Times New Roman" w:hAnsi="Times New Roman"/>
                <w:sz w:val="16"/>
              </w:rPr>
              <w:t xml:space="preserve"> missed)</w:t>
            </w:r>
          </w:p>
        </w:tc>
      </w:tr>
      <w:tr>
        <w:trPr>
          <w:cantSplit/>
        </w:trPr>
        <w:tc>
          <w:tcPr>
            <w:tcW w:type="dxa" w:w="1610"/>
            <w:vAlign w:val="center"/>
            <w:tcW w:w="1610"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i/>
                <w:sz w:val="16"/>
              </w:rPr>
            </w:r>
            <w:r>
              <w:rPr>
                <w:rFonts w:ascii="Times New Roman" w:hAnsi="Times New Roman"/>
                <w:i/>
                <w:sz w:val="16"/>
              </w:rPr>
              <w:t>Optimal Calibrated Policy (τ^</w:t>
            </w:r>
            <w:r>
              <w:rPr>
                <w:rFonts w:ascii="Times New Roman" w:hAnsi="Times New Roman"/>
                <w:sz w:val="16"/>
              </w:rPr>
              <w:t xml:space="preserve"> = 0.17)**</w:t>
            </w:r>
          </w:p>
        </w:tc>
        <w:tc>
          <w:tcPr>
            <w:tcW w:type="dxa" w:w="1106"/>
            <w:vAlign w:val="center"/>
            <w:tcW w:w="1105"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456</w:t>
            </w:r>
          </w:p>
        </w:tc>
        <w:tc>
          <w:tcPr>
            <w:tcW w:type="dxa" w:w="1137"/>
            <w:vAlign w:val="center"/>
            <w:tcW w:w="1137"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1,251</w:t>
            </w:r>
          </w:p>
        </w:tc>
        <w:tc>
          <w:tcPr>
            <w:tcW w:type="dxa" w:w="1314"/>
            <w:vAlign w:val="center"/>
            <w:tcW w:w="1314"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1,859</w:t>
            </w:r>
          </w:p>
        </w:tc>
        <w:tc>
          <w:tcPr>
            <w:tcW w:type="dxa" w:w="685"/>
            <w:vAlign w:val="center"/>
            <w:tcW w:w="684"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b/>
                <w:sz w:val="16"/>
              </w:rPr>
              <w:t>19.70\%</w:t>
            </w:r>
          </w:p>
        </w:tc>
        <w:tc>
          <w:tcPr>
            <w:tcW w:type="dxa" w:w="874"/>
            <w:vAlign w:val="center"/>
            <w:tcW w:w="873"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b/>
                <w:sz w:val="16"/>
              </w:rPr>
              <w:t>26.71\%</w:t>
            </w:r>
          </w:p>
        </w:tc>
        <w:tc>
          <w:tcPr>
            <w:tcW w:type="dxa" w:w="648"/>
            <w:vAlign w:val="center"/>
            <w:tcW w:w="647"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b/>
                <w:sz w:val="16"/>
              </w:rPr>
              <w:t>0.2268</w:t>
            </w:r>
          </w:p>
        </w:tc>
        <w:tc>
          <w:tcPr>
            <w:tcW w:type="dxa" w:w="977"/>
            <w:vAlign w:val="center"/>
            <w:tcW w:w="976"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8,114 (OPTIMAL)</w:t>
            </w:r>
          </w:p>
        </w:tc>
        <w:tc>
          <w:tcPr>
            <w:tcW w:type="dxa" w:w="1686"/>
            <w:vAlign w:val="center"/>
            <w:tcW w:w="1686"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456× detection surge; global cost trough</w:t>
            </w:r>
          </w:p>
        </w:tc>
      </w:tr>
    </w:tbl>
    <w:p>
      <w:pPr>
        <w:spacing w:before="40" w:after="40" w:line="40" w:lineRule="exact"/>
      </w:pPr>
    </w:p>
    <w:p>
      <w:pPr>
        <w:pStyle w:val="Heading2"/>
      </w:pPr>
      <w:r>
        <w:rPr>
          <w:rFonts w:ascii="Times New Roman" w:hAnsi="Times New Roman"/>
          <w:b/>
          <w:sz w:val="25"/>
        </w:rPr>
        <w:t>Figure E.1: Skewness &amp; Target Outlier Diagnostics (Phase 1)</w:t>
      </w:r>
    </w:p>
    <w:p>
      <w:pPr>
        <w:keepNext/>
        <w:spacing w:before="160" w:after="60"/>
        <w:jc w:val="center"/>
      </w:pPr>
      <w:r>
        <w:drawing>
          <wp:inline xmlns:a="http://schemas.openxmlformats.org/drawingml/2006/main" xmlns:pic="http://schemas.openxmlformats.org/drawingml/2006/picture">
            <wp:extent cx="6217920" cy="7106194"/>
            <wp:docPr id="7" name="Picture 7" descr="Boxplots Skew"/>
            <wp:cNvGraphicFramePr>
              <a:graphicFrameLocks noChangeAspect="1"/>
            </wp:cNvGraphicFramePr>
            <a:graphic>
              <a:graphicData uri="http://schemas.openxmlformats.org/drawingml/2006/picture">
                <pic:pic>
                  <pic:nvPicPr>
                    <pic:cNvPr id="0" name="boxplots_skew.png"/>
                    <pic:cNvPicPr/>
                  </pic:nvPicPr>
                  <pic:blipFill>
                    <a:blip r:embed="rId19"/>
                    <a:stretch>
                      <a:fillRect/>
                    </a:stretch>
                  </pic:blipFill>
                  <pic:spPr>
                    <a:xfrm>
                      <a:off x="0" y="0"/>
                      <a:ext cx="6217920" cy="7106194"/>
                    </a:xfrm>
                    <a:prstGeom prst="rect"/>
                  </pic:spPr>
                </pic:pic>
              </a:graphicData>
            </a:graphic>
          </wp:inline>
        </w:drawing>
      </w:r>
    </w:p>
    <w:p>
      <w:pPr>
        <w:pStyle w:val="Caption"/>
        <w:keepLines/>
        <w:spacing w:before="40" w:after="160"/>
        <w:jc w:val="left"/>
      </w:pPr>
      <w:r>
        <w:rPr>
          <w:rFonts w:ascii="Times New Roman" w:hAnsi="Times New Roman"/>
          <w:b/>
          <w:sz w:val="19"/>
        </w:rPr>
        <w:t xml:space="preserve">Figure E.1: </w:t>
      </w:r>
      <w:r>
        <w:rPr>
          <w:rFonts w:ascii="Times New Roman" w:hAnsi="Times New Roman"/>
          <w:i/>
          <w:sz w:val="19"/>
        </w:rPr>
        <w:t>Boxplot distribution diagnostics confirming severe positive skewness and long delivery delay tails across fulfillment routes.</w:t>
      </w:r>
    </w:p>
    <w:p>
      <w:pPr>
        <w:pStyle w:val="Heading2"/>
      </w:pPr>
      <w:r>
        <w:rPr>
          <w:rFonts w:ascii="Times New Roman" w:hAnsi="Times New Roman"/>
          <w:b/>
          <w:sz w:val="25"/>
        </w:rPr>
        <w:t>Figure E.2: Four-Panel Asymmetric Cost Curve Optimization</w:t>
      </w:r>
    </w:p>
    <w:p>
      <w:pPr>
        <w:keepNext/>
        <w:spacing w:before="160" w:after="60"/>
        <w:jc w:val="center"/>
      </w:pPr>
      <w:r>
        <w:drawing>
          <wp:inline xmlns:a="http://schemas.openxmlformats.org/drawingml/2006/main" xmlns:pic="http://schemas.openxmlformats.org/drawingml/2006/picture">
            <wp:extent cx="6217920" cy="4559808"/>
            <wp:docPr id="8" name="Picture 8" descr="4-Panel Threshold Optimization"/>
            <wp:cNvGraphicFramePr>
              <a:graphicFrameLocks noChangeAspect="1"/>
            </wp:cNvGraphicFramePr>
            <a:graphic>
              <a:graphicData uri="http://schemas.openxmlformats.org/drawingml/2006/picture">
                <pic:pic>
                  <pic:nvPicPr>
                    <pic:cNvPr id="0" name="threshold_optimization_4panel.png"/>
                    <pic:cNvPicPr/>
                  </pic:nvPicPr>
                  <pic:blipFill>
                    <a:blip r:embed="rId20"/>
                    <a:stretch>
                      <a:fillRect/>
                    </a:stretch>
                  </pic:blipFill>
                  <pic:spPr>
                    <a:xfrm>
                      <a:off x="0" y="0"/>
                      <a:ext cx="6217920" cy="4559808"/>
                    </a:xfrm>
                    <a:prstGeom prst="rect"/>
                  </pic:spPr>
                </pic:pic>
              </a:graphicData>
            </a:graphic>
          </wp:inline>
        </w:drawing>
      </w:r>
    </w:p>
    <w:p>
      <w:pPr>
        <w:pStyle w:val="Caption"/>
        <w:keepLines/>
        <w:spacing w:before="40" w:after="160"/>
        <w:jc w:val="left"/>
      </w:pPr>
      <w:r>
        <w:rPr>
          <w:rFonts w:ascii="Times New Roman" w:hAnsi="Times New Roman"/>
          <w:b/>
          <w:sz w:val="19"/>
        </w:rPr>
        <w:t xml:space="preserve">Figure E.2: </w:t>
      </w:r>
      <w:r>
        <w:rPr>
          <w:rFonts w:ascii="Times New Roman" w:hAnsi="Times New Roman"/>
          <w:i/>
          <w:sz w:val="19"/>
        </w:rPr>
        <w:t xml:space="preserve">Comprehensive threshold optimization panels mapping confusion matrix counts, F1 score, and the convex asymmetric business cost curve reaching minimum loss at </w:t>
      </w:r>
      <w:r>
        <w:rPr>
          <w:rFonts w:ascii="Cambria Math" w:hAnsi="Cambria Math"/>
          <w:i/>
          <w:sz w:val="19"/>
        </w:rPr>
        <w:t>τ* = 0.17</w:t>
      </w:r>
      <w:r>
        <w:rPr>
          <w:rFonts w:ascii="Times New Roman" w:hAnsi="Times New Roman"/>
          <w:i/>
          <w:sz w:val="19"/>
        </w:rPr>
        <w:t>.</w:t>
      </w:r>
    </w:p>
    <w:p>
      <w:pPr>
        <w:pStyle w:val="Heading2"/>
      </w:pPr>
      <w:r>
        <w:rPr>
          <w:rFonts w:ascii="Times New Roman" w:hAnsi="Times New Roman"/>
          <w:b/>
          <w:sz w:val="25"/>
        </w:rPr>
        <w:t>Figure E.3: Probability Calibration &amp; Reliability Curves (Phase 5A)</w:t>
      </w:r>
    </w:p>
    <w:p>
      <w:pPr>
        <w:keepNext/>
        <w:spacing w:before="160" w:after="60"/>
        <w:jc w:val="center"/>
      </w:pPr>
      <w:r>
        <w:drawing>
          <wp:inline xmlns:a="http://schemas.openxmlformats.org/drawingml/2006/main" xmlns:pic="http://schemas.openxmlformats.org/drawingml/2006/picture">
            <wp:extent cx="6217920" cy="2442754"/>
            <wp:docPr id="9" name="Picture 9" descr="Calibration Curves"/>
            <wp:cNvGraphicFramePr>
              <a:graphicFrameLocks noChangeAspect="1"/>
            </wp:cNvGraphicFramePr>
            <a:graphic>
              <a:graphicData uri="http://schemas.openxmlformats.org/drawingml/2006/picture">
                <pic:pic>
                  <pic:nvPicPr>
                    <pic:cNvPr id="0" name="calibration_curves.png"/>
                    <pic:cNvPicPr/>
                  </pic:nvPicPr>
                  <pic:blipFill>
                    <a:blip r:embed="rId21"/>
                    <a:stretch>
                      <a:fillRect/>
                    </a:stretch>
                  </pic:blipFill>
                  <pic:spPr>
                    <a:xfrm>
                      <a:off x="0" y="0"/>
                      <a:ext cx="6217920" cy="2442754"/>
                    </a:xfrm>
                    <a:prstGeom prst="rect"/>
                  </pic:spPr>
                </pic:pic>
              </a:graphicData>
            </a:graphic>
          </wp:inline>
        </w:drawing>
      </w:r>
    </w:p>
    <w:p>
      <w:pPr>
        <w:pStyle w:val="Caption"/>
        <w:keepLines/>
        <w:spacing w:before="40" w:after="160"/>
        <w:jc w:val="left"/>
      </w:pPr>
      <w:r>
        <w:rPr>
          <w:rFonts w:ascii="Times New Roman" w:hAnsi="Times New Roman"/>
          <w:b/>
          <w:sz w:val="19"/>
        </w:rPr>
        <w:t xml:space="preserve">Figure E.3: </w:t>
      </w:r>
      <w:r>
        <w:rPr>
          <w:rFonts w:ascii="Times New Roman" w:hAnsi="Times New Roman"/>
          <w:i/>
          <w:sz w:val="19"/>
        </w:rPr>
        <w:t xml:space="preserve">Reliability calibration diagram verifying that predicted detractor probabilities align closely with empirical observed event rates (Brier score </w:t>
      </w:r>
      <w:r>
        <w:rPr>
          <w:rFonts w:ascii="Cambria Math" w:hAnsi="Cambria Math"/>
          <w:i/>
          <w:sz w:val="19"/>
        </w:rPr>
        <w:t>= 0.0949</w:t>
      </w:r>
      <w:r>
        <w:rPr>
          <w:rFonts w:ascii="Times New Roman" w:hAnsi="Times New Roman"/>
          <w:i/>
          <w:sz w:val="19"/>
        </w:rPr>
        <w:t>).</w:t>
      </w:r>
    </w:p>
    <w:p>
      <w:pPr>
        <w:pStyle w:val="Heading2"/>
      </w:pPr>
      <w:r>
        <w:rPr>
          <w:rFonts w:ascii="Times New Roman" w:hAnsi="Times New Roman"/>
          <w:b/>
          <w:sz w:val="25"/>
        </w:rPr>
        <w:t>Figure E.4: Unified Benchmark Generalization Matrix</w:t>
      </w:r>
    </w:p>
    <w:p>
      <w:pPr>
        <w:keepNext/>
        <w:spacing w:before="160" w:after="60"/>
        <w:jc w:val="center"/>
      </w:pPr>
      <w:r>
        <w:drawing>
          <wp:inline xmlns:a="http://schemas.openxmlformats.org/drawingml/2006/main" xmlns:pic="http://schemas.openxmlformats.org/drawingml/2006/picture">
            <wp:extent cx="6217920" cy="2331720"/>
            <wp:docPr id="10" name="Picture 10" descr="Unified Benchmark"/>
            <wp:cNvGraphicFramePr>
              <a:graphicFrameLocks noChangeAspect="1"/>
            </wp:cNvGraphicFramePr>
            <a:graphic>
              <a:graphicData uri="http://schemas.openxmlformats.org/drawingml/2006/picture">
                <pic:pic>
                  <pic:nvPicPr>
                    <pic:cNvPr id="0" name="unified_benchmark_table.png"/>
                    <pic:cNvPicPr/>
                  </pic:nvPicPr>
                  <pic:blipFill>
                    <a:blip r:embed="rId22"/>
                    <a:stretch>
                      <a:fillRect/>
                    </a:stretch>
                  </pic:blipFill>
                  <pic:spPr>
                    <a:xfrm>
                      <a:off x="0" y="0"/>
                      <a:ext cx="6217920" cy="2331720"/>
                    </a:xfrm>
                    <a:prstGeom prst="rect"/>
                  </pic:spPr>
                </pic:pic>
              </a:graphicData>
            </a:graphic>
          </wp:inline>
        </w:drawing>
      </w:r>
    </w:p>
    <w:p>
      <w:pPr>
        <w:pStyle w:val="Caption"/>
        <w:keepLines/>
        <w:spacing w:before="40" w:after="160"/>
        <w:jc w:val="left"/>
      </w:pPr>
      <w:r>
        <w:rPr>
          <w:rFonts w:ascii="Times New Roman" w:hAnsi="Times New Roman"/>
          <w:b/>
          <w:sz w:val="19"/>
        </w:rPr>
        <w:t xml:space="preserve">Figure E.4: </w:t>
      </w:r>
      <w:r>
        <w:rPr>
          <w:rFonts w:ascii="Times New Roman" w:hAnsi="Times New Roman"/>
          <w:i/>
          <w:sz w:val="19"/>
        </w:rPr>
        <w:t>Visual benchmark table summarizing train resubstitution, 5-fold cross-validation, and out-of-sample terminal holdout across all models.</w:t>
      </w:r>
    </w:p>
    <w:p>
      <w:pPr>
        <w:pStyle w:val="Heading2"/>
      </w:pPr>
      <w:r>
        <w:rPr>
          <w:rFonts w:ascii="Times New Roman" w:hAnsi="Times New Roman"/>
          <w:b/>
          <w:sz w:val="25"/>
        </w:rPr>
        <w:t>Figure E.5A: Cycle 1 Baseline Lead Time Regression 4-Panel Holdout Diagnostics (9-Feature Baseline)</w:t>
      </w:r>
    </w:p>
    <w:p>
      <w:pPr>
        <w:keepNext/>
        <w:spacing w:before="160" w:after="60"/>
        <w:jc w:val="center"/>
      </w:pPr>
      <w:r>
        <w:drawing>
          <wp:inline xmlns:a="http://schemas.openxmlformats.org/drawingml/2006/main" xmlns:pic="http://schemas.openxmlformats.org/drawingml/2006/picture">
            <wp:extent cx="6217920" cy="4783015"/>
            <wp:docPr id="11" name="Picture 11" descr="Cycle 1 Regression Diagnostics"/>
            <wp:cNvGraphicFramePr>
              <a:graphicFrameLocks noChangeAspect="1"/>
            </wp:cNvGraphicFramePr>
            <a:graphic>
              <a:graphicData uri="http://schemas.openxmlformats.org/drawingml/2006/picture">
                <pic:pic>
                  <pic:nvPicPr>
                    <pic:cNvPr id="0" name="regression_diagnostics_cycle1.png"/>
                    <pic:cNvPicPr/>
                  </pic:nvPicPr>
                  <pic:blipFill>
                    <a:blip r:embed="rId23"/>
                    <a:stretch>
                      <a:fillRect/>
                    </a:stretch>
                  </pic:blipFill>
                  <pic:spPr>
                    <a:xfrm>
                      <a:off x="0" y="0"/>
                      <a:ext cx="6217920" cy="4783015"/>
                    </a:xfrm>
                    <a:prstGeom prst="rect"/>
                  </pic:spPr>
                </pic:pic>
              </a:graphicData>
            </a:graphic>
          </wp:inline>
        </w:drawing>
      </w:r>
    </w:p>
    <w:p>
      <w:pPr>
        <w:pStyle w:val="Caption"/>
        <w:keepLines/>
        <w:spacing w:before="40" w:after="160"/>
        <w:jc w:val="left"/>
      </w:pPr>
      <w:r>
        <w:rPr>
          <w:rFonts w:ascii="Times New Roman" w:hAnsi="Times New Roman"/>
          <w:b/>
          <w:sz w:val="19"/>
        </w:rPr>
        <w:t xml:space="preserve">Figure E.5A: </w:t>
      </w:r>
      <w:r>
        <w:rPr>
          <w:rFonts w:ascii="Times New Roman" w:hAnsi="Times New Roman"/>
          <w:i/>
          <w:sz w:val="19"/>
        </w:rPr>
        <w:t>Four-panel diagnostic breakdown for Cycle 1 9-feature baseline holdout predictions: (1) Observed vs. Predicted showing discrete horizontal stratification bands and systematic truncation of long lead times, (2) Residual scatter showing steep downward-sloping linear bias, (3) Residual error distribution showing negative mean offset, (4) Top states MAE comparison showing severe spatial error inflation in distant transit routes (Global MAE = 4.48d).</w:t>
      </w:r>
    </w:p>
    <w:p>
      <w:pPr>
        <w:pStyle w:val="Heading2"/>
      </w:pPr>
      <w:r>
        <w:rPr>
          <w:rFonts w:ascii="Times New Roman" w:hAnsi="Times New Roman"/>
          <w:b/>
          <w:sz w:val="25"/>
        </w:rPr>
        <w:t>Figure E.5B: Cycle 2 Champion Lead Time Regression 4-Panel Holdout Diagnostics (11-Feature RF Champion + Target Log1p)</w:t>
      </w:r>
    </w:p>
    <w:p>
      <w:pPr>
        <w:keepNext/>
        <w:spacing w:before="160" w:after="60"/>
        <w:jc w:val="center"/>
      </w:pPr>
      <w:r>
        <w:drawing>
          <wp:inline xmlns:a="http://schemas.openxmlformats.org/drawingml/2006/main" xmlns:pic="http://schemas.openxmlformats.org/drawingml/2006/picture">
            <wp:extent cx="6217920" cy="4783015"/>
            <wp:docPr id="12" name="Picture 12" descr="Cycle 2 Regression Diagnostics"/>
            <wp:cNvGraphicFramePr>
              <a:graphicFrameLocks noChangeAspect="1"/>
            </wp:cNvGraphicFramePr>
            <a:graphic>
              <a:graphicData uri="http://schemas.openxmlformats.org/drawingml/2006/picture">
                <pic:pic>
                  <pic:nvPicPr>
                    <pic:cNvPr id="0" name="regression_diagnostics.png"/>
                    <pic:cNvPicPr/>
                  </pic:nvPicPr>
                  <pic:blipFill>
                    <a:blip r:embed="rId24"/>
                    <a:stretch>
                      <a:fillRect/>
                    </a:stretch>
                  </pic:blipFill>
                  <pic:spPr>
                    <a:xfrm>
                      <a:off x="0" y="0"/>
                      <a:ext cx="6217920" cy="4783015"/>
                    </a:xfrm>
                    <a:prstGeom prst="rect"/>
                  </pic:spPr>
                </pic:pic>
              </a:graphicData>
            </a:graphic>
          </wp:inline>
        </w:drawing>
      </w:r>
    </w:p>
    <w:p>
      <w:pPr>
        <w:pStyle w:val="Caption"/>
        <w:keepLines/>
        <w:spacing w:before="40" w:after="160"/>
        <w:jc w:val="left"/>
      </w:pPr>
      <w:r>
        <w:rPr>
          <w:rFonts w:ascii="Times New Roman" w:hAnsi="Times New Roman"/>
          <w:b/>
          <w:sz w:val="19"/>
        </w:rPr>
        <w:t xml:space="preserve">Figure E.5B: </w:t>
      </w:r>
      <w:r>
        <w:rPr>
          <w:rFonts w:ascii="Times New Roman" w:hAnsi="Times New Roman"/>
          <w:i/>
          <w:sz w:val="19"/>
        </w:rPr>
        <w:t>Four-panel diagnostic breakdown for Cycle 2 11-feature champion holdout predictions: (1) Observed vs. Predicted tracking the 1:1 diagonal much tighter across the continuous range, (2) Residual scatter demonstrating homoscedastic dispersion centered tightly around zero, (3) Residual error distribution centered on zero error (mean error shrunken to -1.14 days), (4) Top states MAE comparison demonstrating massive error compression across all geographical routes (SP drops to 2.81d, MG to 3.71d, PR to 3.65d, BA drops to 5.84d; Global MAE shrunken by 25.5% to 3.72d).</w:t>
      </w:r>
    </w:p>
    <w:p>
      <w:pPr>
        <w:pStyle w:val="Heading2"/>
      </w:pPr>
      <w:r>
        <w:rPr>
          <w:rFonts w:ascii="Times New Roman" w:hAnsi="Times New Roman"/>
          <w:b/>
          <w:sz w:val="25"/>
        </w:rPr>
        <w:t>Figure E.6: Detractor Classification 4-Panel Holdout Diagnostics</w:t>
      </w:r>
    </w:p>
    <w:p>
      <w:pPr>
        <w:keepNext/>
        <w:spacing w:before="160" w:after="60"/>
        <w:jc w:val="center"/>
      </w:pPr>
      <w:r>
        <w:drawing>
          <wp:inline xmlns:a="http://schemas.openxmlformats.org/drawingml/2006/main" xmlns:pic="http://schemas.openxmlformats.org/drawingml/2006/picture">
            <wp:extent cx="6217920" cy="4783015"/>
            <wp:docPr id="13" name="Picture 13" descr="Classification Diagnostics"/>
            <wp:cNvGraphicFramePr>
              <a:graphicFrameLocks noChangeAspect="1"/>
            </wp:cNvGraphicFramePr>
            <a:graphic>
              <a:graphicData uri="http://schemas.openxmlformats.org/drawingml/2006/picture">
                <pic:pic>
                  <pic:nvPicPr>
                    <pic:cNvPr id="0" name="classification_diagnostics.png"/>
                    <pic:cNvPicPr/>
                  </pic:nvPicPr>
                  <pic:blipFill>
                    <a:blip r:embed="rId25"/>
                    <a:stretch>
                      <a:fillRect/>
                    </a:stretch>
                  </pic:blipFill>
                  <pic:spPr>
                    <a:xfrm>
                      <a:off x="0" y="0"/>
                      <a:ext cx="6217920" cy="4783015"/>
                    </a:xfrm>
                    <a:prstGeom prst="rect"/>
                  </pic:spPr>
                </pic:pic>
              </a:graphicData>
            </a:graphic>
          </wp:inline>
        </w:drawing>
      </w:r>
    </w:p>
    <w:p>
      <w:pPr>
        <w:pStyle w:val="Caption"/>
        <w:keepLines/>
        <w:spacing w:before="40" w:after="160"/>
        <w:jc w:val="left"/>
      </w:pPr>
      <w:r>
        <w:rPr>
          <w:rFonts w:ascii="Times New Roman" w:hAnsi="Times New Roman"/>
          <w:b/>
          <w:sz w:val="19"/>
        </w:rPr>
        <w:t xml:space="preserve">Figure E.6: </w:t>
      </w:r>
      <w:r>
        <w:rPr>
          <w:rFonts w:ascii="Times New Roman" w:hAnsi="Times New Roman"/>
          <w:i/>
          <w:sz w:val="19"/>
        </w:rPr>
        <w:t>Four-panel diagnostic breakdown for classification holdout: (1) PR Curve dominating base rate, (2) ROC Curve, (3) Reliability diagram, (4) Cost vs. Threshold curve.</w:t>
      </w:r>
    </w:p>
    <w:p>
      <w:pPr>
        <w:pStyle w:val="Heading2"/>
      </w:pPr>
      <w:r>
        <w:rPr>
          <w:rFonts w:ascii="Times New Roman" w:hAnsi="Times New Roman"/>
          <w:b/>
          <w:sz w:val="25"/>
        </w:rPr>
        <w:t>Figure E.7: Cook's Distance Outlier Leverage Diagnostics</w:t>
      </w:r>
    </w:p>
    <w:p>
      <w:pPr>
        <w:keepNext/>
        <w:spacing w:before="160" w:after="60"/>
        <w:jc w:val="center"/>
      </w:pPr>
      <w:r>
        <w:drawing>
          <wp:inline xmlns:a="http://schemas.openxmlformats.org/drawingml/2006/main" xmlns:pic="http://schemas.openxmlformats.org/drawingml/2006/picture">
            <wp:extent cx="6217920" cy="3730752"/>
            <wp:docPr id="14" name="Picture 14" descr="Cooks Distance"/>
            <wp:cNvGraphicFramePr>
              <a:graphicFrameLocks noChangeAspect="1"/>
            </wp:cNvGraphicFramePr>
            <a:graphic>
              <a:graphicData uri="http://schemas.openxmlformats.org/drawingml/2006/picture">
                <pic:pic>
                  <pic:nvPicPr>
                    <pic:cNvPr id="0" name="cooks_distance.png"/>
                    <pic:cNvPicPr/>
                  </pic:nvPicPr>
                  <pic:blipFill>
                    <a:blip r:embed="rId26"/>
                    <a:stretch>
                      <a:fillRect/>
                    </a:stretch>
                  </pic:blipFill>
                  <pic:spPr>
                    <a:xfrm>
                      <a:off x="0" y="0"/>
                      <a:ext cx="6217920" cy="3730752"/>
                    </a:xfrm>
                    <a:prstGeom prst="rect"/>
                  </pic:spPr>
                </pic:pic>
              </a:graphicData>
            </a:graphic>
          </wp:inline>
        </w:drawing>
      </w:r>
    </w:p>
    <w:p>
      <w:pPr>
        <w:pStyle w:val="Caption"/>
        <w:keepLines/>
        <w:spacing w:before="40" w:after="160"/>
        <w:jc w:val="left"/>
      </w:pPr>
      <w:r>
        <w:rPr>
          <w:rFonts w:ascii="Times New Roman" w:hAnsi="Times New Roman"/>
          <w:b/>
          <w:sz w:val="19"/>
        </w:rPr>
        <w:t xml:space="preserve">Figure E.7: </w:t>
      </w:r>
      <w:r>
        <w:rPr>
          <w:rFonts w:ascii="Times New Roman" w:hAnsi="Times New Roman"/>
          <w:i/>
          <w:sz w:val="19"/>
        </w:rPr>
        <w:t>Cook's distance distribution identifying highly influential observations to justify 60-day upper Winsorization.</w:t>
      </w:r>
    </w:p>
    <w:p>
      <w:pPr>
        <w:pStyle w:val="Heading2"/>
      </w:pPr>
      <w:r>
        <w:rPr>
          <w:rFonts w:ascii="Times New Roman" w:hAnsi="Times New Roman"/>
          <w:b/>
          <w:sz w:val="25"/>
        </w:rPr>
        <w:t>Figure E.8: Delivery Delay Seasonality Drift</w:t>
      </w:r>
    </w:p>
    <w:p>
      <w:pPr>
        <w:keepNext/>
        <w:spacing w:before="160" w:after="60"/>
        <w:jc w:val="center"/>
      </w:pPr>
      <w:r>
        <w:drawing>
          <wp:inline xmlns:a="http://schemas.openxmlformats.org/drawingml/2006/main" xmlns:pic="http://schemas.openxmlformats.org/drawingml/2006/picture">
            <wp:extent cx="6217920" cy="3108960"/>
            <wp:docPr id="15" name="Picture 15" descr="Delay Seasonality"/>
            <wp:cNvGraphicFramePr>
              <a:graphicFrameLocks noChangeAspect="1"/>
            </wp:cNvGraphicFramePr>
            <a:graphic>
              <a:graphicData uri="http://schemas.openxmlformats.org/drawingml/2006/picture">
                <pic:pic>
                  <pic:nvPicPr>
                    <pic:cNvPr id="0" name="delay_seasonality.png"/>
                    <pic:cNvPicPr/>
                  </pic:nvPicPr>
                  <pic:blipFill>
                    <a:blip r:embed="rId27"/>
                    <a:stretch>
                      <a:fillRect/>
                    </a:stretch>
                  </pic:blipFill>
                  <pic:spPr>
                    <a:xfrm>
                      <a:off x="0" y="0"/>
                      <a:ext cx="6217920" cy="3108960"/>
                    </a:xfrm>
                    <a:prstGeom prst="rect"/>
                  </pic:spPr>
                </pic:pic>
              </a:graphicData>
            </a:graphic>
          </wp:inline>
        </w:drawing>
      </w:r>
    </w:p>
    <w:p>
      <w:pPr>
        <w:pStyle w:val="Caption"/>
        <w:keepLines/>
        <w:spacing w:before="40" w:after="160"/>
        <w:jc w:val="left"/>
      </w:pPr>
      <w:r>
        <w:rPr>
          <w:rFonts w:ascii="Times New Roman" w:hAnsi="Times New Roman"/>
          <w:b/>
          <w:sz w:val="19"/>
        </w:rPr>
        <w:t xml:space="preserve">Figure E.8: </w:t>
      </w:r>
      <w:r>
        <w:rPr>
          <w:rFonts w:ascii="Times New Roman" w:hAnsi="Times New Roman"/>
          <w:i/>
          <w:sz w:val="19"/>
        </w:rPr>
        <w:t>Historical monthly lead time distributions showing seasonal operational shocks (e.g., late 2017 holiday rush) successfully isolated by chronological expanding windows.</w:t>
      </w:r>
    </w:p>
    <w:p>
      <w:pPr>
        <w:pStyle w:val="Heading2"/>
      </w:pPr>
      <w:r>
        <w:rPr>
          <w:rFonts w:ascii="Times New Roman" w:hAnsi="Times New Roman"/>
          <w:b/>
          <w:sz w:val="25"/>
        </w:rPr>
        <w:t>Granular Subgroup Error Breakdown Tables (79 Slices)</w:t>
      </w:r>
    </w:p>
    <w:p>
      <w:pPr/>
      <w:r>
        <w:rPr>
          <w:rFonts w:ascii="Times New Roman" w:hAnsi="Times New Roman"/>
          <w:i/>
          <w:sz w:val="22"/>
        </w:rPr>
        <w:t>Source</w:t>
      </w:r>
      <w:r>
        <w:rPr>
          <w:rFonts w:ascii="Times New Roman" w:hAnsi="Times New Roman"/>
          <w:sz w:val="22"/>
        </w:rPr>
        <w:t xml:space="preserve">: Generated via </w:t>
      </w:r>
      <w:r>
        <w:rPr>
          <w:rFonts w:ascii="Consolas" w:hAnsi="Consolas"/>
          <w:color w:val="8A1E38"/>
          <w:sz w:val="21"/>
        </w:rPr>
        <w:t>src/models/refinement_selected_v4_terminal.py</w:t>
      </w:r>
      <w:r>
        <w:rPr>
          <w:rFonts w:ascii="Times New Roman" w:hAnsi="Times New Roman"/>
          <w:sz w:val="22"/>
        </w:rPr>
        <w:t xml:space="preserve"> and saved to </w:t>
      </w:r>
      <w:r>
        <w:rPr>
          <w:rFonts w:ascii="Consolas" w:hAnsi="Consolas"/>
          <w:color w:val="8A1E38"/>
          <w:sz w:val="21"/>
        </w:rPr>
        <w:t>artifacts/metrics/refinement-selected-v4/terminal/subgroups.csv</w:t>
      </w:r>
      <w:r>
        <w:rPr>
          <w:rFonts w:ascii="Times New Roman" w:hAnsi="Times New Roman"/>
          <w:sz w:val="22"/>
        </w:rPr>
        <w:t>.</w:t>
      </w:r>
    </w:p>
    <w:p>
      <w:pPr>
        <w:pStyle w:val="Heading3"/>
      </w:pPr>
      <w:r>
        <w:rPr>
          <w:rFonts w:ascii="Times New Roman" w:hAnsi="Times New Roman"/>
          <w:b/>
          <w:sz w:val="23"/>
        </w:rPr>
        <w:t>Table E.4: Top Customer States by Order Volume (</w:t>
      </w:r>
      <w:r>
        <w:rPr>
          <w:rFonts w:ascii="Cambria Math" w:hAnsi="Cambria Math"/>
          <w:b/>
          <w:sz w:val="23"/>
        </w:rPr>
        <w:t>N ≥ 100</w:t>
      </w:r>
      <w:r>
        <w:rPr>
          <w:rFonts w:ascii="Times New Roman" w:hAnsi="Times New Roman"/>
          <w:b/>
          <w:sz w:val="23"/>
        </w:rPr>
        <w:t>)</w:t>
      </w:r>
    </w:p>
    <w:tbl>
      <w:tblPr>
        <w:tblW w:type="auto" w:w="0"/>
        <w:jc w:val="center"/>
        <w:tblLayout w:type="fixed"/>
        <w:tblLook w:firstColumn="1" w:firstRow="1" w:lastColumn="0" w:lastRow="0" w:noHBand="0" w:noVBand="1" w:val="04A0"/>
        <w:tblBorders>
          <w:top w:val="single" w:sz="8" w:space="0" w:color="1F4E79"/>
          <w:bottom w:val="single" w:sz="8" w:space="0" w:color="1F4E79"/>
          <w:left w:val="single" w:sz="4" w:space="0" w:color="D9D9D9"/>
          <w:right w:val="single" w:sz="4" w:space="0" w:color="D9D9D9"/>
          <w:insideH w:val="single" w:sz="4" w:space="0" w:color="E2E8F0"/>
          <w:insideV w:val="single" w:sz="4" w:space="0" w:color="E2E8F0"/>
        </w:tblBorders>
      </w:tblPr>
      <w:tblGrid>
        <w:gridCol w:w="1434"/>
        <w:gridCol w:w="1434"/>
        <w:gridCol w:w="1434"/>
        <w:gridCol w:w="1434"/>
        <w:gridCol w:w="1434"/>
        <w:gridCol w:w="1434"/>
        <w:gridCol w:w="1434"/>
      </w:tblGrid>
      <w:tr>
        <w:trPr>
          <w:cantSplit/>
          <w:tblHeader/>
        </w:trPr>
        <w:tc>
          <w:tcPr>
            <w:tcW w:type="dxa" w:w="1744"/>
            <w:vAlign w:val="center"/>
            <w:tcW w:w="1743"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6"/>
              </w:rPr>
              <w:t>Customer State (UF)</w:t>
            </w:r>
          </w:p>
        </w:tc>
        <w:tc>
          <w:tcPr>
            <w:tcW w:type="dxa" w:w="1029"/>
            <w:vAlign w:val="center"/>
            <w:tcW w:w="1029"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6"/>
              </w:rPr>
              <w:t>Macro-Region</w:t>
            </w:r>
          </w:p>
        </w:tc>
        <w:tc>
          <w:tcPr>
            <w:tcW w:type="dxa" w:w="1340"/>
            <w:vAlign w:val="center"/>
            <w:tcW w:w="1339"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6"/>
              </w:rPr>
              <w:t>Holdout Orders (</w:t>
            </w:r>
            <w:r>
              <w:rPr>
                <w:rFonts w:ascii="Cambria Math" w:hAnsi="Cambria Math"/>
                <w:b/>
                <w:sz w:val="16"/>
              </w:rPr>
              <w:t>N</w:t>
            </w:r>
            <w:r>
              <w:rPr>
                <w:rFonts w:ascii="Times New Roman" w:hAnsi="Times New Roman"/>
                <w:b/>
                <w:sz w:val="16"/>
              </w:rPr>
              <w:t>)</w:t>
            </w:r>
          </w:p>
        </w:tc>
        <w:tc>
          <w:tcPr>
            <w:tcW w:type="dxa" w:w="1481"/>
            <w:vAlign w:val="center"/>
            <w:tcW w:w="1481" w:type="dxa"/>
            <w:tcMar>
              <w:top w:w="60" w:type="dxa"/>
              <w:bottom w:w="60" w:type="dxa"/>
              <w:left w:w="80" w:type="dxa"/>
              <w:right w:w="80" w:type="dxa"/>
            </w:tcMar>
            <w:shd w:val="clear" w:color="auto" w:fill="E8EEF5"/>
          </w:tcPr>
          <w:p>
            <w:pPr>
              <w:spacing w:before="0" w:after="0" w:line="252" w:lineRule="auto"/>
              <w:jc w:val="center"/>
            </w:pPr>
            <w:r>
              <w:rPr>
                <w:rFonts w:ascii="Times New Roman" w:hAnsi="Times New Roman"/>
                <w:b/>
                <w:sz w:val="16"/>
              </w:rPr>
              <w:t>Regression MAE (days)</w:t>
            </w:r>
          </w:p>
        </w:tc>
        <w:tc>
          <w:tcPr>
            <w:tcW w:type="dxa" w:w="1527"/>
            <w:vAlign w:val="center"/>
            <w:tcW w:w="1526" w:type="dxa"/>
            <w:tcMar>
              <w:top w:w="60" w:type="dxa"/>
              <w:bottom w:w="60" w:type="dxa"/>
              <w:left w:w="80" w:type="dxa"/>
              <w:right w:w="80" w:type="dxa"/>
            </w:tcMar>
            <w:shd w:val="clear" w:color="auto" w:fill="E8EEF5"/>
          </w:tcPr>
          <w:p>
            <w:pPr>
              <w:spacing w:before="0" w:after="0" w:line="252" w:lineRule="auto"/>
              <w:jc w:val="center"/>
            </w:pPr>
            <w:r>
              <w:rPr>
                <w:rFonts w:ascii="Times New Roman" w:hAnsi="Times New Roman"/>
                <w:b/>
                <w:sz w:val="16"/>
              </w:rPr>
              <w:t>Regression RMSE (days)</w:t>
            </w:r>
          </w:p>
        </w:tc>
        <w:tc>
          <w:tcPr>
            <w:tcW w:type="dxa" w:w="1435"/>
            <w:vAlign w:val="center"/>
            <w:tcW w:w="1434"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6"/>
              </w:rPr>
              <w:t>Detractor Prevalence</w:t>
            </w:r>
          </w:p>
        </w:tc>
        <w:tc>
          <w:tcPr>
            <w:tcW w:type="dxa" w:w="1481"/>
            <w:vAlign w:val="center"/>
            <w:tcW w:w="1481"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6"/>
              </w:rPr>
              <w:t>Clf Average Precision</w:t>
            </w:r>
          </w:p>
        </w:tc>
      </w:tr>
      <w:tr>
        <w:trPr>
          <w:cantSplit/>
        </w:trPr>
        <w:tc>
          <w:tcPr>
            <w:tcW w:type="dxa" w:w="1744"/>
            <w:vAlign w:val="center"/>
            <w:tcW w:w="1743"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SP</w:t>
            </w:r>
            <w:r>
              <w:rPr>
                <w:rFonts w:ascii="Times New Roman" w:hAnsi="Times New Roman"/>
                <w:sz w:val="16"/>
              </w:rPr>
              <w:t xml:space="preserve"> (São Paulo)</w:t>
            </w:r>
          </w:p>
        </w:tc>
        <w:tc>
          <w:tcPr>
            <w:tcW w:type="dxa" w:w="1029"/>
            <w:vAlign w:val="center"/>
            <w:tcW w:w="1029"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Southeast</w:t>
            </w:r>
          </w:p>
        </w:tc>
        <w:tc>
          <w:tcPr>
            <w:tcW w:type="dxa" w:w="1340"/>
            <w:vAlign w:val="center"/>
            <w:tcW w:w="1339"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7,217</w:t>
            </w:r>
          </w:p>
        </w:tc>
        <w:tc>
          <w:tcPr>
            <w:tcW w:type="dxa" w:w="1481"/>
            <w:vAlign w:val="center"/>
            <w:tcW w:w="1481"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b/>
                <w:sz w:val="16"/>
              </w:rPr>
              <w:t>2.81</w:t>
            </w:r>
          </w:p>
        </w:tc>
        <w:tc>
          <w:tcPr>
            <w:tcW w:type="dxa" w:w="1527"/>
            <w:vAlign w:val="center"/>
            <w:tcW w:w="1526"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4.16</w:t>
            </w:r>
          </w:p>
        </w:tc>
        <w:tc>
          <w:tcPr>
            <w:tcW w:type="dxa" w:w="1435"/>
            <w:vAlign w:val="center"/>
            <w:tcW w:w="1434"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11.0\%</w:t>
            </w:r>
          </w:p>
        </w:tc>
        <w:tc>
          <w:tcPr>
            <w:tcW w:type="dxa" w:w="1481"/>
            <w:vAlign w:val="center"/>
            <w:tcW w:w="1481"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0.201</w:t>
            </w:r>
          </w:p>
        </w:tc>
      </w:tr>
      <w:tr>
        <w:trPr>
          <w:cantSplit/>
        </w:trPr>
        <w:tc>
          <w:tcPr>
            <w:tcW w:type="dxa" w:w="1744"/>
            <w:vAlign w:val="center"/>
            <w:tcW w:w="1743" w:type="dxa"/>
            <w:tcMar>
              <w:top w:w="60" w:type="dxa"/>
              <w:bottom w:w="60" w:type="dxa"/>
              <w:left w:w="80" w:type="dxa"/>
              <w:right w:w="80" w:type="dxa"/>
            </w:tcMar>
          </w:tcPr>
          <w:p>
            <w:pPr>
              <w:spacing w:before="0" w:after="0" w:line="252" w:lineRule="auto"/>
              <w:jc w:val="left"/>
            </w:pPr>
            <w:r>
              <w:rPr>
                <w:rFonts w:ascii="Times New Roman" w:hAnsi="Times New Roman"/>
                <w:b/>
                <w:sz w:val="16"/>
              </w:rPr>
              <w:t>RJ</w:t>
            </w:r>
            <w:r>
              <w:rPr>
                <w:rFonts w:ascii="Times New Roman" w:hAnsi="Times New Roman"/>
                <w:sz w:val="16"/>
              </w:rPr>
              <w:t xml:space="preserve"> (Rio de Janeiro)</w:t>
            </w:r>
          </w:p>
        </w:tc>
        <w:tc>
          <w:tcPr>
            <w:tcW w:type="dxa" w:w="1029"/>
            <w:vAlign w:val="center"/>
            <w:tcW w:w="1029" w:type="dxa"/>
            <w:tcMar>
              <w:top w:w="60" w:type="dxa"/>
              <w:bottom w:w="60" w:type="dxa"/>
              <w:left w:w="80" w:type="dxa"/>
              <w:right w:w="80" w:type="dxa"/>
            </w:tcMar>
          </w:tcPr>
          <w:p>
            <w:pPr>
              <w:spacing w:before="0" w:after="0" w:line="252" w:lineRule="auto"/>
              <w:jc w:val="left"/>
            </w:pPr>
            <w:r>
              <w:rPr>
                <w:rFonts w:ascii="Times New Roman" w:hAnsi="Times New Roman"/>
                <w:sz w:val="16"/>
              </w:rPr>
              <w:t>Southeast</w:t>
            </w:r>
          </w:p>
        </w:tc>
        <w:tc>
          <w:tcPr>
            <w:tcW w:type="dxa" w:w="1340"/>
            <w:vAlign w:val="center"/>
            <w:tcW w:w="1339" w:type="dxa"/>
            <w:tcMar>
              <w:top w:w="60" w:type="dxa"/>
              <w:bottom w:w="60" w:type="dxa"/>
              <w:left w:w="80" w:type="dxa"/>
              <w:right w:w="80" w:type="dxa"/>
            </w:tcMar>
          </w:tcPr>
          <w:p>
            <w:pPr>
              <w:spacing w:before="0" w:after="0" w:line="252" w:lineRule="auto"/>
              <w:jc w:val="left"/>
            </w:pPr>
            <w:r>
              <w:rPr>
                <w:rFonts w:ascii="Times New Roman" w:hAnsi="Times New Roman"/>
                <w:sz w:val="16"/>
              </w:rPr>
              <w:t>1,790</w:t>
            </w:r>
          </w:p>
        </w:tc>
        <w:tc>
          <w:tcPr>
            <w:tcW w:type="dxa" w:w="1481"/>
            <w:vAlign w:val="center"/>
            <w:tcW w:w="1481" w:type="dxa"/>
            <w:tcMar>
              <w:top w:w="60" w:type="dxa"/>
              <w:bottom w:w="60" w:type="dxa"/>
              <w:left w:w="80" w:type="dxa"/>
              <w:right w:w="80" w:type="dxa"/>
            </w:tcMar>
          </w:tcPr>
          <w:p>
            <w:pPr>
              <w:spacing w:before="0" w:after="0" w:line="252" w:lineRule="auto"/>
              <w:jc w:val="center"/>
            </w:pPr>
            <w:r>
              <w:rPr>
                <w:rFonts w:ascii="Times New Roman" w:hAnsi="Times New Roman"/>
                <w:b/>
                <w:sz w:val="16"/>
              </w:rPr>
              <w:t>4.61</w:t>
            </w:r>
          </w:p>
        </w:tc>
        <w:tc>
          <w:tcPr>
            <w:tcW w:type="dxa" w:w="1527"/>
            <w:vAlign w:val="center"/>
            <w:tcW w:w="1526" w:type="dxa"/>
            <w:tcMar>
              <w:top w:w="60" w:type="dxa"/>
              <w:bottom w:w="60" w:type="dxa"/>
              <w:left w:w="80" w:type="dxa"/>
              <w:right w:w="80" w:type="dxa"/>
            </w:tcMar>
          </w:tcPr>
          <w:p>
            <w:pPr>
              <w:spacing w:before="0" w:after="0" w:line="252" w:lineRule="auto"/>
              <w:jc w:val="center"/>
            </w:pPr>
            <w:r>
              <w:rPr>
                <w:rFonts w:ascii="Cambria Math" w:hAnsi="Cambria Math"/>
                <w:sz w:val="16"/>
              </w:rPr>
              <w:t>6.08</w:t>
            </w:r>
          </w:p>
        </w:tc>
        <w:tc>
          <w:tcPr>
            <w:tcW w:type="dxa" w:w="1435"/>
            <w:vAlign w:val="center"/>
            <w:tcW w:w="1434" w:type="dxa"/>
            <w:tcMar>
              <w:top w:w="60" w:type="dxa"/>
              <w:bottom w:w="60" w:type="dxa"/>
              <w:left w:w="80" w:type="dxa"/>
              <w:right w:w="80" w:type="dxa"/>
            </w:tcMar>
          </w:tcPr>
          <w:p>
            <w:pPr>
              <w:spacing w:before="0" w:after="0" w:line="252" w:lineRule="auto"/>
              <w:jc w:val="center"/>
            </w:pPr>
            <w:r>
              <w:rPr>
                <w:rFonts w:ascii="Cambria Math" w:hAnsi="Cambria Math"/>
                <w:sz w:val="16"/>
              </w:rPr>
              <w:t>13.0\%</w:t>
            </w:r>
          </w:p>
        </w:tc>
        <w:tc>
          <w:tcPr>
            <w:tcW w:type="dxa" w:w="1481"/>
            <w:vAlign w:val="center"/>
            <w:tcW w:w="1481" w:type="dxa"/>
            <w:tcMar>
              <w:top w:w="60" w:type="dxa"/>
              <w:bottom w:w="60" w:type="dxa"/>
              <w:left w:w="80" w:type="dxa"/>
              <w:right w:w="80" w:type="dxa"/>
            </w:tcMar>
          </w:tcPr>
          <w:p>
            <w:pPr>
              <w:spacing w:before="0" w:after="0" w:line="252" w:lineRule="auto"/>
              <w:jc w:val="center"/>
            </w:pPr>
            <w:r>
              <w:rPr>
                <w:rFonts w:ascii="Cambria Math" w:hAnsi="Cambria Math"/>
                <w:sz w:val="16"/>
              </w:rPr>
              <w:t>0.232</w:t>
            </w:r>
          </w:p>
        </w:tc>
      </w:tr>
      <w:tr>
        <w:trPr>
          <w:cantSplit/>
        </w:trPr>
        <w:tc>
          <w:tcPr>
            <w:tcW w:type="dxa" w:w="1744"/>
            <w:vAlign w:val="center"/>
            <w:tcW w:w="1743"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MG</w:t>
            </w:r>
            <w:r>
              <w:rPr>
                <w:rFonts w:ascii="Times New Roman" w:hAnsi="Times New Roman"/>
                <w:sz w:val="16"/>
              </w:rPr>
              <w:t xml:space="preserve"> (Minas Gerais)</w:t>
            </w:r>
          </w:p>
        </w:tc>
        <w:tc>
          <w:tcPr>
            <w:tcW w:type="dxa" w:w="1029"/>
            <w:vAlign w:val="center"/>
            <w:tcW w:w="1029"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Southeast</w:t>
            </w:r>
          </w:p>
        </w:tc>
        <w:tc>
          <w:tcPr>
            <w:tcW w:type="dxa" w:w="1340"/>
            <w:vAlign w:val="center"/>
            <w:tcW w:w="1339"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1,704</w:t>
            </w:r>
          </w:p>
        </w:tc>
        <w:tc>
          <w:tcPr>
            <w:tcW w:type="dxa" w:w="1481"/>
            <w:vAlign w:val="center"/>
            <w:tcW w:w="1481"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b/>
                <w:sz w:val="16"/>
              </w:rPr>
              <w:t>3.71</w:t>
            </w:r>
          </w:p>
        </w:tc>
        <w:tc>
          <w:tcPr>
            <w:tcW w:type="dxa" w:w="1527"/>
            <w:vAlign w:val="center"/>
            <w:tcW w:w="1526"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4.95</w:t>
            </w:r>
          </w:p>
        </w:tc>
        <w:tc>
          <w:tcPr>
            <w:tcW w:type="dxa" w:w="1435"/>
            <w:vAlign w:val="center"/>
            <w:tcW w:w="1434"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9.8\%</w:t>
            </w:r>
          </w:p>
        </w:tc>
        <w:tc>
          <w:tcPr>
            <w:tcW w:type="dxa" w:w="1481"/>
            <w:vAlign w:val="center"/>
            <w:tcW w:w="1481"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0.202</w:t>
            </w:r>
          </w:p>
        </w:tc>
      </w:tr>
      <w:tr>
        <w:trPr>
          <w:cantSplit/>
        </w:trPr>
        <w:tc>
          <w:tcPr>
            <w:tcW w:type="dxa" w:w="1744"/>
            <w:vAlign w:val="center"/>
            <w:tcW w:w="1743" w:type="dxa"/>
            <w:tcMar>
              <w:top w:w="60" w:type="dxa"/>
              <w:bottom w:w="60" w:type="dxa"/>
              <w:left w:w="80" w:type="dxa"/>
              <w:right w:w="80" w:type="dxa"/>
            </w:tcMar>
          </w:tcPr>
          <w:p>
            <w:pPr>
              <w:spacing w:before="0" w:after="0" w:line="252" w:lineRule="auto"/>
              <w:jc w:val="left"/>
            </w:pPr>
            <w:r>
              <w:rPr>
                <w:rFonts w:ascii="Times New Roman" w:hAnsi="Times New Roman"/>
                <w:b/>
                <w:sz w:val="16"/>
              </w:rPr>
              <w:t>PR</w:t>
            </w:r>
            <w:r>
              <w:rPr>
                <w:rFonts w:ascii="Times New Roman" w:hAnsi="Times New Roman"/>
                <w:sz w:val="16"/>
              </w:rPr>
              <w:t xml:space="preserve"> (Paraná)</w:t>
            </w:r>
          </w:p>
        </w:tc>
        <w:tc>
          <w:tcPr>
            <w:tcW w:type="dxa" w:w="1029"/>
            <w:vAlign w:val="center"/>
            <w:tcW w:w="1029" w:type="dxa"/>
            <w:tcMar>
              <w:top w:w="60" w:type="dxa"/>
              <w:bottom w:w="60" w:type="dxa"/>
              <w:left w:w="80" w:type="dxa"/>
              <w:right w:w="80" w:type="dxa"/>
            </w:tcMar>
          </w:tcPr>
          <w:p>
            <w:pPr>
              <w:spacing w:before="0" w:after="0" w:line="252" w:lineRule="auto"/>
              <w:jc w:val="left"/>
            </w:pPr>
            <w:r>
              <w:rPr>
                <w:rFonts w:ascii="Times New Roman" w:hAnsi="Times New Roman"/>
                <w:sz w:val="16"/>
              </w:rPr>
              <w:t>South</w:t>
            </w:r>
          </w:p>
        </w:tc>
        <w:tc>
          <w:tcPr>
            <w:tcW w:type="dxa" w:w="1340"/>
            <w:vAlign w:val="center"/>
            <w:tcW w:w="1339" w:type="dxa"/>
            <w:tcMar>
              <w:top w:w="60" w:type="dxa"/>
              <w:bottom w:w="60" w:type="dxa"/>
              <w:left w:w="80" w:type="dxa"/>
              <w:right w:w="80" w:type="dxa"/>
            </w:tcMar>
          </w:tcPr>
          <w:p>
            <w:pPr>
              <w:spacing w:before="0" w:after="0" w:line="252" w:lineRule="auto"/>
              <w:jc w:val="left"/>
            </w:pPr>
            <w:r>
              <w:rPr>
                <w:rFonts w:ascii="Times New Roman" w:hAnsi="Times New Roman"/>
                <w:sz w:val="16"/>
              </w:rPr>
              <w:t>782</w:t>
            </w:r>
          </w:p>
        </w:tc>
        <w:tc>
          <w:tcPr>
            <w:tcW w:type="dxa" w:w="1481"/>
            <w:vAlign w:val="center"/>
            <w:tcW w:w="1481" w:type="dxa"/>
            <w:tcMar>
              <w:top w:w="60" w:type="dxa"/>
              <w:bottom w:w="60" w:type="dxa"/>
              <w:left w:w="80" w:type="dxa"/>
              <w:right w:w="80" w:type="dxa"/>
            </w:tcMar>
          </w:tcPr>
          <w:p>
            <w:pPr>
              <w:spacing w:before="0" w:after="0" w:line="252" w:lineRule="auto"/>
              <w:jc w:val="center"/>
            </w:pPr>
            <w:r>
              <w:rPr>
                <w:rFonts w:ascii="Times New Roman" w:hAnsi="Times New Roman"/>
                <w:b/>
                <w:sz w:val="16"/>
              </w:rPr>
              <w:t>3.65</w:t>
            </w:r>
          </w:p>
        </w:tc>
        <w:tc>
          <w:tcPr>
            <w:tcW w:type="dxa" w:w="1527"/>
            <w:vAlign w:val="center"/>
            <w:tcW w:w="1526" w:type="dxa"/>
            <w:tcMar>
              <w:top w:w="60" w:type="dxa"/>
              <w:bottom w:w="60" w:type="dxa"/>
              <w:left w:w="80" w:type="dxa"/>
              <w:right w:w="80" w:type="dxa"/>
            </w:tcMar>
          </w:tcPr>
          <w:p>
            <w:pPr>
              <w:spacing w:before="0" w:after="0" w:line="252" w:lineRule="auto"/>
              <w:jc w:val="center"/>
            </w:pPr>
            <w:r>
              <w:rPr>
                <w:rFonts w:ascii="Cambria Math" w:hAnsi="Cambria Math"/>
                <w:sz w:val="16"/>
              </w:rPr>
              <w:t>4.52</w:t>
            </w:r>
          </w:p>
        </w:tc>
        <w:tc>
          <w:tcPr>
            <w:tcW w:type="dxa" w:w="1435"/>
            <w:vAlign w:val="center"/>
            <w:tcW w:w="1434" w:type="dxa"/>
            <w:tcMar>
              <w:top w:w="60" w:type="dxa"/>
              <w:bottom w:w="60" w:type="dxa"/>
              <w:left w:w="80" w:type="dxa"/>
              <w:right w:w="80" w:type="dxa"/>
            </w:tcMar>
          </w:tcPr>
          <w:p>
            <w:pPr>
              <w:spacing w:before="0" w:after="0" w:line="252" w:lineRule="auto"/>
              <w:jc w:val="center"/>
            </w:pPr>
            <w:r>
              <w:rPr>
                <w:rFonts w:ascii="Cambria Math" w:hAnsi="Cambria Math"/>
                <w:sz w:val="16"/>
              </w:rPr>
              <w:t>9.9\%</w:t>
            </w:r>
          </w:p>
        </w:tc>
        <w:tc>
          <w:tcPr>
            <w:tcW w:type="dxa" w:w="1481"/>
            <w:vAlign w:val="center"/>
            <w:tcW w:w="1481" w:type="dxa"/>
            <w:tcMar>
              <w:top w:w="60" w:type="dxa"/>
              <w:bottom w:w="60" w:type="dxa"/>
              <w:left w:w="80" w:type="dxa"/>
              <w:right w:w="80" w:type="dxa"/>
            </w:tcMar>
          </w:tcPr>
          <w:p>
            <w:pPr>
              <w:spacing w:before="0" w:after="0" w:line="252" w:lineRule="auto"/>
              <w:jc w:val="center"/>
            </w:pPr>
            <w:r>
              <w:rPr>
                <w:rFonts w:ascii="Cambria Math" w:hAnsi="Cambria Math"/>
                <w:sz w:val="16"/>
              </w:rPr>
              <w:t>0.189</w:t>
            </w:r>
          </w:p>
        </w:tc>
      </w:tr>
      <w:tr>
        <w:trPr>
          <w:cantSplit/>
        </w:trPr>
        <w:tc>
          <w:tcPr>
            <w:tcW w:type="dxa" w:w="1744"/>
            <w:vAlign w:val="center"/>
            <w:tcW w:w="1743"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RS</w:t>
            </w:r>
            <w:r>
              <w:rPr>
                <w:rFonts w:ascii="Times New Roman" w:hAnsi="Times New Roman"/>
                <w:sz w:val="16"/>
              </w:rPr>
              <w:t xml:space="preserve"> (Rio Grande do Sul)</w:t>
            </w:r>
          </w:p>
        </w:tc>
        <w:tc>
          <w:tcPr>
            <w:tcW w:type="dxa" w:w="1029"/>
            <w:vAlign w:val="center"/>
            <w:tcW w:w="1029"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South</w:t>
            </w:r>
          </w:p>
        </w:tc>
        <w:tc>
          <w:tcPr>
            <w:tcW w:type="dxa" w:w="1340"/>
            <w:vAlign w:val="center"/>
            <w:tcW w:w="1339"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768</w:t>
            </w:r>
          </w:p>
        </w:tc>
        <w:tc>
          <w:tcPr>
            <w:tcW w:type="dxa" w:w="1481"/>
            <w:vAlign w:val="center"/>
            <w:tcW w:w="1481"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b/>
                <w:sz w:val="16"/>
              </w:rPr>
              <w:t>4.16</w:t>
            </w:r>
          </w:p>
        </w:tc>
        <w:tc>
          <w:tcPr>
            <w:tcW w:type="dxa" w:w="1527"/>
            <w:vAlign w:val="center"/>
            <w:tcW w:w="1526"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5.62</w:t>
            </w:r>
          </w:p>
        </w:tc>
        <w:tc>
          <w:tcPr>
            <w:tcW w:type="dxa" w:w="1435"/>
            <w:vAlign w:val="center"/>
            <w:tcW w:w="1434"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9.7\%</w:t>
            </w:r>
          </w:p>
        </w:tc>
        <w:tc>
          <w:tcPr>
            <w:tcW w:type="dxa" w:w="1481"/>
            <w:vAlign w:val="center"/>
            <w:tcW w:w="1481"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0.311</w:t>
            </w:r>
          </w:p>
        </w:tc>
      </w:tr>
      <w:tr>
        <w:trPr>
          <w:cantSplit/>
        </w:trPr>
        <w:tc>
          <w:tcPr>
            <w:tcW w:type="dxa" w:w="1744"/>
            <w:vAlign w:val="center"/>
            <w:tcW w:w="1743" w:type="dxa"/>
            <w:tcMar>
              <w:top w:w="60" w:type="dxa"/>
              <w:bottom w:w="60" w:type="dxa"/>
              <w:left w:w="80" w:type="dxa"/>
              <w:right w:w="80" w:type="dxa"/>
            </w:tcMar>
          </w:tcPr>
          <w:p>
            <w:pPr>
              <w:spacing w:before="0" w:after="0" w:line="252" w:lineRule="auto"/>
              <w:jc w:val="left"/>
            </w:pPr>
            <w:r>
              <w:rPr>
                <w:rFonts w:ascii="Times New Roman" w:hAnsi="Times New Roman"/>
                <w:b/>
                <w:sz w:val="16"/>
              </w:rPr>
              <w:t>BA</w:t>
            </w:r>
            <w:r>
              <w:rPr>
                <w:rFonts w:ascii="Times New Roman" w:hAnsi="Times New Roman"/>
                <w:sz w:val="16"/>
              </w:rPr>
              <w:t xml:space="preserve"> (Bahia)</w:t>
            </w:r>
          </w:p>
        </w:tc>
        <w:tc>
          <w:tcPr>
            <w:tcW w:type="dxa" w:w="1029"/>
            <w:vAlign w:val="center"/>
            <w:tcW w:w="1029" w:type="dxa"/>
            <w:tcMar>
              <w:top w:w="60" w:type="dxa"/>
              <w:bottom w:w="60" w:type="dxa"/>
              <w:left w:w="80" w:type="dxa"/>
              <w:right w:w="80" w:type="dxa"/>
            </w:tcMar>
          </w:tcPr>
          <w:p>
            <w:pPr>
              <w:spacing w:before="0" w:after="0" w:line="252" w:lineRule="auto"/>
              <w:jc w:val="left"/>
            </w:pPr>
            <w:r>
              <w:rPr>
                <w:rFonts w:ascii="Times New Roman" w:hAnsi="Times New Roman"/>
                <w:sz w:val="16"/>
              </w:rPr>
              <w:t>Northeast</w:t>
            </w:r>
          </w:p>
        </w:tc>
        <w:tc>
          <w:tcPr>
            <w:tcW w:type="dxa" w:w="1340"/>
            <w:vAlign w:val="center"/>
            <w:tcW w:w="1339" w:type="dxa"/>
            <w:tcMar>
              <w:top w:w="60" w:type="dxa"/>
              <w:bottom w:w="60" w:type="dxa"/>
              <w:left w:w="80" w:type="dxa"/>
              <w:right w:w="80" w:type="dxa"/>
            </w:tcMar>
          </w:tcPr>
          <w:p>
            <w:pPr>
              <w:spacing w:before="0" w:after="0" w:line="252" w:lineRule="auto"/>
              <w:jc w:val="left"/>
            </w:pPr>
            <w:r>
              <w:rPr>
                <w:rFonts w:ascii="Times New Roman" w:hAnsi="Times New Roman"/>
                <w:sz w:val="16"/>
              </w:rPr>
              <w:t>501</w:t>
            </w:r>
          </w:p>
        </w:tc>
        <w:tc>
          <w:tcPr>
            <w:tcW w:type="dxa" w:w="1481"/>
            <w:vAlign w:val="center"/>
            <w:tcW w:w="1481" w:type="dxa"/>
            <w:tcMar>
              <w:top w:w="60" w:type="dxa"/>
              <w:bottom w:w="60" w:type="dxa"/>
              <w:left w:w="80" w:type="dxa"/>
              <w:right w:w="80" w:type="dxa"/>
            </w:tcMar>
          </w:tcPr>
          <w:p>
            <w:pPr>
              <w:spacing w:before="0" w:after="0" w:line="252" w:lineRule="auto"/>
              <w:jc w:val="center"/>
            </w:pPr>
            <w:r>
              <w:rPr>
                <w:rFonts w:ascii="Times New Roman" w:hAnsi="Times New Roman"/>
                <w:b/>
                <w:sz w:val="16"/>
              </w:rPr>
              <w:t>5.84</w:t>
            </w:r>
          </w:p>
        </w:tc>
        <w:tc>
          <w:tcPr>
            <w:tcW w:type="dxa" w:w="1527"/>
            <w:vAlign w:val="center"/>
            <w:tcW w:w="1526" w:type="dxa"/>
            <w:tcMar>
              <w:top w:w="60" w:type="dxa"/>
              <w:bottom w:w="60" w:type="dxa"/>
              <w:left w:w="80" w:type="dxa"/>
              <w:right w:w="80" w:type="dxa"/>
            </w:tcMar>
          </w:tcPr>
          <w:p>
            <w:pPr>
              <w:spacing w:before="0" w:after="0" w:line="252" w:lineRule="auto"/>
              <w:jc w:val="center"/>
            </w:pPr>
            <w:r>
              <w:rPr>
                <w:rFonts w:ascii="Cambria Math" w:hAnsi="Cambria Math"/>
                <w:sz w:val="16"/>
              </w:rPr>
              <w:t>7.99</w:t>
            </w:r>
          </w:p>
        </w:tc>
        <w:tc>
          <w:tcPr>
            <w:tcW w:type="dxa" w:w="1435"/>
            <w:vAlign w:val="center"/>
            <w:tcW w:w="1434" w:type="dxa"/>
            <w:tcMar>
              <w:top w:w="60" w:type="dxa"/>
              <w:bottom w:w="60" w:type="dxa"/>
              <w:left w:w="80" w:type="dxa"/>
              <w:right w:w="80" w:type="dxa"/>
            </w:tcMar>
          </w:tcPr>
          <w:p>
            <w:pPr>
              <w:spacing w:before="0" w:after="0" w:line="252" w:lineRule="auto"/>
              <w:jc w:val="center"/>
            </w:pPr>
            <w:r>
              <w:rPr>
                <w:rFonts w:ascii="Cambria Math" w:hAnsi="Cambria Math"/>
                <w:sz w:val="16"/>
              </w:rPr>
              <w:t>13.0\%</w:t>
            </w:r>
          </w:p>
        </w:tc>
        <w:tc>
          <w:tcPr>
            <w:tcW w:type="dxa" w:w="1481"/>
            <w:vAlign w:val="center"/>
            <w:tcW w:w="1481" w:type="dxa"/>
            <w:tcMar>
              <w:top w:w="60" w:type="dxa"/>
              <w:bottom w:w="60" w:type="dxa"/>
              <w:left w:w="80" w:type="dxa"/>
              <w:right w:w="80" w:type="dxa"/>
            </w:tcMar>
          </w:tcPr>
          <w:p>
            <w:pPr>
              <w:spacing w:before="0" w:after="0" w:line="252" w:lineRule="auto"/>
              <w:jc w:val="center"/>
            </w:pPr>
            <w:r>
              <w:rPr>
                <w:rFonts w:ascii="Cambria Math" w:hAnsi="Cambria Math"/>
                <w:sz w:val="16"/>
              </w:rPr>
              <w:t>0.195</w:t>
            </w:r>
          </w:p>
        </w:tc>
      </w:tr>
      <w:tr>
        <w:trPr>
          <w:cantSplit/>
        </w:trPr>
        <w:tc>
          <w:tcPr>
            <w:tcW w:type="dxa" w:w="1744"/>
            <w:vAlign w:val="center"/>
            <w:tcW w:w="1743"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SC</w:t>
            </w:r>
            <w:r>
              <w:rPr>
                <w:rFonts w:ascii="Times New Roman" w:hAnsi="Times New Roman"/>
                <w:sz w:val="16"/>
              </w:rPr>
              <w:t xml:space="preserve"> (Santa Catarina)</w:t>
            </w:r>
          </w:p>
        </w:tc>
        <w:tc>
          <w:tcPr>
            <w:tcW w:type="dxa" w:w="1029"/>
            <w:vAlign w:val="center"/>
            <w:tcW w:w="1029"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South</w:t>
            </w:r>
          </w:p>
        </w:tc>
        <w:tc>
          <w:tcPr>
            <w:tcW w:type="dxa" w:w="1340"/>
            <w:vAlign w:val="center"/>
            <w:tcW w:w="1339"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499</w:t>
            </w:r>
          </w:p>
        </w:tc>
        <w:tc>
          <w:tcPr>
            <w:tcW w:type="dxa" w:w="1481"/>
            <w:vAlign w:val="center"/>
            <w:tcW w:w="1481"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b/>
                <w:sz w:val="16"/>
              </w:rPr>
              <w:t>4.31</w:t>
            </w:r>
          </w:p>
        </w:tc>
        <w:tc>
          <w:tcPr>
            <w:tcW w:type="dxa" w:w="1527"/>
            <w:vAlign w:val="center"/>
            <w:tcW w:w="1526"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5.18</w:t>
            </w:r>
          </w:p>
        </w:tc>
        <w:tc>
          <w:tcPr>
            <w:tcW w:type="dxa" w:w="1435"/>
            <w:vAlign w:val="center"/>
            <w:tcW w:w="1434"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9.0\%</w:t>
            </w:r>
          </w:p>
        </w:tc>
        <w:tc>
          <w:tcPr>
            <w:tcW w:type="dxa" w:w="1481"/>
            <w:vAlign w:val="center"/>
            <w:tcW w:w="1481"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0.179</w:t>
            </w:r>
          </w:p>
        </w:tc>
      </w:tr>
      <w:tr>
        <w:trPr>
          <w:cantSplit/>
        </w:trPr>
        <w:tc>
          <w:tcPr>
            <w:tcW w:type="dxa" w:w="1744"/>
            <w:vAlign w:val="center"/>
            <w:tcW w:w="1743" w:type="dxa"/>
            <w:tcMar>
              <w:top w:w="60" w:type="dxa"/>
              <w:bottom w:w="60" w:type="dxa"/>
              <w:left w:w="80" w:type="dxa"/>
              <w:right w:w="80" w:type="dxa"/>
            </w:tcMar>
          </w:tcPr>
          <w:p>
            <w:pPr>
              <w:spacing w:before="0" w:after="0" w:line="252" w:lineRule="auto"/>
              <w:jc w:val="left"/>
            </w:pPr>
            <w:r>
              <w:rPr>
                <w:rFonts w:ascii="Times New Roman" w:hAnsi="Times New Roman"/>
                <w:b/>
                <w:sz w:val="16"/>
              </w:rPr>
              <w:t>DF</w:t>
            </w:r>
            <w:r>
              <w:rPr>
                <w:rFonts w:ascii="Times New Roman" w:hAnsi="Times New Roman"/>
                <w:sz w:val="16"/>
              </w:rPr>
              <w:t xml:space="preserve"> (Distrito Federal)</w:t>
            </w:r>
          </w:p>
        </w:tc>
        <w:tc>
          <w:tcPr>
            <w:tcW w:type="dxa" w:w="1029"/>
            <w:vAlign w:val="center"/>
            <w:tcW w:w="1029" w:type="dxa"/>
            <w:tcMar>
              <w:top w:w="60" w:type="dxa"/>
              <w:bottom w:w="60" w:type="dxa"/>
              <w:left w:w="80" w:type="dxa"/>
              <w:right w:w="80" w:type="dxa"/>
            </w:tcMar>
          </w:tcPr>
          <w:p>
            <w:pPr>
              <w:spacing w:before="0" w:after="0" w:line="252" w:lineRule="auto"/>
              <w:jc w:val="left"/>
            </w:pPr>
            <w:r>
              <w:rPr>
                <w:rFonts w:ascii="Times New Roman" w:hAnsi="Times New Roman"/>
                <w:sz w:val="16"/>
              </w:rPr>
              <w:t>Center-West</w:t>
            </w:r>
          </w:p>
        </w:tc>
        <w:tc>
          <w:tcPr>
            <w:tcW w:type="dxa" w:w="1340"/>
            <w:vAlign w:val="center"/>
            <w:tcW w:w="1339" w:type="dxa"/>
            <w:tcMar>
              <w:top w:w="60" w:type="dxa"/>
              <w:bottom w:w="60" w:type="dxa"/>
              <w:left w:w="80" w:type="dxa"/>
              <w:right w:w="80" w:type="dxa"/>
            </w:tcMar>
          </w:tcPr>
          <w:p>
            <w:pPr>
              <w:spacing w:before="0" w:after="0" w:line="252" w:lineRule="auto"/>
              <w:jc w:val="left"/>
            </w:pPr>
            <w:r>
              <w:rPr>
                <w:rFonts w:ascii="Times New Roman" w:hAnsi="Times New Roman"/>
                <w:sz w:val="16"/>
              </w:rPr>
              <w:t>384</w:t>
            </w:r>
          </w:p>
        </w:tc>
        <w:tc>
          <w:tcPr>
            <w:tcW w:type="dxa" w:w="1481"/>
            <w:vAlign w:val="center"/>
            <w:tcW w:w="1481" w:type="dxa"/>
            <w:tcMar>
              <w:top w:w="60" w:type="dxa"/>
              <w:bottom w:w="60" w:type="dxa"/>
              <w:left w:w="80" w:type="dxa"/>
              <w:right w:w="80" w:type="dxa"/>
            </w:tcMar>
          </w:tcPr>
          <w:p>
            <w:pPr>
              <w:spacing w:before="0" w:after="0" w:line="252" w:lineRule="auto"/>
              <w:jc w:val="center"/>
            </w:pPr>
            <w:r>
              <w:rPr>
                <w:rFonts w:ascii="Times New Roman" w:hAnsi="Times New Roman"/>
                <w:b/>
                <w:sz w:val="16"/>
              </w:rPr>
              <w:t>4.78</w:t>
            </w:r>
          </w:p>
        </w:tc>
        <w:tc>
          <w:tcPr>
            <w:tcW w:type="dxa" w:w="1527"/>
            <w:vAlign w:val="center"/>
            <w:tcW w:w="1526" w:type="dxa"/>
            <w:tcMar>
              <w:top w:w="60" w:type="dxa"/>
              <w:bottom w:w="60" w:type="dxa"/>
              <w:left w:w="80" w:type="dxa"/>
              <w:right w:w="80" w:type="dxa"/>
            </w:tcMar>
          </w:tcPr>
          <w:p>
            <w:pPr>
              <w:spacing w:before="0" w:after="0" w:line="252" w:lineRule="auto"/>
              <w:jc w:val="center"/>
            </w:pPr>
            <w:r>
              <w:rPr>
                <w:rFonts w:ascii="Cambria Math" w:hAnsi="Cambria Math"/>
                <w:sz w:val="16"/>
              </w:rPr>
              <w:t>5.79</w:t>
            </w:r>
          </w:p>
        </w:tc>
        <w:tc>
          <w:tcPr>
            <w:tcW w:type="dxa" w:w="1435"/>
            <w:vAlign w:val="center"/>
            <w:tcW w:w="1434" w:type="dxa"/>
            <w:tcMar>
              <w:top w:w="60" w:type="dxa"/>
              <w:bottom w:w="60" w:type="dxa"/>
              <w:left w:w="80" w:type="dxa"/>
              <w:right w:w="80" w:type="dxa"/>
            </w:tcMar>
          </w:tcPr>
          <w:p>
            <w:pPr>
              <w:spacing w:before="0" w:after="0" w:line="252" w:lineRule="auto"/>
              <w:jc w:val="center"/>
            </w:pPr>
            <w:r>
              <w:rPr>
                <w:rFonts w:ascii="Cambria Math" w:hAnsi="Cambria Math"/>
                <w:sz w:val="16"/>
              </w:rPr>
              <w:t>10.8\%</w:t>
            </w:r>
          </w:p>
        </w:tc>
        <w:tc>
          <w:tcPr>
            <w:tcW w:type="dxa" w:w="1481"/>
            <w:vAlign w:val="center"/>
            <w:tcW w:w="1481" w:type="dxa"/>
            <w:tcMar>
              <w:top w:w="60" w:type="dxa"/>
              <w:bottom w:w="60" w:type="dxa"/>
              <w:left w:w="80" w:type="dxa"/>
              <w:right w:w="80" w:type="dxa"/>
            </w:tcMar>
          </w:tcPr>
          <w:p>
            <w:pPr>
              <w:spacing w:before="0" w:after="0" w:line="252" w:lineRule="auto"/>
              <w:jc w:val="center"/>
            </w:pPr>
            <w:r>
              <w:rPr>
                <w:rFonts w:ascii="Cambria Math" w:hAnsi="Cambria Math"/>
                <w:sz w:val="16"/>
              </w:rPr>
              <w:t>0.178</w:t>
            </w:r>
          </w:p>
        </w:tc>
      </w:tr>
      <w:tr>
        <w:trPr>
          <w:cantSplit/>
        </w:trPr>
        <w:tc>
          <w:tcPr>
            <w:tcW w:type="dxa" w:w="1744"/>
            <w:vAlign w:val="center"/>
            <w:tcW w:w="1743"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ES</w:t>
            </w:r>
            <w:r>
              <w:rPr>
                <w:rFonts w:ascii="Times New Roman" w:hAnsi="Times New Roman"/>
                <w:sz w:val="16"/>
              </w:rPr>
              <w:t xml:space="preserve"> (Espírito Santo)</w:t>
            </w:r>
          </w:p>
        </w:tc>
        <w:tc>
          <w:tcPr>
            <w:tcW w:type="dxa" w:w="1029"/>
            <w:vAlign w:val="center"/>
            <w:tcW w:w="1029"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Southeast</w:t>
            </w:r>
          </w:p>
        </w:tc>
        <w:tc>
          <w:tcPr>
            <w:tcW w:type="dxa" w:w="1340"/>
            <w:vAlign w:val="center"/>
            <w:tcW w:w="1339"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303</w:t>
            </w:r>
          </w:p>
        </w:tc>
        <w:tc>
          <w:tcPr>
            <w:tcW w:type="dxa" w:w="1481"/>
            <w:vAlign w:val="center"/>
            <w:tcW w:w="1481"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b/>
                <w:sz w:val="16"/>
              </w:rPr>
              <w:t>4.44</w:t>
            </w:r>
          </w:p>
        </w:tc>
        <w:tc>
          <w:tcPr>
            <w:tcW w:type="dxa" w:w="1527"/>
            <w:vAlign w:val="center"/>
            <w:tcW w:w="1526"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8.69</w:t>
            </w:r>
          </w:p>
        </w:tc>
        <w:tc>
          <w:tcPr>
            <w:tcW w:type="dxa" w:w="1435"/>
            <w:vAlign w:val="center"/>
            <w:tcW w:w="1434"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11.1\%</w:t>
            </w:r>
          </w:p>
        </w:tc>
        <w:tc>
          <w:tcPr>
            <w:tcW w:type="dxa" w:w="1481"/>
            <w:vAlign w:val="center"/>
            <w:tcW w:w="1481"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0.305</w:t>
            </w:r>
          </w:p>
        </w:tc>
      </w:tr>
      <w:tr>
        <w:trPr>
          <w:cantSplit/>
        </w:trPr>
        <w:tc>
          <w:tcPr>
            <w:tcW w:type="dxa" w:w="1744"/>
            <w:vAlign w:val="center"/>
            <w:tcW w:w="1743" w:type="dxa"/>
            <w:tcMar>
              <w:top w:w="60" w:type="dxa"/>
              <w:bottom w:w="60" w:type="dxa"/>
              <w:left w:w="80" w:type="dxa"/>
              <w:right w:w="80" w:type="dxa"/>
            </w:tcMar>
          </w:tcPr>
          <w:p>
            <w:pPr>
              <w:spacing w:before="0" w:after="0" w:line="252" w:lineRule="auto"/>
              <w:jc w:val="left"/>
            </w:pPr>
            <w:r>
              <w:rPr>
                <w:rFonts w:ascii="Times New Roman" w:hAnsi="Times New Roman"/>
                <w:b/>
                <w:sz w:val="16"/>
              </w:rPr>
              <w:t>GO</w:t>
            </w:r>
            <w:r>
              <w:rPr>
                <w:rFonts w:ascii="Times New Roman" w:hAnsi="Times New Roman"/>
                <w:sz w:val="16"/>
              </w:rPr>
              <w:t xml:space="preserve"> (Goiás)</w:t>
            </w:r>
          </w:p>
        </w:tc>
        <w:tc>
          <w:tcPr>
            <w:tcW w:type="dxa" w:w="1029"/>
            <w:vAlign w:val="center"/>
            <w:tcW w:w="1029" w:type="dxa"/>
            <w:tcMar>
              <w:top w:w="60" w:type="dxa"/>
              <w:bottom w:w="60" w:type="dxa"/>
              <w:left w:w="80" w:type="dxa"/>
              <w:right w:w="80" w:type="dxa"/>
            </w:tcMar>
          </w:tcPr>
          <w:p>
            <w:pPr>
              <w:spacing w:before="0" w:after="0" w:line="252" w:lineRule="auto"/>
              <w:jc w:val="left"/>
            </w:pPr>
            <w:r>
              <w:rPr>
                <w:rFonts w:ascii="Times New Roman" w:hAnsi="Times New Roman"/>
                <w:sz w:val="16"/>
              </w:rPr>
              <w:t>Center-West</w:t>
            </w:r>
          </w:p>
        </w:tc>
        <w:tc>
          <w:tcPr>
            <w:tcW w:type="dxa" w:w="1340"/>
            <w:vAlign w:val="center"/>
            <w:tcW w:w="1339" w:type="dxa"/>
            <w:tcMar>
              <w:top w:w="60" w:type="dxa"/>
              <w:bottom w:w="60" w:type="dxa"/>
              <w:left w:w="80" w:type="dxa"/>
              <w:right w:w="80" w:type="dxa"/>
            </w:tcMar>
          </w:tcPr>
          <w:p>
            <w:pPr>
              <w:spacing w:before="0" w:after="0" w:line="252" w:lineRule="auto"/>
              <w:jc w:val="left"/>
            </w:pPr>
            <w:r>
              <w:rPr>
                <w:rFonts w:ascii="Times New Roman" w:hAnsi="Times New Roman"/>
                <w:sz w:val="16"/>
              </w:rPr>
              <w:t>291</w:t>
            </w:r>
          </w:p>
        </w:tc>
        <w:tc>
          <w:tcPr>
            <w:tcW w:type="dxa" w:w="1481"/>
            <w:vAlign w:val="center"/>
            <w:tcW w:w="1481" w:type="dxa"/>
            <w:tcMar>
              <w:top w:w="60" w:type="dxa"/>
              <w:bottom w:w="60" w:type="dxa"/>
              <w:left w:w="80" w:type="dxa"/>
              <w:right w:w="80" w:type="dxa"/>
            </w:tcMar>
          </w:tcPr>
          <w:p>
            <w:pPr>
              <w:spacing w:before="0" w:after="0" w:line="252" w:lineRule="auto"/>
              <w:jc w:val="center"/>
            </w:pPr>
            <w:r>
              <w:rPr>
                <w:rFonts w:ascii="Times New Roman" w:hAnsi="Times New Roman"/>
                <w:b/>
                <w:sz w:val="16"/>
              </w:rPr>
              <w:t>4.08</w:t>
            </w:r>
          </w:p>
        </w:tc>
        <w:tc>
          <w:tcPr>
            <w:tcW w:type="dxa" w:w="1527"/>
            <w:vAlign w:val="center"/>
            <w:tcW w:w="1526" w:type="dxa"/>
            <w:tcMar>
              <w:top w:w="60" w:type="dxa"/>
              <w:bottom w:w="60" w:type="dxa"/>
              <w:left w:w="80" w:type="dxa"/>
              <w:right w:w="80" w:type="dxa"/>
            </w:tcMar>
          </w:tcPr>
          <w:p>
            <w:pPr>
              <w:spacing w:before="0" w:after="0" w:line="252" w:lineRule="auto"/>
              <w:jc w:val="center"/>
            </w:pPr>
            <w:r>
              <w:rPr>
                <w:rFonts w:ascii="Cambria Math" w:hAnsi="Cambria Math"/>
                <w:sz w:val="16"/>
              </w:rPr>
              <w:t>5.96</w:t>
            </w:r>
          </w:p>
        </w:tc>
        <w:tc>
          <w:tcPr>
            <w:tcW w:type="dxa" w:w="1435"/>
            <w:vAlign w:val="center"/>
            <w:tcW w:w="1434" w:type="dxa"/>
            <w:tcMar>
              <w:top w:w="60" w:type="dxa"/>
              <w:bottom w:w="60" w:type="dxa"/>
              <w:left w:w="80" w:type="dxa"/>
              <w:right w:w="80" w:type="dxa"/>
            </w:tcMar>
          </w:tcPr>
          <w:p>
            <w:pPr>
              <w:spacing w:before="0" w:after="0" w:line="252" w:lineRule="auto"/>
              <w:jc w:val="center"/>
            </w:pPr>
            <w:r>
              <w:rPr>
                <w:rFonts w:ascii="Cambria Math" w:hAnsi="Cambria Math"/>
                <w:sz w:val="16"/>
              </w:rPr>
              <w:t>11.9\%</w:t>
            </w:r>
          </w:p>
        </w:tc>
        <w:tc>
          <w:tcPr>
            <w:tcW w:type="dxa" w:w="1481"/>
            <w:vAlign w:val="center"/>
            <w:tcW w:w="1481" w:type="dxa"/>
            <w:tcMar>
              <w:top w:w="60" w:type="dxa"/>
              <w:bottom w:w="60" w:type="dxa"/>
              <w:left w:w="80" w:type="dxa"/>
              <w:right w:w="80" w:type="dxa"/>
            </w:tcMar>
          </w:tcPr>
          <w:p>
            <w:pPr>
              <w:spacing w:before="0" w:after="0" w:line="252" w:lineRule="auto"/>
              <w:jc w:val="center"/>
            </w:pPr>
            <w:r>
              <w:rPr>
                <w:rFonts w:ascii="Cambria Math" w:hAnsi="Cambria Math"/>
                <w:sz w:val="16"/>
              </w:rPr>
              <w:t>0.211</w:t>
            </w:r>
          </w:p>
        </w:tc>
      </w:tr>
      <w:tr>
        <w:trPr>
          <w:cantSplit/>
        </w:trPr>
        <w:tc>
          <w:tcPr>
            <w:tcW w:type="dxa" w:w="1744"/>
            <w:vAlign w:val="center"/>
            <w:tcW w:w="1743"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PE</w:t>
            </w:r>
            <w:r>
              <w:rPr>
                <w:rFonts w:ascii="Times New Roman" w:hAnsi="Times New Roman"/>
                <w:sz w:val="16"/>
              </w:rPr>
              <w:t xml:space="preserve"> (Pernambuco)</w:t>
            </w:r>
          </w:p>
        </w:tc>
        <w:tc>
          <w:tcPr>
            <w:tcW w:type="dxa" w:w="1029"/>
            <w:vAlign w:val="center"/>
            <w:tcW w:w="1029"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Northeast</w:t>
            </w:r>
          </w:p>
        </w:tc>
        <w:tc>
          <w:tcPr>
            <w:tcW w:type="dxa" w:w="1340"/>
            <w:vAlign w:val="center"/>
            <w:tcW w:w="1339"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251</w:t>
            </w:r>
          </w:p>
        </w:tc>
        <w:tc>
          <w:tcPr>
            <w:tcW w:type="dxa" w:w="1481"/>
            <w:vAlign w:val="center"/>
            <w:tcW w:w="1481"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b/>
                <w:sz w:val="16"/>
              </w:rPr>
              <w:t>6.78</w:t>
            </w:r>
          </w:p>
        </w:tc>
        <w:tc>
          <w:tcPr>
            <w:tcW w:type="dxa" w:w="1527"/>
            <w:vAlign w:val="center"/>
            <w:tcW w:w="1526"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8.76</w:t>
            </w:r>
          </w:p>
        </w:tc>
        <w:tc>
          <w:tcPr>
            <w:tcW w:type="dxa" w:w="1435"/>
            <w:vAlign w:val="center"/>
            <w:tcW w:w="1434"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9.4\%</w:t>
            </w:r>
          </w:p>
        </w:tc>
        <w:tc>
          <w:tcPr>
            <w:tcW w:type="dxa" w:w="1481"/>
            <w:vAlign w:val="center"/>
            <w:tcW w:w="1481"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0.126</w:t>
            </w:r>
          </w:p>
        </w:tc>
      </w:tr>
      <w:tr>
        <w:trPr>
          <w:cantSplit/>
        </w:trPr>
        <w:tc>
          <w:tcPr>
            <w:tcW w:type="dxa" w:w="1744"/>
            <w:vAlign w:val="center"/>
            <w:tcW w:w="1743" w:type="dxa"/>
            <w:tcMar>
              <w:top w:w="60" w:type="dxa"/>
              <w:bottom w:w="60" w:type="dxa"/>
              <w:left w:w="80" w:type="dxa"/>
              <w:right w:w="80" w:type="dxa"/>
            </w:tcMar>
          </w:tcPr>
          <w:p>
            <w:pPr>
              <w:spacing w:before="0" w:after="0" w:line="252" w:lineRule="auto"/>
              <w:jc w:val="left"/>
            </w:pPr>
            <w:r>
              <w:rPr>
                <w:rFonts w:ascii="Times New Roman" w:hAnsi="Times New Roman"/>
                <w:b/>
                <w:sz w:val="16"/>
              </w:rPr>
              <w:t>CE</w:t>
            </w:r>
            <w:r>
              <w:rPr>
                <w:rFonts w:ascii="Times New Roman" w:hAnsi="Times New Roman"/>
                <w:sz w:val="16"/>
              </w:rPr>
              <w:t xml:space="preserve"> (Ceará)</w:t>
            </w:r>
          </w:p>
        </w:tc>
        <w:tc>
          <w:tcPr>
            <w:tcW w:type="dxa" w:w="1029"/>
            <w:vAlign w:val="center"/>
            <w:tcW w:w="1029" w:type="dxa"/>
            <w:tcMar>
              <w:top w:w="60" w:type="dxa"/>
              <w:bottom w:w="60" w:type="dxa"/>
              <w:left w:w="80" w:type="dxa"/>
              <w:right w:w="80" w:type="dxa"/>
            </w:tcMar>
          </w:tcPr>
          <w:p>
            <w:pPr>
              <w:spacing w:before="0" w:after="0" w:line="252" w:lineRule="auto"/>
              <w:jc w:val="left"/>
            </w:pPr>
            <w:r>
              <w:rPr>
                <w:rFonts w:ascii="Times New Roman" w:hAnsi="Times New Roman"/>
                <w:sz w:val="16"/>
              </w:rPr>
              <w:t>Northeast</w:t>
            </w:r>
          </w:p>
        </w:tc>
        <w:tc>
          <w:tcPr>
            <w:tcW w:type="dxa" w:w="1340"/>
            <w:vAlign w:val="center"/>
            <w:tcW w:w="1339" w:type="dxa"/>
            <w:tcMar>
              <w:top w:w="60" w:type="dxa"/>
              <w:bottom w:w="60" w:type="dxa"/>
              <w:left w:w="80" w:type="dxa"/>
              <w:right w:w="80" w:type="dxa"/>
            </w:tcMar>
          </w:tcPr>
          <w:p>
            <w:pPr>
              <w:spacing w:before="0" w:after="0" w:line="252" w:lineRule="auto"/>
              <w:jc w:val="left"/>
            </w:pPr>
            <w:r>
              <w:rPr>
                <w:rFonts w:ascii="Times New Roman" w:hAnsi="Times New Roman"/>
                <w:sz w:val="16"/>
              </w:rPr>
              <w:t>172</w:t>
            </w:r>
          </w:p>
        </w:tc>
        <w:tc>
          <w:tcPr>
            <w:tcW w:type="dxa" w:w="1481"/>
            <w:vAlign w:val="center"/>
            <w:tcW w:w="1481" w:type="dxa"/>
            <w:tcMar>
              <w:top w:w="60" w:type="dxa"/>
              <w:bottom w:w="60" w:type="dxa"/>
              <w:left w:w="80" w:type="dxa"/>
              <w:right w:w="80" w:type="dxa"/>
            </w:tcMar>
          </w:tcPr>
          <w:p>
            <w:pPr>
              <w:spacing w:before="0" w:after="0" w:line="252" w:lineRule="auto"/>
              <w:jc w:val="center"/>
            </w:pPr>
            <w:r>
              <w:rPr>
                <w:rFonts w:ascii="Times New Roman" w:hAnsi="Times New Roman"/>
                <w:b/>
                <w:sz w:val="16"/>
              </w:rPr>
              <w:t>4.60</w:t>
            </w:r>
          </w:p>
        </w:tc>
        <w:tc>
          <w:tcPr>
            <w:tcW w:type="dxa" w:w="1527"/>
            <w:vAlign w:val="center"/>
            <w:tcW w:w="1526" w:type="dxa"/>
            <w:tcMar>
              <w:top w:w="60" w:type="dxa"/>
              <w:bottom w:w="60" w:type="dxa"/>
              <w:left w:w="80" w:type="dxa"/>
              <w:right w:w="80" w:type="dxa"/>
            </w:tcMar>
          </w:tcPr>
          <w:p>
            <w:pPr>
              <w:spacing w:before="0" w:after="0" w:line="252" w:lineRule="auto"/>
              <w:jc w:val="center"/>
            </w:pPr>
            <w:r>
              <w:rPr>
                <w:rFonts w:ascii="Cambria Math" w:hAnsi="Cambria Math"/>
                <w:sz w:val="16"/>
              </w:rPr>
              <w:t>5.96</w:t>
            </w:r>
          </w:p>
        </w:tc>
        <w:tc>
          <w:tcPr>
            <w:tcW w:type="dxa" w:w="1435"/>
            <w:vAlign w:val="center"/>
            <w:tcW w:w="1434" w:type="dxa"/>
            <w:tcMar>
              <w:top w:w="60" w:type="dxa"/>
              <w:bottom w:w="60" w:type="dxa"/>
              <w:left w:w="80" w:type="dxa"/>
              <w:right w:w="80" w:type="dxa"/>
            </w:tcMar>
          </w:tcPr>
          <w:p>
            <w:pPr>
              <w:spacing w:before="0" w:after="0" w:line="252" w:lineRule="auto"/>
              <w:jc w:val="center"/>
            </w:pPr>
            <w:r>
              <w:rPr>
                <w:rFonts w:ascii="Cambria Math" w:hAnsi="Cambria Math"/>
                <w:sz w:val="16"/>
              </w:rPr>
              <w:t>9.7\%</w:t>
            </w:r>
          </w:p>
        </w:tc>
        <w:tc>
          <w:tcPr>
            <w:tcW w:type="dxa" w:w="1481"/>
            <w:vAlign w:val="center"/>
            <w:tcW w:w="1481" w:type="dxa"/>
            <w:tcMar>
              <w:top w:w="60" w:type="dxa"/>
              <w:bottom w:w="60" w:type="dxa"/>
              <w:left w:w="80" w:type="dxa"/>
              <w:right w:w="80" w:type="dxa"/>
            </w:tcMar>
          </w:tcPr>
          <w:p>
            <w:pPr>
              <w:spacing w:before="0" w:after="0" w:line="252" w:lineRule="auto"/>
              <w:jc w:val="center"/>
            </w:pPr>
            <w:r>
              <w:rPr>
                <w:rFonts w:ascii="Cambria Math" w:hAnsi="Cambria Math"/>
                <w:sz w:val="16"/>
              </w:rPr>
              <w:t>0.145</w:t>
            </w:r>
          </w:p>
        </w:tc>
      </w:tr>
      <w:tr>
        <w:trPr>
          <w:cantSplit/>
        </w:trPr>
        <w:tc>
          <w:tcPr>
            <w:tcW w:type="dxa" w:w="1744"/>
            <w:vAlign w:val="center"/>
            <w:tcW w:w="1743"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PA</w:t>
            </w:r>
            <w:r>
              <w:rPr>
                <w:rFonts w:ascii="Times New Roman" w:hAnsi="Times New Roman"/>
                <w:sz w:val="16"/>
              </w:rPr>
              <w:t xml:space="preserve"> (Pará)</w:t>
            </w:r>
          </w:p>
        </w:tc>
        <w:tc>
          <w:tcPr>
            <w:tcW w:type="dxa" w:w="1029"/>
            <w:vAlign w:val="center"/>
            <w:tcW w:w="1029"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North</w:t>
            </w:r>
          </w:p>
        </w:tc>
        <w:tc>
          <w:tcPr>
            <w:tcW w:type="dxa" w:w="1340"/>
            <w:vAlign w:val="center"/>
            <w:tcW w:w="1339"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138</w:t>
            </w:r>
          </w:p>
        </w:tc>
        <w:tc>
          <w:tcPr>
            <w:tcW w:type="dxa" w:w="1481"/>
            <w:vAlign w:val="center"/>
            <w:tcW w:w="1481"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b/>
                <w:sz w:val="16"/>
              </w:rPr>
              <w:t>5.33</w:t>
            </w:r>
          </w:p>
        </w:tc>
        <w:tc>
          <w:tcPr>
            <w:tcW w:type="dxa" w:w="1527"/>
            <w:vAlign w:val="center"/>
            <w:tcW w:w="1526"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6.73</w:t>
            </w:r>
          </w:p>
        </w:tc>
        <w:tc>
          <w:tcPr>
            <w:tcW w:type="dxa" w:w="1435"/>
            <w:vAlign w:val="center"/>
            <w:tcW w:w="1434"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7.2\%</w:t>
            </w:r>
          </w:p>
        </w:tc>
        <w:tc>
          <w:tcPr>
            <w:tcW w:type="dxa" w:w="1481"/>
            <w:vAlign w:val="center"/>
            <w:tcW w:w="1481"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0.318</w:t>
            </w:r>
          </w:p>
        </w:tc>
      </w:tr>
      <w:tr>
        <w:trPr>
          <w:cantSplit/>
        </w:trPr>
        <w:tc>
          <w:tcPr>
            <w:tcW w:type="dxa" w:w="1744"/>
            <w:vAlign w:val="center"/>
            <w:tcW w:w="1743" w:type="dxa"/>
            <w:tcMar>
              <w:top w:w="60" w:type="dxa"/>
              <w:bottom w:w="60" w:type="dxa"/>
              <w:left w:w="80" w:type="dxa"/>
              <w:right w:w="80" w:type="dxa"/>
            </w:tcMar>
          </w:tcPr>
          <w:p>
            <w:pPr>
              <w:spacing w:before="0" w:after="0" w:line="252" w:lineRule="auto"/>
              <w:jc w:val="left"/>
            </w:pPr>
            <w:r>
              <w:rPr>
                <w:rFonts w:ascii="Times New Roman" w:hAnsi="Times New Roman"/>
                <w:b/>
                <w:sz w:val="16"/>
              </w:rPr>
              <w:t>MT</w:t>
            </w:r>
            <w:r>
              <w:rPr>
                <w:rFonts w:ascii="Times New Roman" w:hAnsi="Times New Roman"/>
                <w:sz w:val="16"/>
              </w:rPr>
              <w:t xml:space="preserve"> (Mato Grosso)</w:t>
            </w:r>
          </w:p>
        </w:tc>
        <w:tc>
          <w:tcPr>
            <w:tcW w:type="dxa" w:w="1029"/>
            <w:vAlign w:val="center"/>
            <w:tcW w:w="1029" w:type="dxa"/>
            <w:tcMar>
              <w:top w:w="60" w:type="dxa"/>
              <w:bottom w:w="60" w:type="dxa"/>
              <w:left w:w="80" w:type="dxa"/>
              <w:right w:w="80" w:type="dxa"/>
            </w:tcMar>
          </w:tcPr>
          <w:p>
            <w:pPr>
              <w:spacing w:before="0" w:after="0" w:line="252" w:lineRule="auto"/>
              <w:jc w:val="left"/>
            </w:pPr>
            <w:r>
              <w:rPr>
                <w:rFonts w:ascii="Times New Roman" w:hAnsi="Times New Roman"/>
                <w:sz w:val="16"/>
              </w:rPr>
              <w:t>Center-West</w:t>
            </w:r>
          </w:p>
        </w:tc>
        <w:tc>
          <w:tcPr>
            <w:tcW w:type="dxa" w:w="1340"/>
            <w:vAlign w:val="center"/>
            <w:tcW w:w="1339" w:type="dxa"/>
            <w:tcMar>
              <w:top w:w="60" w:type="dxa"/>
              <w:bottom w:w="60" w:type="dxa"/>
              <w:left w:w="80" w:type="dxa"/>
              <w:right w:w="80" w:type="dxa"/>
            </w:tcMar>
          </w:tcPr>
          <w:p>
            <w:pPr>
              <w:spacing w:before="0" w:after="0" w:line="252" w:lineRule="auto"/>
              <w:jc w:val="left"/>
            </w:pPr>
            <w:r>
              <w:rPr>
                <w:rFonts w:ascii="Times New Roman" w:hAnsi="Times New Roman"/>
                <w:sz w:val="16"/>
              </w:rPr>
              <w:t>125</w:t>
            </w:r>
          </w:p>
        </w:tc>
        <w:tc>
          <w:tcPr>
            <w:tcW w:type="dxa" w:w="1481"/>
            <w:vAlign w:val="center"/>
            <w:tcW w:w="1481" w:type="dxa"/>
            <w:tcMar>
              <w:top w:w="60" w:type="dxa"/>
              <w:bottom w:w="60" w:type="dxa"/>
              <w:left w:w="80" w:type="dxa"/>
              <w:right w:w="80" w:type="dxa"/>
            </w:tcMar>
          </w:tcPr>
          <w:p>
            <w:pPr>
              <w:spacing w:before="0" w:after="0" w:line="252" w:lineRule="auto"/>
              <w:jc w:val="center"/>
            </w:pPr>
            <w:r>
              <w:rPr>
                <w:rFonts w:ascii="Times New Roman" w:hAnsi="Times New Roman"/>
                <w:b/>
                <w:sz w:val="16"/>
              </w:rPr>
              <w:t>4.23</w:t>
            </w:r>
          </w:p>
        </w:tc>
        <w:tc>
          <w:tcPr>
            <w:tcW w:type="dxa" w:w="1527"/>
            <w:vAlign w:val="center"/>
            <w:tcW w:w="1526" w:type="dxa"/>
            <w:tcMar>
              <w:top w:w="60" w:type="dxa"/>
              <w:bottom w:w="60" w:type="dxa"/>
              <w:left w:w="80" w:type="dxa"/>
              <w:right w:w="80" w:type="dxa"/>
            </w:tcMar>
          </w:tcPr>
          <w:p>
            <w:pPr>
              <w:spacing w:before="0" w:after="0" w:line="252" w:lineRule="auto"/>
              <w:jc w:val="center"/>
            </w:pPr>
            <w:r>
              <w:rPr>
                <w:rFonts w:ascii="Cambria Math" w:hAnsi="Cambria Math"/>
                <w:sz w:val="16"/>
              </w:rPr>
              <w:t>6.44</w:t>
            </w:r>
          </w:p>
        </w:tc>
        <w:tc>
          <w:tcPr>
            <w:tcW w:type="dxa" w:w="1435"/>
            <w:vAlign w:val="center"/>
            <w:tcW w:w="1434" w:type="dxa"/>
            <w:tcMar>
              <w:top w:w="60" w:type="dxa"/>
              <w:bottom w:w="60" w:type="dxa"/>
              <w:left w:w="80" w:type="dxa"/>
              <w:right w:w="80" w:type="dxa"/>
            </w:tcMar>
          </w:tcPr>
          <w:p>
            <w:pPr>
              <w:spacing w:before="0" w:after="0" w:line="252" w:lineRule="auto"/>
              <w:jc w:val="center"/>
            </w:pPr>
            <w:r>
              <w:rPr>
                <w:rFonts w:ascii="Cambria Math" w:hAnsi="Cambria Math"/>
                <w:sz w:val="16"/>
              </w:rPr>
              <w:t>9.6\%</w:t>
            </w:r>
          </w:p>
        </w:tc>
        <w:tc>
          <w:tcPr>
            <w:tcW w:type="dxa" w:w="1481"/>
            <w:vAlign w:val="center"/>
            <w:tcW w:w="1481" w:type="dxa"/>
            <w:tcMar>
              <w:top w:w="60" w:type="dxa"/>
              <w:bottom w:w="60" w:type="dxa"/>
              <w:left w:w="80" w:type="dxa"/>
              <w:right w:w="80" w:type="dxa"/>
            </w:tcMar>
          </w:tcPr>
          <w:p>
            <w:pPr>
              <w:spacing w:before="0" w:after="0" w:line="252" w:lineRule="auto"/>
              <w:jc w:val="center"/>
            </w:pPr>
            <w:r>
              <w:rPr>
                <w:rFonts w:ascii="Cambria Math" w:hAnsi="Cambria Math"/>
                <w:sz w:val="16"/>
              </w:rPr>
              <w:t>0.323</w:t>
            </w:r>
          </w:p>
        </w:tc>
      </w:tr>
      <w:tr>
        <w:trPr>
          <w:cantSplit/>
        </w:trPr>
        <w:tc>
          <w:tcPr>
            <w:tcW w:type="dxa" w:w="1744"/>
            <w:vAlign w:val="center"/>
            <w:tcW w:w="1743"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MS</w:t>
            </w:r>
            <w:r>
              <w:rPr>
                <w:rFonts w:ascii="Times New Roman" w:hAnsi="Times New Roman"/>
                <w:sz w:val="16"/>
              </w:rPr>
              <w:t xml:space="preserve"> (Mato Grosso do Sul)</w:t>
            </w:r>
          </w:p>
        </w:tc>
        <w:tc>
          <w:tcPr>
            <w:tcW w:type="dxa" w:w="1029"/>
            <w:vAlign w:val="center"/>
            <w:tcW w:w="1029"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Center-West</w:t>
            </w:r>
          </w:p>
        </w:tc>
        <w:tc>
          <w:tcPr>
            <w:tcW w:type="dxa" w:w="1340"/>
            <w:vAlign w:val="center"/>
            <w:tcW w:w="1339"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114</w:t>
            </w:r>
          </w:p>
        </w:tc>
        <w:tc>
          <w:tcPr>
            <w:tcW w:type="dxa" w:w="1481"/>
            <w:vAlign w:val="center"/>
            <w:tcW w:w="1481"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b/>
                <w:sz w:val="16"/>
              </w:rPr>
              <w:t>4.45</w:t>
            </w:r>
          </w:p>
        </w:tc>
        <w:tc>
          <w:tcPr>
            <w:tcW w:type="dxa" w:w="1527"/>
            <w:vAlign w:val="center"/>
            <w:tcW w:w="1526"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5.82</w:t>
            </w:r>
          </w:p>
        </w:tc>
        <w:tc>
          <w:tcPr>
            <w:tcW w:type="dxa" w:w="1435"/>
            <w:vAlign w:val="center"/>
            <w:tcW w:w="1434"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12.4\%</w:t>
            </w:r>
          </w:p>
        </w:tc>
        <w:tc>
          <w:tcPr>
            <w:tcW w:type="dxa" w:w="1481"/>
            <w:vAlign w:val="center"/>
            <w:tcW w:w="1481"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0.333</w:t>
            </w:r>
          </w:p>
        </w:tc>
      </w:tr>
      <w:tr>
        <w:trPr>
          <w:cantSplit/>
        </w:trPr>
        <w:tc>
          <w:tcPr>
            <w:tcW w:type="dxa" w:w="1744"/>
            <w:vAlign w:val="center"/>
            <w:tcW w:w="1743" w:type="dxa"/>
            <w:tcMar>
              <w:top w:w="60" w:type="dxa"/>
              <w:bottom w:w="60" w:type="dxa"/>
              <w:left w:w="80" w:type="dxa"/>
              <w:right w:w="80" w:type="dxa"/>
            </w:tcMar>
          </w:tcPr>
          <w:p>
            <w:pPr>
              <w:spacing w:before="0" w:after="0" w:line="252" w:lineRule="auto"/>
              <w:jc w:val="left"/>
            </w:pPr>
            <w:r>
              <w:rPr>
                <w:rFonts w:ascii="Times New Roman" w:hAnsi="Times New Roman"/>
                <w:b/>
                <w:sz w:val="16"/>
              </w:rPr>
              <w:t>MA</w:t>
            </w:r>
            <w:r>
              <w:rPr>
                <w:rFonts w:ascii="Times New Roman" w:hAnsi="Times New Roman"/>
                <w:sz w:val="16"/>
              </w:rPr>
              <w:t xml:space="preserve"> (Maranhão)</w:t>
            </w:r>
          </w:p>
        </w:tc>
        <w:tc>
          <w:tcPr>
            <w:tcW w:type="dxa" w:w="1029"/>
            <w:vAlign w:val="center"/>
            <w:tcW w:w="1029" w:type="dxa"/>
            <w:tcMar>
              <w:top w:w="60" w:type="dxa"/>
              <w:bottom w:w="60" w:type="dxa"/>
              <w:left w:w="80" w:type="dxa"/>
              <w:right w:w="80" w:type="dxa"/>
            </w:tcMar>
          </w:tcPr>
          <w:p>
            <w:pPr>
              <w:spacing w:before="0" w:after="0" w:line="252" w:lineRule="auto"/>
              <w:jc w:val="left"/>
            </w:pPr>
            <w:r>
              <w:rPr>
                <w:rFonts w:ascii="Times New Roman" w:hAnsi="Times New Roman"/>
                <w:sz w:val="16"/>
              </w:rPr>
              <w:t>Northeast</w:t>
            </w:r>
          </w:p>
        </w:tc>
        <w:tc>
          <w:tcPr>
            <w:tcW w:type="dxa" w:w="1340"/>
            <w:vAlign w:val="center"/>
            <w:tcW w:w="1339" w:type="dxa"/>
            <w:tcMar>
              <w:top w:w="60" w:type="dxa"/>
              <w:bottom w:w="60" w:type="dxa"/>
              <w:left w:w="80" w:type="dxa"/>
              <w:right w:w="80" w:type="dxa"/>
            </w:tcMar>
          </w:tcPr>
          <w:p>
            <w:pPr>
              <w:spacing w:before="0" w:after="0" w:line="252" w:lineRule="auto"/>
              <w:jc w:val="left"/>
            </w:pPr>
            <w:r>
              <w:rPr>
                <w:rFonts w:ascii="Times New Roman" w:hAnsi="Times New Roman"/>
                <w:sz w:val="16"/>
              </w:rPr>
              <w:t>102</w:t>
            </w:r>
          </w:p>
        </w:tc>
        <w:tc>
          <w:tcPr>
            <w:tcW w:type="dxa" w:w="1481"/>
            <w:vAlign w:val="center"/>
            <w:tcW w:w="1481" w:type="dxa"/>
            <w:tcMar>
              <w:top w:w="60" w:type="dxa"/>
              <w:bottom w:w="60" w:type="dxa"/>
              <w:left w:w="80" w:type="dxa"/>
              <w:right w:w="80" w:type="dxa"/>
            </w:tcMar>
          </w:tcPr>
          <w:p>
            <w:pPr>
              <w:spacing w:before="0" w:after="0" w:line="252" w:lineRule="auto"/>
              <w:jc w:val="center"/>
            </w:pPr>
            <w:r>
              <w:rPr>
                <w:rFonts w:ascii="Times New Roman" w:hAnsi="Times New Roman"/>
                <w:b/>
                <w:sz w:val="16"/>
              </w:rPr>
              <w:t>5.50</w:t>
            </w:r>
          </w:p>
        </w:tc>
        <w:tc>
          <w:tcPr>
            <w:tcW w:type="dxa" w:w="1527"/>
            <w:vAlign w:val="center"/>
            <w:tcW w:w="1526" w:type="dxa"/>
            <w:tcMar>
              <w:top w:w="60" w:type="dxa"/>
              <w:bottom w:w="60" w:type="dxa"/>
              <w:left w:w="80" w:type="dxa"/>
              <w:right w:w="80" w:type="dxa"/>
            </w:tcMar>
          </w:tcPr>
          <w:p>
            <w:pPr>
              <w:spacing w:before="0" w:after="0" w:line="252" w:lineRule="auto"/>
              <w:jc w:val="center"/>
            </w:pPr>
            <w:r>
              <w:rPr>
                <w:rFonts w:ascii="Cambria Math" w:hAnsi="Cambria Math"/>
                <w:sz w:val="16"/>
              </w:rPr>
              <w:t>7.16</w:t>
            </w:r>
          </w:p>
        </w:tc>
        <w:tc>
          <w:tcPr>
            <w:tcW w:type="dxa" w:w="1435"/>
            <w:vAlign w:val="center"/>
            <w:tcW w:w="1434" w:type="dxa"/>
            <w:tcMar>
              <w:top w:w="60" w:type="dxa"/>
              <w:bottom w:w="60" w:type="dxa"/>
              <w:left w:w="80" w:type="dxa"/>
              <w:right w:w="80" w:type="dxa"/>
            </w:tcMar>
          </w:tcPr>
          <w:p>
            <w:pPr>
              <w:spacing w:before="0" w:after="0" w:line="252" w:lineRule="auto"/>
              <w:jc w:val="center"/>
            </w:pPr>
            <w:r>
              <w:rPr>
                <w:rFonts w:ascii="Cambria Math" w:hAnsi="Cambria Math"/>
                <w:sz w:val="16"/>
              </w:rPr>
              <w:t>19.0\%</w:t>
            </w:r>
          </w:p>
        </w:tc>
        <w:tc>
          <w:tcPr>
            <w:tcW w:type="dxa" w:w="1481"/>
            <w:vAlign w:val="center"/>
            <w:tcW w:w="1481" w:type="dxa"/>
            <w:tcMar>
              <w:top w:w="60" w:type="dxa"/>
              <w:bottom w:w="60" w:type="dxa"/>
              <w:left w:w="80" w:type="dxa"/>
              <w:right w:w="80" w:type="dxa"/>
            </w:tcMar>
          </w:tcPr>
          <w:p>
            <w:pPr>
              <w:spacing w:before="0" w:after="0" w:line="252" w:lineRule="auto"/>
              <w:jc w:val="center"/>
            </w:pPr>
            <w:r>
              <w:rPr>
                <w:rFonts w:ascii="Cambria Math" w:hAnsi="Cambria Math"/>
                <w:sz w:val="16"/>
              </w:rPr>
              <w:t>0.198</w:t>
            </w:r>
          </w:p>
        </w:tc>
      </w:tr>
      <w:tr>
        <w:trPr>
          <w:cantSplit/>
        </w:trPr>
        <w:tc>
          <w:tcPr>
            <w:tcW w:type="dxa" w:w="1744"/>
            <w:vAlign w:val="center"/>
            <w:tcW w:w="1743"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AM</w:t>
            </w:r>
            <w:r>
              <w:rPr>
                <w:rFonts w:ascii="Times New Roman" w:hAnsi="Times New Roman"/>
                <w:sz w:val="16"/>
              </w:rPr>
              <w:t xml:space="preserve"> (Amazonas)</w:t>
            </w:r>
          </w:p>
        </w:tc>
        <w:tc>
          <w:tcPr>
            <w:tcW w:type="dxa" w:w="1029"/>
            <w:vAlign w:val="center"/>
            <w:tcW w:w="1029"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North</w:t>
            </w:r>
          </w:p>
        </w:tc>
        <w:tc>
          <w:tcPr>
            <w:tcW w:type="dxa" w:w="1340"/>
            <w:vAlign w:val="center"/>
            <w:tcW w:w="1339"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19</w:t>
            </w:r>
          </w:p>
        </w:tc>
        <w:tc>
          <w:tcPr>
            <w:tcW w:type="dxa" w:w="1481"/>
            <w:vAlign w:val="center"/>
            <w:tcW w:w="1481"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b/>
                <w:sz w:val="16"/>
              </w:rPr>
              <w:t>7.55</w:t>
            </w:r>
          </w:p>
        </w:tc>
        <w:tc>
          <w:tcPr>
            <w:tcW w:type="dxa" w:w="1527"/>
            <w:vAlign w:val="center"/>
            <w:tcW w:w="1526"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9.22</w:t>
            </w:r>
          </w:p>
        </w:tc>
        <w:tc>
          <w:tcPr>
            <w:tcW w:type="dxa" w:w="1435"/>
            <w:vAlign w:val="center"/>
            <w:tcW w:w="1434"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21.1\%</w:t>
            </w:r>
          </w:p>
        </w:tc>
        <w:tc>
          <w:tcPr>
            <w:tcW w:type="dxa" w:w="1481"/>
            <w:vAlign w:val="center"/>
            <w:tcW w:w="1481"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6"/>
              </w:rPr>
              <w:t>0.421</w:t>
            </w:r>
          </w:p>
        </w:tc>
      </w:tr>
      <w:tr>
        <w:trPr>
          <w:cantSplit/>
        </w:trPr>
        <w:tc>
          <w:tcPr>
            <w:tcW w:type="dxa" w:w="1744"/>
            <w:vAlign w:val="center"/>
            <w:tcW w:w="1743" w:type="dxa"/>
            <w:tcMar>
              <w:top w:w="60" w:type="dxa"/>
              <w:bottom w:w="60" w:type="dxa"/>
              <w:left w:w="80" w:type="dxa"/>
              <w:right w:w="80" w:type="dxa"/>
            </w:tcMar>
          </w:tcPr>
          <w:p>
            <w:pPr>
              <w:spacing w:before="0" w:after="0" w:line="252" w:lineRule="auto"/>
              <w:jc w:val="left"/>
            </w:pPr>
            <w:r>
              <w:rPr>
                <w:rFonts w:ascii="Times New Roman" w:hAnsi="Times New Roman"/>
                <w:b/>
                <w:sz w:val="16"/>
              </w:rPr>
              <w:t>AP</w:t>
            </w:r>
            <w:r>
              <w:rPr>
                <w:rFonts w:ascii="Times New Roman" w:hAnsi="Times New Roman"/>
                <w:sz w:val="16"/>
              </w:rPr>
              <w:t xml:space="preserve"> (Amapá)</w:t>
            </w:r>
          </w:p>
        </w:tc>
        <w:tc>
          <w:tcPr>
            <w:tcW w:type="dxa" w:w="1029"/>
            <w:vAlign w:val="center"/>
            <w:tcW w:w="1029" w:type="dxa"/>
            <w:tcMar>
              <w:top w:w="60" w:type="dxa"/>
              <w:bottom w:w="60" w:type="dxa"/>
              <w:left w:w="80" w:type="dxa"/>
              <w:right w:w="80" w:type="dxa"/>
            </w:tcMar>
          </w:tcPr>
          <w:p>
            <w:pPr>
              <w:spacing w:before="0" w:after="0" w:line="252" w:lineRule="auto"/>
              <w:jc w:val="left"/>
            </w:pPr>
            <w:r>
              <w:rPr>
                <w:rFonts w:ascii="Times New Roman" w:hAnsi="Times New Roman"/>
                <w:sz w:val="16"/>
              </w:rPr>
              <w:t>North</w:t>
            </w:r>
          </w:p>
        </w:tc>
        <w:tc>
          <w:tcPr>
            <w:tcW w:type="dxa" w:w="1340"/>
            <w:vAlign w:val="center"/>
            <w:tcW w:w="1339" w:type="dxa"/>
            <w:tcMar>
              <w:top w:w="60" w:type="dxa"/>
              <w:bottom w:w="60" w:type="dxa"/>
              <w:left w:w="80" w:type="dxa"/>
              <w:right w:w="80" w:type="dxa"/>
            </w:tcMar>
          </w:tcPr>
          <w:p>
            <w:pPr>
              <w:spacing w:before="0" w:after="0" w:line="252" w:lineRule="auto"/>
              <w:jc w:val="left"/>
            </w:pPr>
            <w:r>
              <w:rPr>
                <w:rFonts w:ascii="Times New Roman" w:hAnsi="Times New Roman"/>
                <w:sz w:val="16"/>
              </w:rPr>
              <w:t>10</w:t>
            </w:r>
          </w:p>
        </w:tc>
        <w:tc>
          <w:tcPr>
            <w:tcW w:type="dxa" w:w="1481"/>
            <w:vAlign w:val="center"/>
            <w:tcW w:w="1481" w:type="dxa"/>
            <w:tcMar>
              <w:top w:w="60" w:type="dxa"/>
              <w:bottom w:w="60" w:type="dxa"/>
              <w:left w:w="80" w:type="dxa"/>
              <w:right w:w="80" w:type="dxa"/>
            </w:tcMar>
          </w:tcPr>
          <w:p>
            <w:pPr>
              <w:spacing w:before="0" w:after="0" w:line="252" w:lineRule="auto"/>
              <w:jc w:val="center"/>
            </w:pPr>
            <w:r>
              <w:rPr>
                <w:rFonts w:ascii="Times New Roman" w:hAnsi="Times New Roman"/>
                <w:b/>
                <w:sz w:val="16"/>
              </w:rPr>
              <w:t>10.28</w:t>
            </w:r>
          </w:p>
        </w:tc>
        <w:tc>
          <w:tcPr>
            <w:tcW w:type="dxa" w:w="1527"/>
            <w:vAlign w:val="center"/>
            <w:tcW w:w="1526" w:type="dxa"/>
            <w:tcMar>
              <w:top w:w="60" w:type="dxa"/>
              <w:bottom w:w="60" w:type="dxa"/>
              <w:left w:w="80" w:type="dxa"/>
              <w:right w:w="80" w:type="dxa"/>
            </w:tcMar>
          </w:tcPr>
          <w:p>
            <w:pPr>
              <w:spacing w:before="0" w:after="0" w:line="252" w:lineRule="auto"/>
              <w:jc w:val="center"/>
            </w:pPr>
            <w:r>
              <w:rPr>
                <w:rFonts w:ascii="Cambria Math" w:hAnsi="Cambria Math"/>
                <w:sz w:val="16"/>
              </w:rPr>
              <w:t>12.58</w:t>
            </w:r>
          </w:p>
        </w:tc>
        <w:tc>
          <w:tcPr>
            <w:tcW w:type="dxa" w:w="1435"/>
            <w:vAlign w:val="center"/>
            <w:tcW w:w="1434" w:type="dxa"/>
            <w:tcMar>
              <w:top w:w="60" w:type="dxa"/>
              <w:bottom w:w="60" w:type="dxa"/>
              <w:left w:w="80" w:type="dxa"/>
              <w:right w:w="80" w:type="dxa"/>
            </w:tcMar>
          </w:tcPr>
          <w:p>
            <w:pPr>
              <w:spacing w:before="0" w:after="0" w:line="252" w:lineRule="auto"/>
              <w:jc w:val="center"/>
            </w:pPr>
            <w:r>
              <w:rPr>
                <w:rFonts w:ascii="Cambria Math" w:hAnsi="Cambria Math"/>
                <w:sz w:val="16"/>
              </w:rPr>
              <w:t>0.0\%</w:t>
            </w:r>
          </w:p>
        </w:tc>
        <w:tc>
          <w:tcPr>
            <w:tcW w:type="dxa" w:w="1481"/>
            <w:vAlign w:val="center"/>
            <w:tcW w:w="1481" w:type="dxa"/>
            <w:tcMar>
              <w:top w:w="60" w:type="dxa"/>
              <w:bottom w:w="60" w:type="dxa"/>
              <w:left w:w="80" w:type="dxa"/>
              <w:right w:w="80" w:type="dxa"/>
            </w:tcMar>
          </w:tcPr>
          <w:p>
            <w:pPr>
              <w:spacing w:before="0" w:after="0" w:line="252" w:lineRule="auto"/>
              <w:jc w:val="left"/>
            </w:pPr>
            <w:r>
              <w:rPr>
                <w:rFonts w:ascii="Times New Roman" w:hAnsi="Times New Roman"/>
                <w:sz w:val="16"/>
              </w:rPr>
              <w:t>—</w:t>
            </w:r>
          </w:p>
        </w:tc>
      </w:tr>
    </w:tbl>
    <w:p>
      <w:pPr>
        <w:spacing w:before="40" w:after="40" w:line="40" w:lineRule="exact"/>
      </w:pPr>
    </w:p>
    <w:p>
      <w:pPr>
        <w:pStyle w:val="Heading3"/>
      </w:pPr>
      <w:r>
        <w:rPr>
          <w:rFonts w:ascii="Times New Roman" w:hAnsi="Times New Roman"/>
          <w:b/>
          <w:sz w:val="23"/>
        </w:rPr>
        <w:t>Table E.5: Haversine Distance Bands (Regression)</w:t>
      </w:r>
    </w:p>
    <w:tbl>
      <w:tblPr>
        <w:tblW w:type="auto" w:w="0"/>
        <w:jc w:val="center"/>
        <w:tblLayout w:type="fixed"/>
        <w:tblLook w:firstColumn="1" w:firstRow="1" w:lastColumn="0" w:lastRow="0" w:noHBand="0" w:noVBand="1" w:val="04A0"/>
        <w:tblBorders>
          <w:top w:val="single" w:sz="8" w:space="0" w:color="1F4E79"/>
          <w:bottom w:val="single" w:sz="8" w:space="0" w:color="1F4E79"/>
          <w:left w:val="single" w:sz="4" w:space="0" w:color="D9D9D9"/>
          <w:right w:val="single" w:sz="4" w:space="0" w:color="D9D9D9"/>
          <w:insideH w:val="single" w:sz="4" w:space="0" w:color="E2E8F0"/>
          <w:insideV w:val="single" w:sz="4" w:space="0" w:color="E2E8F0"/>
        </w:tblBorders>
      </w:tblPr>
      <w:tblGrid>
        <w:gridCol w:w="2007"/>
        <w:gridCol w:w="2007"/>
        <w:gridCol w:w="2007"/>
        <w:gridCol w:w="2007"/>
        <w:gridCol w:w="2007"/>
      </w:tblGrid>
      <w:tr>
        <w:trPr>
          <w:cantSplit/>
          <w:tblHeader/>
        </w:trPr>
        <w:tc>
          <w:tcPr>
            <w:tcW w:type="dxa" w:w="1930"/>
            <w:vAlign w:val="center"/>
            <w:tcW w:w="1930"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7"/>
              </w:rPr>
              <w:t>Distance Band</w:t>
            </w:r>
          </w:p>
        </w:tc>
        <w:tc>
          <w:tcPr>
            <w:tcW w:type="dxa" w:w="2610"/>
            <w:vAlign w:val="center"/>
            <w:tcW w:w="2610"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7"/>
              </w:rPr>
              <w:t>Operational Logistics Mode</w:t>
            </w:r>
          </w:p>
        </w:tc>
        <w:tc>
          <w:tcPr>
            <w:tcW w:type="dxa" w:w="1694"/>
            <w:vAlign w:val="center"/>
            <w:tcW w:w="1694"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7"/>
              </w:rPr>
              <w:t>Holdout Orders (</w:t>
            </w:r>
            <w:r>
              <w:rPr>
                <w:rFonts w:ascii="Cambria Math" w:hAnsi="Cambria Math"/>
                <w:b/>
                <w:sz w:val="17"/>
              </w:rPr>
              <w:t>N</w:t>
            </w:r>
            <w:r>
              <w:rPr>
                <w:rFonts w:ascii="Times New Roman" w:hAnsi="Times New Roman"/>
                <w:b/>
                <w:sz w:val="17"/>
              </w:rPr>
              <w:t>)</w:t>
            </w:r>
          </w:p>
        </w:tc>
        <w:tc>
          <w:tcPr>
            <w:tcW w:type="dxa" w:w="1873"/>
            <w:vAlign w:val="center"/>
            <w:tcW w:w="1872" w:type="dxa"/>
            <w:tcMar>
              <w:top w:w="60" w:type="dxa"/>
              <w:bottom w:w="60" w:type="dxa"/>
              <w:left w:w="80" w:type="dxa"/>
              <w:right w:w="80" w:type="dxa"/>
            </w:tcMar>
            <w:shd w:val="clear" w:color="auto" w:fill="E8EEF5"/>
          </w:tcPr>
          <w:p>
            <w:pPr>
              <w:spacing w:before="0" w:after="0" w:line="252" w:lineRule="auto"/>
              <w:jc w:val="center"/>
            </w:pPr>
            <w:r>
              <w:rPr>
                <w:rFonts w:ascii="Times New Roman" w:hAnsi="Times New Roman"/>
                <w:b/>
                <w:sz w:val="17"/>
              </w:rPr>
              <w:t>Regression MAE (days)</w:t>
            </w:r>
          </w:p>
        </w:tc>
        <w:tc>
          <w:tcPr>
            <w:tcW w:type="dxa" w:w="1930"/>
            <w:vAlign w:val="center"/>
            <w:tcW w:w="1930" w:type="dxa"/>
            <w:tcMar>
              <w:top w:w="60" w:type="dxa"/>
              <w:bottom w:w="60" w:type="dxa"/>
              <w:left w:w="80" w:type="dxa"/>
              <w:right w:w="80" w:type="dxa"/>
            </w:tcMar>
            <w:shd w:val="clear" w:color="auto" w:fill="E8EEF5"/>
          </w:tcPr>
          <w:p>
            <w:pPr>
              <w:spacing w:before="0" w:after="0" w:line="252" w:lineRule="auto"/>
              <w:jc w:val="center"/>
            </w:pPr>
            <w:r>
              <w:rPr>
                <w:rFonts w:ascii="Times New Roman" w:hAnsi="Times New Roman"/>
                <w:b/>
                <w:sz w:val="17"/>
              </w:rPr>
              <w:t>Regression RMSE (days)</w:t>
            </w:r>
          </w:p>
        </w:tc>
      </w:tr>
      <w:tr>
        <w:trPr>
          <w:cantSplit/>
        </w:trPr>
        <w:tc>
          <w:tcPr>
            <w:tcW w:type="dxa" w:w="1930"/>
            <w:vAlign w:val="center"/>
            <w:tcW w:w="1930"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7"/>
              </w:rPr>
              <w:t>0 – 250 km</w:t>
            </w:r>
          </w:p>
        </w:tc>
        <w:tc>
          <w:tcPr>
            <w:tcW w:type="dxa" w:w="2610"/>
            <w:vAlign w:val="center"/>
            <w:tcW w:w="2610"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Local Metropolitan Ground Delivery</w:t>
            </w:r>
          </w:p>
        </w:tc>
        <w:tc>
          <w:tcPr>
            <w:tcW w:type="dxa" w:w="1694"/>
            <w:vAlign w:val="center"/>
            <w:tcW w:w="1694"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5,005</w:t>
            </w:r>
          </w:p>
        </w:tc>
        <w:tc>
          <w:tcPr>
            <w:tcW w:type="dxa" w:w="1873"/>
            <w:vAlign w:val="center"/>
            <w:tcW w:w="1872"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b/>
                <w:sz w:val="17"/>
              </w:rPr>
              <w:t>2.69</w:t>
            </w:r>
          </w:p>
        </w:tc>
        <w:tc>
          <w:tcPr>
            <w:tcW w:type="dxa" w:w="1930"/>
            <w:vAlign w:val="center"/>
            <w:tcW w:w="1930"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7"/>
              </w:rPr>
              <w:t>4.21</w:t>
            </w:r>
          </w:p>
        </w:tc>
      </w:tr>
      <w:tr>
        <w:trPr>
          <w:cantSplit/>
        </w:trPr>
        <w:tc>
          <w:tcPr>
            <w:tcW w:type="dxa" w:w="1930"/>
            <w:vAlign w:val="center"/>
            <w:tcW w:w="1930" w:type="dxa"/>
            <w:tcMar>
              <w:top w:w="60" w:type="dxa"/>
              <w:bottom w:w="60" w:type="dxa"/>
              <w:left w:w="80" w:type="dxa"/>
              <w:right w:w="80" w:type="dxa"/>
            </w:tcMar>
          </w:tcPr>
          <w:p>
            <w:pPr>
              <w:spacing w:before="0" w:after="0" w:line="252" w:lineRule="auto"/>
              <w:jc w:val="left"/>
            </w:pPr>
            <w:r>
              <w:rPr>
                <w:rFonts w:ascii="Times New Roman" w:hAnsi="Times New Roman"/>
                <w:b/>
                <w:sz w:val="17"/>
              </w:rPr>
              <w:t>250 – 500 km</w:t>
            </w:r>
          </w:p>
        </w:tc>
        <w:tc>
          <w:tcPr>
            <w:tcW w:type="dxa" w:w="2610"/>
            <w:vAlign w:val="center"/>
            <w:tcW w:w="2610" w:type="dxa"/>
            <w:tcMar>
              <w:top w:w="60" w:type="dxa"/>
              <w:bottom w:w="60" w:type="dxa"/>
              <w:left w:w="80" w:type="dxa"/>
              <w:right w:w="80" w:type="dxa"/>
            </w:tcMar>
          </w:tcPr>
          <w:p>
            <w:pPr>
              <w:spacing w:before="0" w:after="0" w:line="252" w:lineRule="auto"/>
              <w:jc w:val="left"/>
            </w:pPr>
            <w:r>
              <w:rPr>
                <w:rFonts w:ascii="Times New Roman" w:hAnsi="Times New Roman"/>
                <w:sz w:val="17"/>
              </w:rPr>
              <w:t>Regional Interstate Ground Trucking</w:t>
            </w:r>
          </w:p>
        </w:tc>
        <w:tc>
          <w:tcPr>
            <w:tcW w:type="dxa" w:w="1694"/>
            <w:vAlign w:val="center"/>
            <w:tcW w:w="1694" w:type="dxa"/>
            <w:tcMar>
              <w:top w:w="60" w:type="dxa"/>
              <w:bottom w:w="60" w:type="dxa"/>
              <w:left w:w="80" w:type="dxa"/>
              <w:right w:w="80" w:type="dxa"/>
            </w:tcMar>
          </w:tcPr>
          <w:p>
            <w:pPr>
              <w:spacing w:before="0" w:after="0" w:line="252" w:lineRule="auto"/>
              <w:jc w:val="left"/>
            </w:pPr>
            <w:r>
              <w:rPr>
                <w:rFonts w:ascii="Times New Roman" w:hAnsi="Times New Roman"/>
                <w:sz w:val="17"/>
              </w:rPr>
              <w:t>4,260</w:t>
            </w:r>
          </w:p>
        </w:tc>
        <w:tc>
          <w:tcPr>
            <w:tcW w:type="dxa" w:w="1873"/>
            <w:vAlign w:val="center"/>
            <w:tcW w:w="1872" w:type="dxa"/>
            <w:tcMar>
              <w:top w:w="60" w:type="dxa"/>
              <w:bottom w:w="60" w:type="dxa"/>
              <w:left w:w="80" w:type="dxa"/>
              <w:right w:w="80" w:type="dxa"/>
            </w:tcMar>
          </w:tcPr>
          <w:p>
            <w:pPr>
              <w:spacing w:before="0" w:after="0" w:line="252" w:lineRule="auto"/>
              <w:jc w:val="center"/>
            </w:pPr>
            <w:r>
              <w:rPr>
                <w:rFonts w:ascii="Times New Roman" w:hAnsi="Times New Roman"/>
                <w:b/>
                <w:sz w:val="17"/>
              </w:rPr>
              <w:t>3.46</w:t>
            </w:r>
          </w:p>
        </w:tc>
        <w:tc>
          <w:tcPr>
            <w:tcW w:type="dxa" w:w="1930"/>
            <w:vAlign w:val="center"/>
            <w:tcW w:w="1930" w:type="dxa"/>
            <w:tcMar>
              <w:top w:w="60" w:type="dxa"/>
              <w:bottom w:w="60" w:type="dxa"/>
              <w:left w:w="80" w:type="dxa"/>
              <w:right w:w="80" w:type="dxa"/>
            </w:tcMar>
          </w:tcPr>
          <w:p>
            <w:pPr>
              <w:spacing w:before="0" w:after="0" w:line="252" w:lineRule="auto"/>
              <w:jc w:val="center"/>
            </w:pPr>
            <w:r>
              <w:rPr>
                <w:rFonts w:ascii="Cambria Math" w:hAnsi="Cambria Math"/>
                <w:sz w:val="17"/>
              </w:rPr>
              <w:t>4.59</w:t>
            </w:r>
          </w:p>
        </w:tc>
      </w:tr>
      <w:tr>
        <w:trPr>
          <w:cantSplit/>
        </w:trPr>
        <w:tc>
          <w:tcPr>
            <w:tcW w:type="dxa" w:w="1930"/>
            <w:vAlign w:val="center"/>
            <w:tcW w:w="1930"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7"/>
              </w:rPr>
              <w:t>500 – 1000 km</w:t>
            </w:r>
          </w:p>
        </w:tc>
        <w:tc>
          <w:tcPr>
            <w:tcW w:type="dxa" w:w="2610"/>
            <w:vAlign w:val="center"/>
            <w:tcW w:w="2610"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Inter-Regional Freight Hub Transfer</w:t>
            </w:r>
          </w:p>
        </w:tc>
        <w:tc>
          <w:tcPr>
            <w:tcW w:type="dxa" w:w="1694"/>
            <w:vAlign w:val="center"/>
            <w:tcW w:w="1694"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3,808</w:t>
            </w:r>
          </w:p>
        </w:tc>
        <w:tc>
          <w:tcPr>
            <w:tcW w:type="dxa" w:w="1873"/>
            <w:vAlign w:val="center"/>
            <w:tcW w:w="1872"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b/>
                <w:sz w:val="17"/>
              </w:rPr>
              <w:t>4.20</w:t>
            </w:r>
          </w:p>
        </w:tc>
        <w:tc>
          <w:tcPr>
            <w:tcW w:type="dxa" w:w="1930"/>
            <w:vAlign w:val="center"/>
            <w:tcW w:w="1930"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7"/>
              </w:rPr>
              <w:t>5.83</w:t>
            </w:r>
          </w:p>
        </w:tc>
      </w:tr>
      <w:tr>
        <w:trPr>
          <w:cantSplit/>
        </w:trPr>
        <w:tc>
          <w:tcPr>
            <w:tcW w:type="dxa" w:w="1930"/>
            <w:vAlign w:val="center"/>
            <w:tcW w:w="1930" w:type="dxa"/>
            <w:tcMar>
              <w:top w:w="60" w:type="dxa"/>
              <w:bottom w:w="60" w:type="dxa"/>
              <w:left w:w="80" w:type="dxa"/>
              <w:right w:w="80" w:type="dxa"/>
            </w:tcMar>
          </w:tcPr>
          <w:p>
            <w:pPr>
              <w:spacing w:before="0" w:after="0" w:line="252" w:lineRule="auto"/>
              <w:jc w:val="left"/>
            </w:pPr>
            <w:r>
              <w:rPr>
                <w:rFonts w:ascii="Times New Roman" w:hAnsi="Times New Roman"/>
                <w:b/>
                <w:sz w:val="17"/>
              </w:rPr>
              <w:t>&gt; 1000 km</w:t>
            </w:r>
          </w:p>
        </w:tc>
        <w:tc>
          <w:tcPr>
            <w:tcW w:type="dxa" w:w="2610"/>
            <w:vAlign w:val="center"/>
            <w:tcW w:w="2610" w:type="dxa"/>
            <w:tcMar>
              <w:top w:w="60" w:type="dxa"/>
              <w:bottom w:w="60" w:type="dxa"/>
              <w:left w:w="80" w:type="dxa"/>
              <w:right w:w="80" w:type="dxa"/>
            </w:tcMar>
          </w:tcPr>
          <w:p>
            <w:pPr>
              <w:spacing w:before="0" w:after="0" w:line="252" w:lineRule="auto"/>
              <w:jc w:val="left"/>
            </w:pPr>
            <w:r>
              <w:rPr>
                <w:rFonts w:ascii="Times New Roman" w:hAnsi="Times New Roman"/>
                <w:sz w:val="17"/>
              </w:rPr>
              <w:t>Cross-Country Long-Haul Logistics</w:t>
            </w:r>
          </w:p>
        </w:tc>
        <w:tc>
          <w:tcPr>
            <w:tcW w:type="dxa" w:w="1694"/>
            <w:vAlign w:val="center"/>
            <w:tcW w:w="1694" w:type="dxa"/>
            <w:tcMar>
              <w:top w:w="60" w:type="dxa"/>
              <w:bottom w:w="60" w:type="dxa"/>
              <w:left w:w="80" w:type="dxa"/>
              <w:right w:w="80" w:type="dxa"/>
            </w:tcMar>
          </w:tcPr>
          <w:p>
            <w:pPr>
              <w:spacing w:before="0" w:after="0" w:line="252" w:lineRule="auto"/>
              <w:jc w:val="left"/>
            </w:pPr>
            <w:r>
              <w:rPr>
                <w:rFonts w:ascii="Times New Roman" w:hAnsi="Times New Roman"/>
                <w:sz w:val="17"/>
              </w:rPr>
              <w:t>2,352</w:t>
            </w:r>
          </w:p>
        </w:tc>
        <w:tc>
          <w:tcPr>
            <w:tcW w:type="dxa" w:w="1873"/>
            <w:vAlign w:val="center"/>
            <w:tcW w:w="1872" w:type="dxa"/>
            <w:tcMar>
              <w:top w:w="60" w:type="dxa"/>
              <w:bottom w:w="60" w:type="dxa"/>
              <w:left w:w="80" w:type="dxa"/>
              <w:right w:w="80" w:type="dxa"/>
            </w:tcMar>
          </w:tcPr>
          <w:p>
            <w:pPr>
              <w:spacing w:before="0" w:after="0" w:line="252" w:lineRule="auto"/>
              <w:jc w:val="center"/>
            </w:pPr>
            <w:r>
              <w:rPr>
                <w:rFonts w:ascii="Times New Roman" w:hAnsi="Times New Roman"/>
                <w:b/>
                <w:sz w:val="17"/>
              </w:rPr>
              <w:t>5.45</w:t>
            </w:r>
          </w:p>
        </w:tc>
        <w:tc>
          <w:tcPr>
            <w:tcW w:type="dxa" w:w="1930"/>
            <w:vAlign w:val="center"/>
            <w:tcW w:w="1930" w:type="dxa"/>
            <w:tcMar>
              <w:top w:w="60" w:type="dxa"/>
              <w:bottom w:w="60" w:type="dxa"/>
              <w:left w:w="80" w:type="dxa"/>
              <w:right w:w="80" w:type="dxa"/>
            </w:tcMar>
          </w:tcPr>
          <w:p>
            <w:pPr>
              <w:spacing w:before="0" w:after="0" w:line="252" w:lineRule="auto"/>
              <w:jc w:val="center"/>
            </w:pPr>
            <w:r>
              <w:rPr>
                <w:rFonts w:ascii="Cambria Math" w:hAnsi="Cambria Math"/>
                <w:sz w:val="17"/>
              </w:rPr>
              <w:t>7.20</w:t>
            </w:r>
          </w:p>
        </w:tc>
      </w:tr>
      <w:tr>
        <w:trPr>
          <w:cantSplit/>
        </w:trPr>
        <w:tc>
          <w:tcPr>
            <w:tcW w:type="dxa" w:w="1930"/>
            <w:vAlign w:val="center"/>
            <w:tcW w:w="1930"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7"/>
              </w:rPr>
              <w:t>Missing Coordinate</w:t>
            </w:r>
          </w:p>
        </w:tc>
        <w:tc>
          <w:tcPr>
            <w:tcW w:type="dxa" w:w="2610"/>
            <w:vAlign w:val="center"/>
            <w:tcW w:w="2610"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Imputed Median Centroid</w:t>
            </w:r>
          </w:p>
        </w:tc>
        <w:tc>
          <w:tcPr>
            <w:tcW w:type="dxa" w:w="1694"/>
            <w:vAlign w:val="center"/>
            <w:tcW w:w="1694"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190</w:t>
            </w:r>
          </w:p>
        </w:tc>
        <w:tc>
          <w:tcPr>
            <w:tcW w:type="dxa" w:w="1873"/>
            <w:vAlign w:val="center"/>
            <w:tcW w:w="1872"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b/>
                <w:sz w:val="17"/>
              </w:rPr>
              <w:t>5.30</w:t>
            </w:r>
          </w:p>
        </w:tc>
        <w:tc>
          <w:tcPr>
            <w:tcW w:type="dxa" w:w="1930"/>
            <w:vAlign w:val="center"/>
            <w:tcW w:w="1930"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7"/>
              </w:rPr>
              <w:t>7.13</w:t>
            </w:r>
          </w:p>
        </w:tc>
      </w:tr>
    </w:tbl>
    <w:p>
      <w:pPr>
        <w:spacing w:before="40" w:after="40" w:line="40" w:lineRule="exact"/>
      </w:pPr>
    </w:p>
    <w:p>
      <w:pPr>
        <w:pStyle w:val="Heading3"/>
      </w:pPr>
      <w:r>
        <w:rPr>
          <w:rFonts w:ascii="Times New Roman" w:hAnsi="Times New Roman"/>
          <w:b/>
          <w:sz w:val="23"/>
        </w:rPr>
        <w:t>Table E.6: Basket Item Complexity</w:t>
      </w:r>
    </w:p>
    <w:tbl>
      <w:tblPr>
        <w:tblW w:type="auto" w:w="0"/>
        <w:jc w:val="center"/>
        <w:tblLayout w:type="fixed"/>
        <w:tblLook w:firstColumn="1" w:firstRow="1" w:lastColumn="0" w:lastRow="0" w:noHBand="0" w:noVBand="1" w:val="04A0"/>
        <w:tblBorders>
          <w:top w:val="single" w:sz="8" w:space="0" w:color="1F4E79"/>
          <w:bottom w:val="single" w:sz="8" w:space="0" w:color="1F4E79"/>
          <w:left w:val="single" w:sz="4" w:space="0" w:color="D9D9D9"/>
          <w:right w:val="single" w:sz="4" w:space="0" w:color="D9D9D9"/>
          <w:insideH w:val="single" w:sz="4" w:space="0" w:color="E2E8F0"/>
          <w:insideV w:val="single" w:sz="4" w:space="0" w:color="E2E8F0"/>
        </w:tblBorders>
      </w:tblPr>
      <w:tblGrid>
        <w:gridCol w:w="2007"/>
        <w:gridCol w:w="2007"/>
        <w:gridCol w:w="2007"/>
        <w:gridCol w:w="2007"/>
        <w:gridCol w:w="2007"/>
      </w:tblGrid>
      <w:tr>
        <w:trPr>
          <w:cantSplit/>
          <w:tblHeader/>
        </w:trPr>
        <w:tc>
          <w:tcPr>
            <w:tcW w:type="dxa" w:w="1475"/>
            <w:vAlign w:val="center"/>
            <w:tcW w:w="1474"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7"/>
              </w:rPr>
              <w:t>Basket Size</w:t>
            </w:r>
          </w:p>
        </w:tc>
        <w:tc>
          <w:tcPr>
            <w:tcW w:type="dxa" w:w="2649"/>
            <w:vAlign w:val="center"/>
            <w:tcW w:w="2648"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7"/>
              </w:rPr>
              <w:t>Picking &amp; Consolidation Type</w:t>
            </w:r>
          </w:p>
        </w:tc>
        <w:tc>
          <w:tcPr>
            <w:tcW w:type="dxa" w:w="1822"/>
            <w:vAlign w:val="center"/>
            <w:tcW w:w="1822"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7"/>
              </w:rPr>
              <w:t>Holdout Orders (</w:t>
            </w:r>
            <w:r>
              <w:rPr>
                <w:rFonts w:ascii="Cambria Math" w:hAnsi="Cambria Math"/>
                <w:b/>
                <w:sz w:val="17"/>
              </w:rPr>
              <w:t>N</w:t>
            </w:r>
            <w:r>
              <w:rPr>
                <w:rFonts w:ascii="Times New Roman" w:hAnsi="Times New Roman"/>
                <w:b/>
                <w:sz w:val="17"/>
              </w:rPr>
              <w:t>)</w:t>
            </w:r>
          </w:p>
        </w:tc>
        <w:tc>
          <w:tcPr>
            <w:tcW w:type="dxa" w:w="2014"/>
            <w:vAlign w:val="center"/>
            <w:tcW w:w="2014" w:type="dxa"/>
            <w:tcMar>
              <w:top w:w="60" w:type="dxa"/>
              <w:bottom w:w="60" w:type="dxa"/>
              <w:left w:w="80" w:type="dxa"/>
              <w:right w:w="80" w:type="dxa"/>
            </w:tcMar>
            <w:shd w:val="clear" w:color="auto" w:fill="E8EEF5"/>
          </w:tcPr>
          <w:p>
            <w:pPr>
              <w:spacing w:before="0" w:after="0" w:line="252" w:lineRule="auto"/>
              <w:jc w:val="center"/>
            </w:pPr>
            <w:r>
              <w:rPr>
                <w:rFonts w:ascii="Times New Roman" w:hAnsi="Times New Roman"/>
                <w:b/>
                <w:sz w:val="17"/>
              </w:rPr>
              <w:t>Regression MAE (days)</w:t>
            </w:r>
          </w:p>
        </w:tc>
        <w:tc>
          <w:tcPr>
            <w:tcW w:type="dxa" w:w="2076"/>
            <w:vAlign w:val="center"/>
            <w:tcW w:w="2076" w:type="dxa"/>
            <w:tcMar>
              <w:top w:w="60" w:type="dxa"/>
              <w:bottom w:w="60" w:type="dxa"/>
              <w:left w:w="80" w:type="dxa"/>
              <w:right w:w="80" w:type="dxa"/>
            </w:tcMar>
            <w:shd w:val="clear" w:color="auto" w:fill="E8EEF5"/>
          </w:tcPr>
          <w:p>
            <w:pPr>
              <w:spacing w:before="0" w:after="0" w:line="252" w:lineRule="auto"/>
              <w:jc w:val="center"/>
            </w:pPr>
            <w:r>
              <w:rPr>
                <w:rFonts w:ascii="Times New Roman" w:hAnsi="Times New Roman"/>
                <w:b/>
                <w:sz w:val="17"/>
              </w:rPr>
              <w:t>Regression RMSE (days)</w:t>
            </w:r>
          </w:p>
        </w:tc>
      </w:tr>
      <w:tr>
        <w:trPr>
          <w:cantSplit/>
        </w:trPr>
        <w:tc>
          <w:tcPr>
            <w:tcW w:type="dxa" w:w="1475"/>
            <w:vAlign w:val="center"/>
            <w:tcW w:w="1474"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7"/>
              </w:rPr>
              <w:t>1 Item</w:t>
            </w:r>
          </w:p>
        </w:tc>
        <w:tc>
          <w:tcPr>
            <w:tcW w:type="dxa" w:w="2649"/>
            <w:vAlign w:val="center"/>
            <w:tcW w:w="2648"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Single Unit Standard Fulfillment</w:t>
            </w:r>
          </w:p>
        </w:tc>
        <w:tc>
          <w:tcPr>
            <w:tcW w:type="dxa" w:w="1822"/>
            <w:vAlign w:val="center"/>
            <w:tcW w:w="1822"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14,124</w:t>
            </w:r>
          </w:p>
        </w:tc>
        <w:tc>
          <w:tcPr>
            <w:tcW w:type="dxa" w:w="2014"/>
            <w:vAlign w:val="center"/>
            <w:tcW w:w="2014"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b/>
                <w:sz w:val="17"/>
              </w:rPr>
              <w:t>3.75</w:t>
            </w:r>
          </w:p>
        </w:tc>
        <w:tc>
          <w:tcPr>
            <w:tcW w:type="dxa" w:w="2076"/>
            <w:vAlign w:val="center"/>
            <w:tcW w:w="2076"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7"/>
              </w:rPr>
              <w:t>5.39</w:t>
            </w:r>
          </w:p>
        </w:tc>
      </w:tr>
      <w:tr>
        <w:trPr>
          <w:cantSplit/>
        </w:trPr>
        <w:tc>
          <w:tcPr>
            <w:tcW w:type="dxa" w:w="1475"/>
            <w:vAlign w:val="center"/>
            <w:tcW w:w="1474" w:type="dxa"/>
            <w:tcMar>
              <w:top w:w="60" w:type="dxa"/>
              <w:bottom w:w="60" w:type="dxa"/>
              <w:left w:w="80" w:type="dxa"/>
              <w:right w:w="80" w:type="dxa"/>
            </w:tcMar>
          </w:tcPr>
          <w:p>
            <w:pPr>
              <w:spacing w:before="0" w:after="0" w:line="252" w:lineRule="auto"/>
              <w:jc w:val="left"/>
            </w:pPr>
            <w:r>
              <w:rPr>
                <w:rFonts w:ascii="Times New Roman" w:hAnsi="Times New Roman"/>
                <w:b/>
                <w:sz w:val="17"/>
              </w:rPr>
              <w:t>2–3 Items</w:t>
            </w:r>
          </w:p>
        </w:tc>
        <w:tc>
          <w:tcPr>
            <w:tcW w:type="dxa" w:w="2649"/>
            <w:vAlign w:val="center"/>
            <w:tcW w:w="2648" w:type="dxa"/>
            <w:tcMar>
              <w:top w:w="60" w:type="dxa"/>
              <w:bottom w:w="60" w:type="dxa"/>
              <w:left w:w="80" w:type="dxa"/>
              <w:right w:w="80" w:type="dxa"/>
            </w:tcMar>
          </w:tcPr>
          <w:p>
            <w:pPr>
              <w:spacing w:before="0" w:after="0" w:line="252" w:lineRule="auto"/>
              <w:jc w:val="left"/>
            </w:pPr>
            <w:r>
              <w:rPr>
                <w:rFonts w:ascii="Times New Roman" w:hAnsi="Times New Roman"/>
                <w:sz w:val="17"/>
              </w:rPr>
              <w:t>Multi-Item Order Consolidation</w:t>
            </w:r>
          </w:p>
        </w:tc>
        <w:tc>
          <w:tcPr>
            <w:tcW w:type="dxa" w:w="1822"/>
            <w:vAlign w:val="center"/>
            <w:tcW w:w="1822" w:type="dxa"/>
            <w:tcMar>
              <w:top w:w="60" w:type="dxa"/>
              <w:bottom w:w="60" w:type="dxa"/>
              <w:left w:w="80" w:type="dxa"/>
              <w:right w:w="80" w:type="dxa"/>
            </w:tcMar>
          </w:tcPr>
          <w:p>
            <w:pPr>
              <w:spacing w:before="0" w:after="0" w:line="252" w:lineRule="auto"/>
              <w:jc w:val="left"/>
            </w:pPr>
            <w:r>
              <w:rPr>
                <w:rFonts w:ascii="Times New Roman" w:hAnsi="Times New Roman"/>
                <w:sz w:val="17"/>
              </w:rPr>
              <w:t>1,346</w:t>
            </w:r>
          </w:p>
        </w:tc>
        <w:tc>
          <w:tcPr>
            <w:tcW w:type="dxa" w:w="2014"/>
            <w:vAlign w:val="center"/>
            <w:tcW w:w="2014" w:type="dxa"/>
            <w:tcMar>
              <w:top w:w="60" w:type="dxa"/>
              <w:bottom w:w="60" w:type="dxa"/>
              <w:left w:w="80" w:type="dxa"/>
              <w:right w:w="80" w:type="dxa"/>
            </w:tcMar>
          </w:tcPr>
          <w:p>
            <w:pPr>
              <w:spacing w:before="0" w:after="0" w:line="252" w:lineRule="auto"/>
              <w:jc w:val="center"/>
            </w:pPr>
            <w:r>
              <w:rPr>
                <w:rFonts w:ascii="Times New Roman" w:hAnsi="Times New Roman"/>
                <w:b/>
                <w:sz w:val="17"/>
              </w:rPr>
              <w:t>3.37</w:t>
            </w:r>
          </w:p>
        </w:tc>
        <w:tc>
          <w:tcPr>
            <w:tcW w:type="dxa" w:w="2076"/>
            <w:vAlign w:val="center"/>
            <w:tcW w:w="2076" w:type="dxa"/>
            <w:tcMar>
              <w:top w:w="60" w:type="dxa"/>
              <w:bottom w:w="60" w:type="dxa"/>
              <w:left w:w="80" w:type="dxa"/>
              <w:right w:w="80" w:type="dxa"/>
            </w:tcMar>
          </w:tcPr>
          <w:p>
            <w:pPr>
              <w:spacing w:before="0" w:after="0" w:line="252" w:lineRule="auto"/>
              <w:jc w:val="center"/>
            </w:pPr>
            <w:r>
              <w:rPr>
                <w:rFonts w:ascii="Cambria Math" w:hAnsi="Cambria Math"/>
                <w:sz w:val="17"/>
              </w:rPr>
              <w:t>4.39</w:t>
            </w:r>
          </w:p>
        </w:tc>
      </w:tr>
      <w:tr>
        <w:trPr>
          <w:cantSplit/>
        </w:trPr>
        <w:tc>
          <w:tcPr>
            <w:tcW w:type="dxa" w:w="1475"/>
            <w:vAlign w:val="center"/>
            <w:tcW w:w="1474"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7"/>
              </w:rPr>
              <w:t>4+ Items</w:t>
            </w:r>
          </w:p>
        </w:tc>
        <w:tc>
          <w:tcPr>
            <w:tcW w:type="dxa" w:w="2649"/>
            <w:vAlign w:val="center"/>
            <w:tcW w:w="2648"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Heavy Multi-SKU Consignment</w:t>
            </w:r>
          </w:p>
        </w:tc>
        <w:tc>
          <w:tcPr>
            <w:tcW w:type="dxa" w:w="1822"/>
            <w:vAlign w:val="center"/>
            <w:tcW w:w="1822"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145</w:t>
            </w:r>
          </w:p>
        </w:tc>
        <w:tc>
          <w:tcPr>
            <w:tcW w:type="dxa" w:w="2014"/>
            <w:vAlign w:val="center"/>
            <w:tcW w:w="2014"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b/>
                <w:sz w:val="17"/>
              </w:rPr>
              <w:t>4.10</w:t>
            </w:r>
          </w:p>
        </w:tc>
        <w:tc>
          <w:tcPr>
            <w:tcW w:type="dxa" w:w="2076"/>
            <w:vAlign w:val="center"/>
            <w:tcW w:w="2076"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7"/>
              </w:rPr>
              <w:t>5.34</w:t>
            </w:r>
          </w:p>
        </w:tc>
      </w:tr>
    </w:tbl>
    <w:p>
      <w:pPr>
        <w:spacing w:before="40" w:after="40" w:line="40" w:lineRule="exact"/>
      </w:pPr>
    </w:p>
    <w:p>
      <w:pPr>
        <w:pStyle w:val="Heading1"/>
        <w:pageBreakBefore/>
      </w:pPr>
      <w:r>
        <w:rPr>
          <w:rFonts w:ascii="Times New Roman" w:hAnsi="Times New Roman"/>
          <w:b/>
          <w:sz w:val="28"/>
        </w:rPr>
        <w:t>Appendix F: Feature Metadata, Distribution Parity &amp; Covariate Drift Audit (Training vs. Holdout)</w:t>
      </w:r>
    </w:p>
    <w:p>
      <w:pPr/>
      <w:r>
        <w:rPr>
          <w:rFonts w:ascii="Times New Roman" w:hAnsi="Times New Roman"/>
          <w:sz w:val="22"/>
        </w:rPr>
        <w:t xml:space="preserve">To guarantee that the frozen production model trained on historical data generalizes reliably to unseen operational data without degrading due to covariate shift or data drift (Lecture 6: </w:t>
      </w:r>
      <w:r>
        <w:rPr>
          <w:rFonts w:ascii="Times New Roman" w:hAnsi="Times New Roman"/>
          <w:i/>
          <w:sz w:val="22"/>
        </w:rPr>
        <w:t>Production Monitoring &amp; Drift Detection</w:t>
      </w:r>
      <w:r>
        <w:rPr>
          <w:rFonts w:ascii="Times New Roman" w:hAnsi="Times New Roman"/>
          <w:sz w:val="22"/>
        </w:rPr>
        <w:t>), we conducted a rigorous distributional parity audit comparing the development training partition against the quarantined terminal holdout cohort.</w:t>
      </w:r>
    </w:p>
    <w:p>
      <w:pPr>
        <w:spacing w:before="0" w:after="50" w:line="276" w:lineRule="auto"/>
        <w:ind w:left="360" w:hanging="216"/>
      </w:pPr>
      <w:r>
        <w:rPr>
          <w:rFonts w:ascii="Arial" w:hAnsi="Arial"/>
          <w:b/>
          <w:color w:val="1F4E79"/>
          <w:sz w:val="20"/>
        </w:rPr>
        <w:t xml:space="preserve">• </w:t>
      </w:r>
      <w:r>
        <w:rPr>
          <w:rFonts w:ascii="Times New Roman" w:hAnsi="Times New Roman"/>
          <w:b/>
          <w:sz w:val="21"/>
        </w:rPr>
        <w:t>Training Cohort</w:t>
      </w:r>
      <w:r>
        <w:rPr>
          <w:rFonts w:ascii="Times New Roman" w:hAnsi="Times New Roman"/>
          <w:sz w:val="21"/>
        </w:rPr>
        <w:t xml:space="preserve">: </w:t>
      </w:r>
      <w:r>
        <w:rPr>
          <w:rFonts w:ascii="Cambria Math" w:hAnsi="Cambria Math"/>
          <w:sz w:val="21"/>
        </w:rPr>
        <w:t>N = 59,466</w:t>
      </w:r>
      <w:r>
        <w:rPr>
          <w:rFonts w:ascii="Times New Roman" w:hAnsi="Times New Roman"/>
          <w:sz w:val="21"/>
        </w:rPr>
        <w:t xml:space="preserve"> eligible orders (Historical development window: October 2016 through May 24, 2018).</w:t>
      </w:r>
    </w:p>
    <w:p>
      <w:pPr>
        <w:spacing w:before="0" w:after="50" w:line="276" w:lineRule="auto"/>
        <w:ind w:left="360" w:hanging="216"/>
      </w:pPr>
      <w:r>
        <w:rPr>
          <w:rFonts w:ascii="Arial" w:hAnsi="Arial"/>
          <w:b/>
          <w:color w:val="1F4E79"/>
          <w:sz w:val="20"/>
        </w:rPr>
        <w:t xml:space="preserve">• </w:t>
      </w:r>
      <w:r>
        <w:rPr>
          <w:rFonts w:ascii="Times New Roman" w:hAnsi="Times New Roman"/>
          <w:b/>
          <w:sz w:val="21"/>
        </w:rPr>
        <w:t>Terminal Holdout Cohort</w:t>
      </w:r>
      <w:r>
        <w:rPr>
          <w:rFonts w:ascii="Times New Roman" w:hAnsi="Times New Roman"/>
          <w:sz w:val="21"/>
        </w:rPr>
        <w:t xml:space="preserve">: </w:t>
      </w:r>
      <w:r>
        <w:rPr>
          <w:rFonts w:ascii="Cambria Math" w:hAnsi="Cambria Math"/>
          <w:sz w:val="21"/>
        </w:rPr>
        <w:t>N = 15,615</w:t>
      </w:r>
      <w:r>
        <w:rPr>
          <w:rFonts w:ascii="Times New Roman" w:hAnsi="Times New Roman"/>
          <w:sz w:val="21"/>
        </w:rPr>
        <w:t xml:space="preserve"> regression orders / </w:t>
      </w:r>
      <w:r>
        <w:rPr>
          <w:rFonts w:ascii="Cambria Math" w:hAnsi="Cambria Math"/>
          <w:sz w:val="21"/>
        </w:rPr>
        <w:t>N = 15,769</w:t>
      </w:r>
      <w:r>
        <w:rPr>
          <w:rFonts w:ascii="Times New Roman" w:hAnsi="Times New Roman"/>
          <w:sz w:val="21"/>
        </w:rPr>
        <w:t xml:space="preserve"> classification orders (Quarantined operational window: May 25, 2018 through August 29, 2018).</w:t>
      </w:r>
    </w:p>
    <w:p>
      <w:pPr>
        <w:pStyle w:val="Heading2"/>
      </w:pPr>
      <w:r>
        <w:rPr>
          <w:rFonts w:ascii="Times New Roman" w:hAnsi="Times New Roman"/>
          <w:b/>
          <w:sz w:val="25"/>
        </w:rPr>
        <w:t>Table F.1: Numerical Feature Metadata &amp; Distributional Parity Audit</w:t>
      </w:r>
    </w:p>
    <w:p>
      <w:pPr/>
      <w:r>
        <w:rPr>
          <w:rFonts w:ascii="Times New Roman" w:hAnsi="Times New Roman"/>
          <w:i/>
          <w:sz w:val="22"/>
        </w:rPr>
        <w:t>Source</w:t>
      </w:r>
      <w:r>
        <w:rPr>
          <w:rFonts w:ascii="Times New Roman" w:hAnsi="Times New Roman"/>
          <w:sz w:val="22"/>
        </w:rPr>
        <w:t xml:space="preserve">: Computed from </w:t>
      </w:r>
      <w:r>
        <w:rPr>
          <w:rFonts w:ascii="Consolas" w:hAnsi="Consolas"/>
          <w:color w:val="8A1E38"/>
          <w:sz w:val="21"/>
        </w:rPr>
        <w:t>data/business/ml/orders_ml_features.csv</w:t>
      </w:r>
      <w:r>
        <w:rPr>
          <w:rFonts w:ascii="Times New Roman" w:hAnsi="Times New Roman"/>
          <w:sz w:val="22"/>
        </w:rPr>
        <w:t xml:space="preserve"> joined against </w:t>
      </w:r>
      <w:r>
        <w:rPr>
          <w:rFonts w:ascii="Consolas" w:hAnsi="Consolas"/>
          <w:color w:val="8A1E38"/>
          <w:sz w:val="21"/>
        </w:rPr>
        <w:t>regression_training_ids.csv</w:t>
      </w:r>
      <w:r>
        <w:rPr>
          <w:rFonts w:ascii="Times New Roman" w:hAnsi="Times New Roman"/>
          <w:sz w:val="22"/>
        </w:rPr>
        <w:t xml:space="preserve"> and </w:t>
      </w:r>
      <w:r>
        <w:rPr>
          <w:rFonts w:ascii="Consolas" w:hAnsi="Consolas"/>
          <w:color w:val="8A1E38"/>
          <w:sz w:val="21"/>
        </w:rPr>
        <w:t>regression_selected_predictions.csv</w:t>
      </w:r>
      <w:r>
        <w:rPr>
          <w:rFonts w:ascii="Times New Roman" w:hAnsi="Times New Roman"/>
          <w:sz w:val="22"/>
        </w:rPr>
        <w:t xml:space="preserve">, benchmarked against the serialized deployment reference </w:t>
      </w:r>
      <w:r>
        <w:rPr>
          <w:rFonts w:ascii="Consolas" w:hAnsi="Consolas"/>
          <w:color w:val="8A1E38"/>
          <w:sz w:val="21"/>
        </w:rPr>
        <w:t>artifacts/models/regression/stage5-final-v1/feature_stats.json</w:t>
      </w:r>
      <w:r>
        <w:rPr>
          <w:rFonts w:ascii="Times New Roman" w:hAnsi="Times New Roman"/>
          <w:sz w:val="22"/>
        </w:rPr>
        <w:t>.</w:t>
      </w:r>
    </w:p>
    <w:tbl>
      <w:tblPr>
        <w:tblW w:type="auto" w:w="0"/>
        <w:jc w:val="center"/>
        <w:tblLayout w:type="fixed"/>
        <w:tblLook w:firstColumn="1" w:firstRow="1" w:lastColumn="0" w:lastRow="0" w:noHBand="0" w:noVBand="1" w:val="04A0"/>
        <w:tblBorders>
          <w:top w:val="single" w:sz="8" w:space="0" w:color="1F4E79"/>
          <w:bottom w:val="single" w:sz="8" w:space="0" w:color="1F4E79"/>
          <w:left w:val="single" w:sz="4" w:space="0" w:color="D9D9D9"/>
          <w:right w:val="single" w:sz="4" w:space="0" w:color="D9D9D9"/>
          <w:insideH w:val="single" w:sz="4" w:space="0" w:color="E2E8F0"/>
          <w:insideV w:val="single" w:sz="4" w:space="0" w:color="E2E8F0"/>
        </w:tblBorders>
      </w:tblPr>
      <w:tblGrid>
        <w:gridCol w:w="1673"/>
        <w:gridCol w:w="1673"/>
        <w:gridCol w:w="1673"/>
        <w:gridCol w:w="1673"/>
        <w:gridCol w:w="1673"/>
        <w:gridCol w:w="1673"/>
      </w:tblGrid>
      <w:tr>
        <w:trPr>
          <w:cantSplit/>
          <w:tblHeader/>
        </w:trPr>
        <w:tc>
          <w:tcPr>
            <w:tcW w:type="dxa" w:w="966"/>
            <w:vAlign w:val="center"/>
            <w:tcW w:w="966"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7"/>
              </w:rPr>
              <w:t>Feature Name</w:t>
            </w:r>
          </w:p>
        </w:tc>
        <w:tc>
          <w:tcPr>
            <w:tcW w:type="dxa" w:w="1360"/>
            <w:vAlign w:val="center"/>
            <w:tcW w:w="1360"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7"/>
              </w:rPr>
              <w:t>Evaluated Dimension</w:t>
            </w:r>
          </w:p>
        </w:tc>
        <w:tc>
          <w:tcPr>
            <w:tcW w:type="dxa" w:w="1459"/>
            <w:vAlign w:val="center"/>
            <w:tcW w:w="1458"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7"/>
              </w:rPr>
              <w:t>Training Cohort (</w:t>
            </w:r>
            <w:r>
              <w:rPr>
                <w:rFonts w:ascii="Cambria Math" w:hAnsi="Cambria Math"/>
                <w:b/>
                <w:sz w:val="17"/>
              </w:rPr>
              <w:t>N=59,466</w:t>
            </w:r>
            <w:r>
              <w:rPr>
                <w:rFonts w:ascii="Times New Roman" w:hAnsi="Times New Roman"/>
                <w:b/>
                <w:sz w:val="17"/>
              </w:rPr>
              <w:t>)</w:t>
            </w:r>
          </w:p>
        </w:tc>
        <w:tc>
          <w:tcPr>
            <w:tcW w:type="dxa" w:w="1459"/>
            <w:vAlign w:val="center"/>
            <w:tcW w:w="1458"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7"/>
              </w:rPr>
              <w:t>Holdout Cohort (</w:t>
            </w:r>
            <w:r>
              <w:rPr>
                <w:rFonts w:ascii="Cambria Math" w:hAnsi="Cambria Math"/>
                <w:b/>
                <w:sz w:val="17"/>
              </w:rPr>
              <w:t>N=15,615</w:t>
            </w:r>
            <w:r>
              <w:rPr>
                <w:rFonts w:ascii="Times New Roman" w:hAnsi="Times New Roman"/>
                <w:b/>
                <w:sz w:val="17"/>
              </w:rPr>
              <w:t>)</w:t>
            </w:r>
          </w:p>
        </w:tc>
        <w:tc>
          <w:tcPr>
            <w:tcW w:type="dxa" w:w="1839"/>
            <w:vAlign w:val="center"/>
            <w:tcW w:w="1839"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7"/>
              </w:rPr>
              <w:t>Relative Drift (</w:t>
            </w:r>
            <w:r>
              <w:rPr>
                <w:rFonts w:ascii="Cambria Math" w:hAnsi="Cambria Math"/>
                <w:b/>
                <w:sz w:val="17"/>
              </w:rPr>
              <w:t>Δ</w:t>
            </w:r>
            <w:r>
              <w:rPr>
                <w:rFonts w:ascii="Times New Roman" w:hAnsi="Times New Roman"/>
                <w:b/>
                <w:sz w:val="17"/>
              </w:rPr>
              <w:t>)</w:t>
            </w:r>
          </w:p>
        </w:tc>
        <w:tc>
          <w:tcPr>
            <w:tcW w:type="dxa" w:w="2953"/>
            <w:vAlign w:val="center"/>
            <w:tcW w:w="2953"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7"/>
              </w:rPr>
              <w:t>Covariate Parity Verdict</w:t>
            </w:r>
          </w:p>
        </w:tc>
      </w:tr>
      <w:tr>
        <w:trPr>
          <w:cantSplit/>
        </w:trPr>
        <w:tc>
          <w:tcPr>
            <w:tcW w:type="dxa" w:w="966"/>
            <w:vAlign w:val="center"/>
            <w:tcW w:w="966"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7"/>
              </w:rPr>
              <w:t>`total_price`</w:t>
            </w:r>
            <w:r>
              <w:rPr>
                <w:rFonts w:ascii="Times New Roman" w:hAnsi="Times New Roman"/>
                <w:sz w:val="17"/>
              </w:rPr>
              <w:t xml:space="preserve"> (BRL)</w:t>
            </w:r>
          </w:p>
        </w:tc>
        <w:tc>
          <w:tcPr>
            <w:tcW w:type="dxa" w:w="1360"/>
            <w:vAlign w:val="center"/>
            <w:tcW w:w="1360"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sz w:val="17"/>
              </w:rPr>
              <w:t>Mean &lt;br&gt; Median &lt;br&gt; Std Dev &lt;br&gt; Missing %</w:t>
            </w:r>
          </w:p>
        </w:tc>
        <w:tc>
          <w:tcPr>
            <w:tcW w:type="dxa" w:w="1459"/>
            <w:vAlign w:val="center"/>
            <w:tcW w:w="1458"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b/>
                <w:sz w:val="17"/>
              </w:rPr>
              <w:t>137.01</w:t>
            </w:r>
            <w:r>
              <w:rPr>
                <w:rFonts w:ascii="Times New Roman" w:hAnsi="Times New Roman"/>
                <w:sz w:val="17"/>
              </w:rPr>
              <w:t xml:space="preserve"> &lt;br&gt; </w:t>
            </w:r>
            <w:r>
              <w:rPr>
                <w:rFonts w:ascii="Times New Roman" w:hAnsi="Times New Roman"/>
                <w:b/>
                <w:sz w:val="17"/>
              </w:rPr>
              <w:t>86.28</w:t>
            </w:r>
            <w:r>
              <w:rPr>
                <w:rFonts w:ascii="Times New Roman" w:hAnsi="Times New Roman"/>
                <w:sz w:val="17"/>
              </w:rPr>
              <w:t xml:space="preserve"> &lt;br&gt; </w:t>
            </w:r>
            <w:r>
              <w:rPr>
                <w:rFonts w:ascii="Cambria Math" w:hAnsi="Cambria Math"/>
                <w:sz w:val="17"/>
              </w:rPr>
              <w:t>210.14</w:t>
            </w:r>
            <w:r>
              <w:rPr>
                <w:rFonts w:ascii="Times New Roman" w:hAnsi="Times New Roman"/>
                <w:sz w:val="17"/>
              </w:rPr>
              <w:t xml:space="preserve"> &lt;br&gt; </w:t>
            </w:r>
            <w:r>
              <w:rPr>
                <w:rFonts w:ascii="Cambria Math" w:hAnsi="Cambria Math"/>
                <w:sz w:val="17"/>
              </w:rPr>
              <w:t>0.00\%</w:t>
            </w:r>
          </w:p>
        </w:tc>
        <w:tc>
          <w:tcPr>
            <w:tcW w:type="dxa" w:w="1459"/>
            <w:vAlign w:val="center"/>
            <w:tcW w:w="1458"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b/>
                <w:sz w:val="17"/>
              </w:rPr>
              <w:t>139.71</w:t>
            </w:r>
            <w:r>
              <w:rPr>
                <w:rFonts w:ascii="Times New Roman" w:hAnsi="Times New Roman"/>
                <w:sz w:val="17"/>
              </w:rPr>
              <w:t xml:space="preserve"> &lt;br&gt; </w:t>
            </w:r>
            <w:r>
              <w:rPr>
                <w:rFonts w:ascii="Times New Roman" w:hAnsi="Times New Roman"/>
                <w:b/>
                <w:sz w:val="17"/>
              </w:rPr>
              <w:t>86.00</w:t>
            </w:r>
            <w:r>
              <w:rPr>
                <w:rFonts w:ascii="Times New Roman" w:hAnsi="Times New Roman"/>
                <w:sz w:val="17"/>
              </w:rPr>
              <w:t xml:space="preserve"> &lt;br&gt; </w:t>
            </w:r>
            <w:r>
              <w:rPr>
                <w:rFonts w:ascii="Cambria Math" w:hAnsi="Cambria Math"/>
                <w:sz w:val="17"/>
              </w:rPr>
              <w:t>220.02</w:t>
            </w:r>
            <w:r>
              <w:rPr>
                <w:rFonts w:ascii="Times New Roman" w:hAnsi="Times New Roman"/>
                <w:sz w:val="17"/>
              </w:rPr>
              <w:t xml:space="preserve"> &lt;br&gt; </w:t>
            </w:r>
            <w:r>
              <w:rPr>
                <w:rFonts w:ascii="Cambria Math" w:hAnsi="Cambria Math"/>
                <w:sz w:val="17"/>
              </w:rPr>
              <w:t>0.00\%</w:t>
            </w:r>
          </w:p>
        </w:tc>
        <w:tc>
          <w:tcPr>
            <w:tcW w:type="dxa" w:w="1839"/>
            <w:vAlign w:val="center"/>
            <w:tcW w:w="1839"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7"/>
              </w:rPr>
              <w:t>+1.97\%</w:t>
            </w:r>
            <w:r>
              <w:rPr>
                <w:rFonts w:ascii="Times New Roman" w:hAnsi="Times New Roman"/>
                <w:sz w:val="17"/>
              </w:rPr>
              <w:t xml:space="preserve"> (Mean) &lt;br&gt; </w:t>
            </w:r>
            <w:r>
              <w:rPr>
                <w:rFonts w:ascii="Times New Roman" w:hAnsi="Times New Roman"/>
                <w:b/>
                <w:sz w:val="17"/>
              </w:rPr>
              <w:t>-0.32\% (Median)</w:t>
            </w:r>
            <w:r>
              <w:rPr>
                <w:rFonts w:ascii="Times New Roman" w:hAnsi="Times New Roman"/>
                <w:sz w:val="17"/>
              </w:rPr>
              <w:t xml:space="preserve"> &lt;br&gt; </w:t>
            </w:r>
            <w:r>
              <w:rPr>
                <w:rFonts w:ascii="Cambria Math" w:hAnsi="Cambria Math"/>
                <w:sz w:val="17"/>
              </w:rPr>
              <w:t>+4.70\%</w:t>
            </w:r>
            <w:r>
              <w:rPr>
                <w:rFonts w:ascii="Times New Roman" w:hAnsi="Times New Roman"/>
                <w:sz w:val="17"/>
              </w:rPr>
              <w:t xml:space="preserve"> (SD) &lt;br&gt; </w:t>
            </w:r>
            <w:r>
              <w:rPr>
                <w:rFonts w:ascii="Cambria Math" w:hAnsi="Cambria Math"/>
                <w:sz w:val="17"/>
              </w:rPr>
              <w:t>0.00\%</w:t>
            </w:r>
          </w:p>
        </w:tc>
        <w:tc>
          <w:tcPr>
            <w:tcW w:type="dxa" w:w="2953"/>
            <w:vAlign w:val="center"/>
            <w:tcW w:w="2953"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b/>
                <w:sz w:val="17"/>
              </w:rPr>
              <w:t>Identical Distribution</w:t>
            </w:r>
            <w:r>
              <w:rPr>
                <w:rFonts w:ascii="Times New Roman" w:hAnsi="Times New Roman"/>
                <w:sz w:val="17"/>
              </w:rPr>
              <w:t xml:space="preserve">: Median order price differs by only </w:t>
            </w:r>
            <w:r>
              <w:rPr>
                <w:rFonts w:ascii="Cambria Math" w:hAnsi="Cambria Math"/>
                <w:sz w:val="17"/>
              </w:rPr>
              <w:t>\</w:t>
            </w:r>
            <w:r>
              <w:rPr>
                <w:rFonts w:ascii="Times New Roman" w:hAnsi="Times New Roman"/>
                <w:sz w:val="17"/>
              </w:rPr>
              <w:t>0.28 BRL; consumer purchasing power is completely stationary.</w:t>
            </w:r>
          </w:p>
        </w:tc>
      </w:tr>
      <w:tr>
        <w:trPr>
          <w:cantSplit/>
        </w:trPr>
        <w:tc>
          <w:tcPr>
            <w:tcW w:type="dxa" w:w="966"/>
            <w:vAlign w:val="center"/>
            <w:tcW w:w="966" w:type="dxa"/>
            <w:tcMar>
              <w:top w:w="60" w:type="dxa"/>
              <w:bottom w:w="60" w:type="dxa"/>
              <w:left w:w="80" w:type="dxa"/>
              <w:right w:w="80" w:type="dxa"/>
            </w:tcMar>
          </w:tcPr>
          <w:p>
            <w:pPr>
              <w:spacing w:before="0" w:after="0" w:line="252" w:lineRule="auto"/>
              <w:jc w:val="left"/>
            </w:pPr>
            <w:r>
              <w:rPr>
                <w:rFonts w:ascii="Times New Roman" w:hAnsi="Times New Roman"/>
                <w:b/>
                <w:sz w:val="17"/>
              </w:rPr>
              <w:t>`total_freight`</w:t>
            </w:r>
            <w:r>
              <w:rPr>
                <w:rFonts w:ascii="Times New Roman" w:hAnsi="Times New Roman"/>
                <w:sz w:val="17"/>
              </w:rPr>
              <w:t xml:space="preserve"> (BRL)</w:t>
            </w:r>
          </w:p>
        </w:tc>
        <w:tc>
          <w:tcPr>
            <w:tcW w:type="dxa" w:w="1360"/>
            <w:vAlign w:val="center"/>
            <w:tcW w:w="1360" w:type="dxa"/>
            <w:tcMar>
              <w:top w:w="60" w:type="dxa"/>
              <w:bottom w:w="60" w:type="dxa"/>
              <w:left w:w="80" w:type="dxa"/>
              <w:right w:w="80" w:type="dxa"/>
            </w:tcMar>
          </w:tcPr>
          <w:p>
            <w:pPr>
              <w:spacing w:before="0" w:after="0" w:line="252" w:lineRule="auto"/>
              <w:jc w:val="center"/>
            </w:pPr>
            <w:r>
              <w:rPr>
                <w:rFonts w:ascii="Times New Roman" w:hAnsi="Times New Roman"/>
                <w:sz w:val="17"/>
              </w:rPr>
              <w:t>Mean &lt;br&gt; Median &lt;br&gt; Std Dev &lt;br&gt; Missing %</w:t>
            </w:r>
          </w:p>
        </w:tc>
        <w:tc>
          <w:tcPr>
            <w:tcW w:type="dxa" w:w="1459"/>
            <w:vAlign w:val="center"/>
            <w:tcW w:w="1458" w:type="dxa"/>
            <w:tcMar>
              <w:top w:w="60" w:type="dxa"/>
              <w:bottom w:w="60" w:type="dxa"/>
              <w:left w:w="80" w:type="dxa"/>
              <w:right w:w="80" w:type="dxa"/>
            </w:tcMar>
          </w:tcPr>
          <w:p>
            <w:pPr>
              <w:spacing w:before="0" w:after="0" w:line="252" w:lineRule="auto"/>
              <w:jc w:val="center"/>
            </w:pPr>
            <w:r>
              <w:rPr>
                <w:rFonts w:ascii="Cambria Math" w:hAnsi="Cambria Math"/>
                <w:sz w:val="17"/>
              </w:rPr>
              <w:t>22.22</w:t>
            </w:r>
            <w:r>
              <w:rPr>
                <w:rFonts w:ascii="Times New Roman" w:hAnsi="Times New Roman"/>
                <w:sz w:val="17"/>
              </w:rPr>
              <w:t xml:space="preserve"> &lt;br&gt; </w:t>
            </w:r>
            <w:r>
              <w:rPr>
                <w:rFonts w:ascii="Cambria Math" w:hAnsi="Cambria Math"/>
                <w:sz w:val="17"/>
              </w:rPr>
              <w:t>16.79</w:t>
            </w:r>
            <w:r>
              <w:rPr>
                <w:rFonts w:ascii="Times New Roman" w:hAnsi="Times New Roman"/>
                <w:sz w:val="17"/>
              </w:rPr>
              <w:t xml:space="preserve"> &lt;br&gt; </w:t>
            </w:r>
            <w:r>
              <w:rPr>
                <w:rFonts w:ascii="Cambria Math" w:hAnsi="Cambria Math"/>
                <w:sz w:val="17"/>
              </w:rPr>
              <w:t>20.09</w:t>
            </w:r>
            <w:r>
              <w:rPr>
                <w:rFonts w:ascii="Times New Roman" w:hAnsi="Times New Roman"/>
                <w:sz w:val="17"/>
              </w:rPr>
              <w:t xml:space="preserve"> &lt;br&gt; </w:t>
            </w:r>
            <w:r>
              <w:rPr>
                <w:rFonts w:ascii="Cambria Math" w:hAnsi="Cambria Math"/>
                <w:sz w:val="17"/>
              </w:rPr>
              <w:t>0.00\%</w:t>
            </w:r>
          </w:p>
        </w:tc>
        <w:tc>
          <w:tcPr>
            <w:tcW w:type="dxa" w:w="1459"/>
            <w:vAlign w:val="center"/>
            <w:tcW w:w="1458" w:type="dxa"/>
            <w:tcMar>
              <w:top w:w="60" w:type="dxa"/>
              <w:bottom w:w="60" w:type="dxa"/>
              <w:left w:w="80" w:type="dxa"/>
              <w:right w:w="80" w:type="dxa"/>
            </w:tcMar>
          </w:tcPr>
          <w:p>
            <w:pPr>
              <w:spacing w:before="0" w:after="0" w:line="252" w:lineRule="auto"/>
              <w:jc w:val="center"/>
            </w:pPr>
            <w:r>
              <w:rPr>
                <w:rFonts w:ascii="Cambria Math" w:hAnsi="Cambria Math"/>
                <w:sz w:val="17"/>
              </w:rPr>
              <w:t>24.73</w:t>
            </w:r>
            <w:r>
              <w:rPr>
                <w:rFonts w:ascii="Times New Roman" w:hAnsi="Times New Roman"/>
                <w:sz w:val="17"/>
              </w:rPr>
              <w:t xml:space="preserve"> &lt;br&gt; </w:t>
            </w:r>
            <w:r>
              <w:rPr>
                <w:rFonts w:ascii="Cambria Math" w:hAnsi="Cambria Math"/>
                <w:sz w:val="17"/>
              </w:rPr>
              <w:t>18.60</w:t>
            </w:r>
            <w:r>
              <w:rPr>
                <w:rFonts w:ascii="Times New Roman" w:hAnsi="Times New Roman"/>
                <w:sz w:val="17"/>
              </w:rPr>
              <w:t xml:space="preserve"> &lt;br&gt; </w:t>
            </w:r>
            <w:r>
              <w:rPr>
                <w:rFonts w:ascii="Cambria Math" w:hAnsi="Cambria Math"/>
                <w:sz w:val="17"/>
              </w:rPr>
              <w:t>22.39</w:t>
            </w:r>
            <w:r>
              <w:rPr>
                <w:rFonts w:ascii="Times New Roman" w:hAnsi="Times New Roman"/>
                <w:sz w:val="17"/>
              </w:rPr>
              <w:t xml:space="preserve"> &lt;br&gt; </w:t>
            </w:r>
            <w:r>
              <w:rPr>
                <w:rFonts w:ascii="Cambria Math" w:hAnsi="Cambria Math"/>
                <w:sz w:val="17"/>
              </w:rPr>
              <w:t>0.00\%</w:t>
            </w:r>
          </w:p>
        </w:tc>
        <w:tc>
          <w:tcPr>
            <w:tcW w:type="dxa" w:w="1839"/>
            <w:vAlign w:val="center"/>
            <w:tcW w:w="1839" w:type="dxa"/>
            <w:tcMar>
              <w:top w:w="60" w:type="dxa"/>
              <w:bottom w:w="60" w:type="dxa"/>
              <w:left w:w="80" w:type="dxa"/>
              <w:right w:w="80" w:type="dxa"/>
            </w:tcMar>
          </w:tcPr>
          <w:p>
            <w:pPr>
              <w:spacing w:before="0" w:after="0" w:line="252" w:lineRule="auto"/>
              <w:jc w:val="center"/>
            </w:pPr>
            <w:r>
              <w:rPr>
                <w:rFonts w:ascii="Cambria Math" w:hAnsi="Cambria Math"/>
                <w:sz w:val="17"/>
              </w:rPr>
              <w:t>+11.29\%</w:t>
            </w:r>
            <w:r>
              <w:rPr>
                <w:rFonts w:ascii="Times New Roman" w:hAnsi="Times New Roman"/>
                <w:sz w:val="17"/>
              </w:rPr>
              <w:t xml:space="preserve"> (Mean) &lt;br&gt; </w:t>
            </w:r>
            <w:r>
              <w:rPr>
                <w:rFonts w:ascii="Cambria Math" w:hAnsi="Cambria Math"/>
                <w:sz w:val="17"/>
              </w:rPr>
              <w:t>+10.78\%</w:t>
            </w:r>
            <w:r>
              <w:rPr>
                <w:rFonts w:ascii="Times New Roman" w:hAnsi="Times New Roman"/>
                <w:sz w:val="17"/>
              </w:rPr>
              <w:t xml:space="preserve"> (Median) &lt;br&gt; </w:t>
            </w:r>
            <w:r>
              <w:rPr>
                <w:rFonts w:ascii="Cambria Math" w:hAnsi="Cambria Math"/>
                <w:sz w:val="17"/>
              </w:rPr>
              <w:t>+11.45\%</w:t>
            </w:r>
            <w:r>
              <w:rPr>
                <w:rFonts w:ascii="Times New Roman" w:hAnsi="Times New Roman"/>
                <w:sz w:val="17"/>
              </w:rPr>
              <w:t xml:space="preserve"> (SD) &lt;br&gt; </w:t>
            </w:r>
            <w:r>
              <w:rPr>
                <w:rFonts w:ascii="Cambria Math" w:hAnsi="Cambria Math"/>
                <w:sz w:val="17"/>
              </w:rPr>
              <w:t>0.00\%</w:t>
            </w:r>
          </w:p>
        </w:tc>
        <w:tc>
          <w:tcPr>
            <w:tcW w:type="dxa" w:w="2953"/>
            <w:vAlign w:val="center"/>
            <w:tcW w:w="2953" w:type="dxa"/>
            <w:tcMar>
              <w:top w:w="60" w:type="dxa"/>
              <w:bottom w:w="60" w:type="dxa"/>
              <w:left w:w="80" w:type="dxa"/>
              <w:right w:w="80" w:type="dxa"/>
            </w:tcMar>
          </w:tcPr>
          <w:p>
            <w:pPr>
              <w:spacing w:before="0" w:after="0" w:line="252" w:lineRule="auto"/>
              <w:jc w:val="center"/>
            </w:pPr>
            <w:r>
              <w:rPr>
                <w:rFonts w:ascii="Times New Roman" w:hAnsi="Times New Roman"/>
                <w:b/>
                <w:sz w:val="17"/>
              </w:rPr>
              <w:t>Stable / Minor Drift</w:t>
            </w:r>
            <w:r>
              <w:rPr>
                <w:rFonts w:ascii="Times New Roman" w:hAnsi="Times New Roman"/>
                <w:sz w:val="17"/>
              </w:rPr>
              <w:t>: Minor operational tariff increase (</w:t>
            </w:r>
            <w:r>
              <w:rPr>
                <w:rFonts w:ascii="Cambria Math" w:hAnsi="Cambria Math"/>
                <w:sz w:val="17"/>
              </w:rPr>
              <w:t>+\</w:t>
            </w:r>
            <w:r>
              <w:rPr>
                <w:rFonts w:ascii="Times New Roman" w:hAnsi="Times New Roman"/>
                <w:sz w:val="17"/>
              </w:rPr>
              <w:t>1.81 BRL median) reflecting mid-2018 Brazilian carrier fuel surcharge adjustments.</w:t>
            </w:r>
          </w:p>
        </w:tc>
      </w:tr>
      <w:tr>
        <w:trPr>
          <w:cantSplit/>
        </w:trPr>
        <w:tc>
          <w:tcPr>
            <w:tcW w:type="dxa" w:w="966"/>
            <w:vAlign w:val="center"/>
            <w:tcW w:w="966"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7"/>
              </w:rPr>
              <w:t>`freight_ratio`</w:t>
            </w:r>
          </w:p>
        </w:tc>
        <w:tc>
          <w:tcPr>
            <w:tcW w:type="dxa" w:w="1360"/>
            <w:vAlign w:val="center"/>
            <w:tcW w:w="1360"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sz w:val="17"/>
              </w:rPr>
              <w:t>Mean &lt;br&gt; Median &lt;br&gt; Std Dev &lt;br&gt; Missing %</w:t>
            </w:r>
          </w:p>
        </w:tc>
        <w:tc>
          <w:tcPr>
            <w:tcW w:type="dxa" w:w="1459"/>
            <w:vAlign w:val="center"/>
            <w:tcW w:w="1458"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7"/>
              </w:rPr>
              <w:t>0.30</w:t>
            </w:r>
            <w:r>
              <w:rPr>
                <w:rFonts w:ascii="Times New Roman" w:hAnsi="Times New Roman"/>
                <w:sz w:val="17"/>
              </w:rPr>
              <w:t xml:space="preserve"> &lt;br&gt; </w:t>
            </w:r>
            <w:r>
              <w:rPr>
                <w:rFonts w:ascii="Cambria Math" w:hAnsi="Cambria Math"/>
                <w:sz w:val="17"/>
              </w:rPr>
              <w:t>0.22</w:t>
            </w:r>
            <w:r>
              <w:rPr>
                <w:rFonts w:ascii="Times New Roman" w:hAnsi="Times New Roman"/>
                <w:sz w:val="17"/>
              </w:rPr>
              <w:t xml:space="preserve"> &lt;br&gt; </w:t>
            </w:r>
            <w:r>
              <w:rPr>
                <w:rFonts w:ascii="Cambria Math" w:hAnsi="Cambria Math"/>
                <w:sz w:val="17"/>
              </w:rPr>
              <w:t>0.31</w:t>
            </w:r>
            <w:r>
              <w:rPr>
                <w:rFonts w:ascii="Times New Roman" w:hAnsi="Times New Roman"/>
                <w:sz w:val="17"/>
              </w:rPr>
              <w:t xml:space="preserve"> &lt;br&gt; </w:t>
            </w:r>
            <w:r>
              <w:rPr>
                <w:rFonts w:ascii="Cambria Math" w:hAnsi="Cambria Math"/>
                <w:sz w:val="17"/>
              </w:rPr>
              <w:t>0.00\%</w:t>
            </w:r>
          </w:p>
        </w:tc>
        <w:tc>
          <w:tcPr>
            <w:tcW w:type="dxa" w:w="1459"/>
            <w:vAlign w:val="center"/>
            <w:tcW w:w="1458"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7"/>
              </w:rPr>
              <w:t>0.32</w:t>
            </w:r>
            <w:r>
              <w:rPr>
                <w:rFonts w:ascii="Times New Roman" w:hAnsi="Times New Roman"/>
                <w:sz w:val="17"/>
              </w:rPr>
              <w:t xml:space="preserve"> &lt;br&gt; </w:t>
            </w:r>
            <w:r>
              <w:rPr>
                <w:rFonts w:ascii="Cambria Math" w:hAnsi="Cambria Math"/>
                <w:sz w:val="17"/>
              </w:rPr>
              <w:t>0.24</w:t>
            </w:r>
            <w:r>
              <w:rPr>
                <w:rFonts w:ascii="Times New Roman" w:hAnsi="Times New Roman"/>
                <w:sz w:val="17"/>
              </w:rPr>
              <w:t xml:space="preserve"> &lt;br&gt; </w:t>
            </w:r>
            <w:r>
              <w:rPr>
                <w:rFonts w:ascii="Cambria Math" w:hAnsi="Cambria Math"/>
                <w:sz w:val="17"/>
              </w:rPr>
              <w:t>0.30</w:t>
            </w:r>
            <w:r>
              <w:rPr>
                <w:rFonts w:ascii="Times New Roman" w:hAnsi="Times New Roman"/>
                <w:sz w:val="17"/>
              </w:rPr>
              <w:t xml:space="preserve"> &lt;br&gt; </w:t>
            </w:r>
            <w:r>
              <w:rPr>
                <w:rFonts w:ascii="Cambria Math" w:hAnsi="Cambria Math"/>
                <w:sz w:val="17"/>
              </w:rPr>
              <w:t>0.00\%</w:t>
            </w:r>
          </w:p>
        </w:tc>
        <w:tc>
          <w:tcPr>
            <w:tcW w:type="dxa" w:w="1839"/>
            <w:vAlign w:val="center"/>
            <w:tcW w:w="1839"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7"/>
              </w:rPr>
              <w:t>+6.67\%</w:t>
            </w:r>
            <w:r>
              <w:rPr>
                <w:rFonts w:ascii="Times New Roman" w:hAnsi="Times New Roman"/>
                <w:sz w:val="17"/>
              </w:rPr>
              <w:t xml:space="preserve"> (Mean) &lt;br&gt; </w:t>
            </w:r>
            <w:r>
              <w:rPr>
                <w:rFonts w:ascii="Cambria Math" w:hAnsi="Cambria Math"/>
                <w:sz w:val="17"/>
              </w:rPr>
              <w:t>+9.09\%</w:t>
            </w:r>
            <w:r>
              <w:rPr>
                <w:rFonts w:ascii="Times New Roman" w:hAnsi="Times New Roman"/>
                <w:sz w:val="17"/>
              </w:rPr>
              <w:t xml:space="preserve"> (Median) &lt;br&gt; </w:t>
            </w:r>
            <w:r>
              <w:rPr>
                <w:rFonts w:ascii="Cambria Math" w:hAnsi="Cambria Math"/>
                <w:sz w:val="17"/>
              </w:rPr>
              <w:t>-3.23\%</w:t>
            </w:r>
            <w:r>
              <w:rPr>
                <w:rFonts w:ascii="Times New Roman" w:hAnsi="Times New Roman"/>
                <w:sz w:val="17"/>
              </w:rPr>
              <w:t xml:space="preserve"> (SD) &lt;br&gt; </w:t>
            </w:r>
            <w:r>
              <w:rPr>
                <w:rFonts w:ascii="Cambria Math" w:hAnsi="Cambria Math"/>
                <w:sz w:val="17"/>
              </w:rPr>
              <w:t>0.00\%</w:t>
            </w:r>
          </w:p>
        </w:tc>
        <w:tc>
          <w:tcPr>
            <w:tcW w:type="dxa" w:w="2953"/>
            <w:vAlign w:val="center"/>
            <w:tcW w:w="2953"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b/>
                <w:sz w:val="17"/>
              </w:rPr>
              <w:t>Identical Distribution</w:t>
            </w:r>
            <w:r>
              <w:rPr>
                <w:rFonts w:ascii="Times New Roman" w:hAnsi="Times New Roman"/>
                <w:sz w:val="17"/>
              </w:rPr>
              <w:t xml:space="preserve">: Relative logistics burden curve matches within </w:t>
            </w:r>
            <w:r>
              <w:rPr>
                <w:rFonts w:ascii="Cambria Math" w:hAnsi="Cambria Math"/>
                <w:sz w:val="17"/>
              </w:rPr>
              <w:t>0.02</w:t>
            </w:r>
            <w:r>
              <w:rPr>
                <w:rFonts w:ascii="Times New Roman" w:hAnsi="Times New Roman"/>
                <w:sz w:val="17"/>
              </w:rPr>
              <w:t>, ensuring customer detractor sensitivity is unchanged.</w:t>
            </w:r>
          </w:p>
        </w:tc>
      </w:tr>
      <w:tr>
        <w:trPr>
          <w:cantSplit/>
        </w:trPr>
        <w:tc>
          <w:tcPr>
            <w:tcW w:type="dxa" w:w="966"/>
            <w:vAlign w:val="center"/>
            <w:tcW w:w="966" w:type="dxa"/>
            <w:tcMar>
              <w:top w:w="60" w:type="dxa"/>
              <w:bottom w:w="60" w:type="dxa"/>
              <w:left w:w="80" w:type="dxa"/>
              <w:right w:w="80" w:type="dxa"/>
            </w:tcMar>
          </w:tcPr>
          <w:p>
            <w:pPr>
              <w:spacing w:before="0" w:after="0" w:line="252" w:lineRule="auto"/>
              <w:jc w:val="left"/>
            </w:pPr>
            <w:r>
              <w:rPr>
                <w:rFonts w:ascii="Times New Roman" w:hAnsi="Times New Roman"/>
                <w:b/>
                <w:sz w:val="17"/>
              </w:rPr>
              <w:t>`n_items`</w:t>
            </w:r>
          </w:p>
        </w:tc>
        <w:tc>
          <w:tcPr>
            <w:tcW w:type="dxa" w:w="1360"/>
            <w:vAlign w:val="center"/>
            <w:tcW w:w="1360" w:type="dxa"/>
            <w:tcMar>
              <w:top w:w="60" w:type="dxa"/>
              <w:bottom w:w="60" w:type="dxa"/>
              <w:left w:w="80" w:type="dxa"/>
              <w:right w:w="80" w:type="dxa"/>
            </w:tcMar>
          </w:tcPr>
          <w:p>
            <w:pPr>
              <w:spacing w:before="0" w:after="0" w:line="252" w:lineRule="auto"/>
              <w:jc w:val="center"/>
            </w:pPr>
            <w:r>
              <w:rPr>
                <w:rFonts w:ascii="Times New Roman" w:hAnsi="Times New Roman"/>
                <w:sz w:val="17"/>
              </w:rPr>
              <w:t>Mean &lt;br&gt; Median &lt;br&gt; Std Dev &lt;br&gt; Missing %</w:t>
            </w:r>
          </w:p>
        </w:tc>
        <w:tc>
          <w:tcPr>
            <w:tcW w:type="dxa" w:w="1459"/>
            <w:vAlign w:val="center"/>
            <w:tcW w:w="1458" w:type="dxa"/>
            <w:tcMar>
              <w:top w:w="60" w:type="dxa"/>
              <w:bottom w:w="60" w:type="dxa"/>
              <w:left w:w="80" w:type="dxa"/>
              <w:right w:w="80" w:type="dxa"/>
            </w:tcMar>
          </w:tcPr>
          <w:p>
            <w:pPr>
              <w:spacing w:before="0" w:after="0" w:line="252" w:lineRule="auto"/>
              <w:jc w:val="center"/>
            </w:pPr>
            <w:r>
              <w:rPr>
                <w:rFonts w:ascii="Cambria Math" w:hAnsi="Cambria Math"/>
                <w:sz w:val="17"/>
              </w:rPr>
              <w:t>1.15</w:t>
            </w:r>
            <w:r>
              <w:rPr>
                <w:rFonts w:ascii="Times New Roman" w:hAnsi="Times New Roman"/>
                <w:sz w:val="17"/>
              </w:rPr>
              <w:t xml:space="preserve"> &lt;br&gt; </w:t>
            </w:r>
            <w:r>
              <w:rPr>
                <w:rFonts w:ascii="Cambria Math" w:hAnsi="Cambria Math"/>
                <w:sz w:val="17"/>
              </w:rPr>
              <w:t>1.00</w:t>
            </w:r>
            <w:r>
              <w:rPr>
                <w:rFonts w:ascii="Times New Roman" w:hAnsi="Times New Roman"/>
                <w:sz w:val="17"/>
              </w:rPr>
              <w:t xml:space="preserve"> &lt;br&gt; </w:t>
            </w:r>
            <w:r>
              <w:rPr>
                <w:rFonts w:ascii="Cambria Math" w:hAnsi="Cambria Math"/>
                <w:sz w:val="17"/>
              </w:rPr>
              <w:t>0.55</w:t>
            </w:r>
            <w:r>
              <w:rPr>
                <w:rFonts w:ascii="Times New Roman" w:hAnsi="Times New Roman"/>
                <w:sz w:val="17"/>
              </w:rPr>
              <w:t xml:space="preserve"> &lt;br&gt; </w:t>
            </w:r>
            <w:r>
              <w:rPr>
                <w:rFonts w:ascii="Cambria Math" w:hAnsi="Cambria Math"/>
                <w:sz w:val="17"/>
              </w:rPr>
              <w:t>0.00\%</w:t>
            </w:r>
          </w:p>
        </w:tc>
        <w:tc>
          <w:tcPr>
            <w:tcW w:type="dxa" w:w="1459"/>
            <w:vAlign w:val="center"/>
            <w:tcW w:w="1458" w:type="dxa"/>
            <w:tcMar>
              <w:top w:w="60" w:type="dxa"/>
              <w:bottom w:w="60" w:type="dxa"/>
              <w:left w:w="80" w:type="dxa"/>
              <w:right w:w="80" w:type="dxa"/>
            </w:tcMar>
          </w:tcPr>
          <w:p>
            <w:pPr>
              <w:spacing w:before="0" w:after="0" w:line="252" w:lineRule="auto"/>
              <w:jc w:val="center"/>
            </w:pPr>
            <w:r>
              <w:rPr>
                <w:rFonts w:ascii="Cambria Math" w:hAnsi="Cambria Math"/>
                <w:sz w:val="17"/>
              </w:rPr>
              <w:t>1.14</w:t>
            </w:r>
            <w:r>
              <w:rPr>
                <w:rFonts w:ascii="Times New Roman" w:hAnsi="Times New Roman"/>
                <w:sz w:val="17"/>
              </w:rPr>
              <w:t xml:space="preserve"> &lt;br&gt; </w:t>
            </w:r>
            <w:r>
              <w:rPr>
                <w:rFonts w:ascii="Cambria Math" w:hAnsi="Cambria Math"/>
                <w:sz w:val="17"/>
              </w:rPr>
              <w:t>1.00</w:t>
            </w:r>
            <w:r>
              <w:rPr>
                <w:rFonts w:ascii="Times New Roman" w:hAnsi="Times New Roman"/>
                <w:sz w:val="17"/>
              </w:rPr>
              <w:t xml:space="preserve"> &lt;br&gt; </w:t>
            </w:r>
            <w:r>
              <w:rPr>
                <w:rFonts w:ascii="Cambria Math" w:hAnsi="Cambria Math"/>
                <w:sz w:val="17"/>
              </w:rPr>
              <w:t>0.51</w:t>
            </w:r>
            <w:r>
              <w:rPr>
                <w:rFonts w:ascii="Times New Roman" w:hAnsi="Times New Roman"/>
                <w:sz w:val="17"/>
              </w:rPr>
              <w:t xml:space="preserve"> &lt;br&gt; </w:t>
            </w:r>
            <w:r>
              <w:rPr>
                <w:rFonts w:ascii="Cambria Math" w:hAnsi="Cambria Math"/>
                <w:sz w:val="17"/>
              </w:rPr>
              <w:t>0.00\%</w:t>
            </w:r>
          </w:p>
        </w:tc>
        <w:tc>
          <w:tcPr>
            <w:tcW w:type="dxa" w:w="1839"/>
            <w:vAlign w:val="center"/>
            <w:tcW w:w="1839" w:type="dxa"/>
            <w:tcMar>
              <w:top w:w="60" w:type="dxa"/>
              <w:bottom w:w="60" w:type="dxa"/>
              <w:left w:w="80" w:type="dxa"/>
              <w:right w:w="80" w:type="dxa"/>
            </w:tcMar>
          </w:tcPr>
          <w:p>
            <w:pPr>
              <w:spacing w:before="0" w:after="0" w:line="252" w:lineRule="auto"/>
              <w:jc w:val="center"/>
            </w:pPr>
            <w:r>
              <w:rPr>
                <w:rFonts w:ascii="Cambria Math" w:hAnsi="Cambria Math"/>
                <w:sz w:val="17"/>
              </w:rPr>
              <w:t>-0.87\%</w:t>
            </w:r>
            <w:r>
              <w:rPr>
                <w:rFonts w:ascii="Times New Roman" w:hAnsi="Times New Roman"/>
                <w:sz w:val="17"/>
              </w:rPr>
              <w:t xml:space="preserve"> (Mean) &lt;br&gt; </w:t>
            </w:r>
            <w:r>
              <w:rPr>
                <w:rFonts w:ascii="Times New Roman" w:hAnsi="Times New Roman"/>
                <w:b/>
                <w:sz w:val="17"/>
              </w:rPr>
              <w:t>0.00\% (Median)</w:t>
            </w:r>
            <w:r>
              <w:rPr>
                <w:rFonts w:ascii="Times New Roman" w:hAnsi="Times New Roman"/>
                <w:sz w:val="17"/>
              </w:rPr>
              <w:t xml:space="preserve"> &lt;br&gt; </w:t>
            </w:r>
            <w:r>
              <w:rPr>
                <w:rFonts w:ascii="Cambria Math" w:hAnsi="Cambria Math"/>
                <w:sz w:val="17"/>
              </w:rPr>
              <w:t>-7.27\%</w:t>
            </w:r>
            <w:r>
              <w:rPr>
                <w:rFonts w:ascii="Times New Roman" w:hAnsi="Times New Roman"/>
                <w:sz w:val="17"/>
              </w:rPr>
              <w:t xml:space="preserve"> (SD) &lt;br&gt; </w:t>
            </w:r>
            <w:r>
              <w:rPr>
                <w:rFonts w:ascii="Cambria Math" w:hAnsi="Cambria Math"/>
                <w:sz w:val="17"/>
              </w:rPr>
              <w:t>0.00\%</w:t>
            </w:r>
          </w:p>
        </w:tc>
        <w:tc>
          <w:tcPr>
            <w:tcW w:type="dxa" w:w="2953"/>
            <w:vAlign w:val="center"/>
            <w:tcW w:w="2953" w:type="dxa"/>
            <w:tcMar>
              <w:top w:w="60" w:type="dxa"/>
              <w:bottom w:w="60" w:type="dxa"/>
              <w:left w:w="80" w:type="dxa"/>
              <w:right w:w="80" w:type="dxa"/>
            </w:tcMar>
          </w:tcPr>
          <w:p>
            <w:pPr>
              <w:spacing w:before="0" w:after="0" w:line="252" w:lineRule="auto"/>
              <w:jc w:val="left"/>
            </w:pPr>
            <w:r>
              <w:rPr>
                <w:rFonts w:ascii="Times New Roman" w:hAnsi="Times New Roman"/>
                <w:b/>
                <w:sz w:val="17"/>
              </w:rPr>
              <w:t>Identical Distribution</w:t>
            </w:r>
            <w:r>
              <w:rPr>
                <w:rFonts w:ascii="Times New Roman" w:hAnsi="Times New Roman"/>
                <w:sz w:val="17"/>
              </w:rPr>
              <w:t>: Cart complexity and pick-and-pack warehouse friction are perfectly preserved.</w:t>
            </w:r>
          </w:p>
        </w:tc>
      </w:tr>
      <w:tr>
        <w:trPr>
          <w:cantSplit/>
        </w:trPr>
        <w:tc>
          <w:tcPr>
            <w:tcW w:type="dxa" w:w="966"/>
            <w:vAlign w:val="center"/>
            <w:tcW w:w="966"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7"/>
              </w:rPr>
              <w:t>`purchase_hour`</w:t>
            </w:r>
          </w:p>
        </w:tc>
        <w:tc>
          <w:tcPr>
            <w:tcW w:type="dxa" w:w="1360"/>
            <w:vAlign w:val="center"/>
            <w:tcW w:w="1360"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sz w:val="17"/>
              </w:rPr>
              <w:t>Mean &lt;br&gt; Median &lt;br&gt; Std Dev &lt;br&gt; Missing %</w:t>
            </w:r>
          </w:p>
        </w:tc>
        <w:tc>
          <w:tcPr>
            <w:tcW w:type="dxa" w:w="1459"/>
            <w:vAlign w:val="center"/>
            <w:tcW w:w="1458"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7"/>
              </w:rPr>
              <w:t>14.78</w:t>
            </w:r>
            <w:r>
              <w:rPr>
                <w:rFonts w:ascii="Times New Roman" w:hAnsi="Times New Roman"/>
                <w:sz w:val="17"/>
              </w:rPr>
              <w:t xml:space="preserve"> &lt;br&gt; </w:t>
            </w:r>
            <w:r>
              <w:rPr>
                <w:rFonts w:ascii="Times New Roman" w:hAnsi="Times New Roman"/>
                <w:b/>
                <w:sz w:val="17"/>
              </w:rPr>
              <w:t>15:00</w:t>
            </w:r>
            <w:r>
              <w:rPr>
                <w:rFonts w:ascii="Times New Roman" w:hAnsi="Times New Roman"/>
                <w:sz w:val="17"/>
              </w:rPr>
              <w:t xml:space="preserve"> &lt;br&gt; </w:t>
            </w:r>
            <w:r>
              <w:rPr>
                <w:rFonts w:ascii="Cambria Math" w:hAnsi="Cambria Math"/>
                <w:sz w:val="17"/>
              </w:rPr>
              <w:t>5.35</w:t>
            </w:r>
            <w:r>
              <w:rPr>
                <w:rFonts w:ascii="Times New Roman" w:hAnsi="Times New Roman"/>
                <w:sz w:val="17"/>
              </w:rPr>
              <w:t xml:space="preserve"> &lt;br&gt; </w:t>
            </w:r>
            <w:r>
              <w:rPr>
                <w:rFonts w:ascii="Cambria Math" w:hAnsi="Cambria Math"/>
                <w:sz w:val="17"/>
              </w:rPr>
              <w:t>0.00\%</w:t>
            </w:r>
          </w:p>
        </w:tc>
        <w:tc>
          <w:tcPr>
            <w:tcW w:type="dxa" w:w="1459"/>
            <w:vAlign w:val="center"/>
            <w:tcW w:w="1458"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7"/>
              </w:rPr>
              <w:t>14.75</w:t>
            </w:r>
            <w:r>
              <w:rPr>
                <w:rFonts w:ascii="Times New Roman" w:hAnsi="Times New Roman"/>
                <w:sz w:val="17"/>
              </w:rPr>
              <w:t xml:space="preserve"> &lt;br&gt; </w:t>
            </w:r>
            <w:r>
              <w:rPr>
                <w:rFonts w:ascii="Times New Roman" w:hAnsi="Times New Roman"/>
                <w:b/>
                <w:sz w:val="17"/>
              </w:rPr>
              <w:t>15:00</w:t>
            </w:r>
            <w:r>
              <w:rPr>
                <w:rFonts w:ascii="Times New Roman" w:hAnsi="Times New Roman"/>
                <w:sz w:val="17"/>
              </w:rPr>
              <w:t xml:space="preserve"> &lt;br&gt; </w:t>
            </w:r>
            <w:r>
              <w:rPr>
                <w:rFonts w:ascii="Cambria Math" w:hAnsi="Cambria Math"/>
                <w:sz w:val="17"/>
              </w:rPr>
              <w:t>5.26</w:t>
            </w:r>
            <w:r>
              <w:rPr>
                <w:rFonts w:ascii="Times New Roman" w:hAnsi="Times New Roman"/>
                <w:sz w:val="17"/>
              </w:rPr>
              <w:t xml:space="preserve"> &lt;br&gt; </w:t>
            </w:r>
            <w:r>
              <w:rPr>
                <w:rFonts w:ascii="Cambria Math" w:hAnsi="Cambria Math"/>
                <w:sz w:val="17"/>
              </w:rPr>
              <w:t>0.00\%</w:t>
            </w:r>
          </w:p>
        </w:tc>
        <w:tc>
          <w:tcPr>
            <w:tcW w:type="dxa" w:w="1839"/>
            <w:vAlign w:val="center"/>
            <w:tcW w:w="1839"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7"/>
              </w:rPr>
              <w:t>-0.20\%</w:t>
            </w:r>
            <w:r>
              <w:rPr>
                <w:rFonts w:ascii="Times New Roman" w:hAnsi="Times New Roman"/>
                <w:sz w:val="17"/>
              </w:rPr>
              <w:t xml:space="preserve"> (Mean) &lt;br&gt; </w:t>
            </w:r>
            <w:r>
              <w:rPr>
                <w:rFonts w:ascii="Times New Roman" w:hAnsi="Times New Roman"/>
                <w:b/>
                <w:sz w:val="17"/>
              </w:rPr>
              <w:t>0.00\% (Median)</w:t>
            </w:r>
            <w:r>
              <w:rPr>
                <w:rFonts w:ascii="Times New Roman" w:hAnsi="Times New Roman"/>
                <w:sz w:val="17"/>
              </w:rPr>
              <w:t xml:space="preserve"> &lt;br&gt; </w:t>
            </w:r>
            <w:r>
              <w:rPr>
                <w:rFonts w:ascii="Cambria Math" w:hAnsi="Cambria Math"/>
                <w:sz w:val="17"/>
              </w:rPr>
              <w:t>-1.68\%</w:t>
            </w:r>
            <w:r>
              <w:rPr>
                <w:rFonts w:ascii="Times New Roman" w:hAnsi="Times New Roman"/>
                <w:sz w:val="17"/>
              </w:rPr>
              <w:t xml:space="preserve"> (SD) &lt;br&gt; </w:t>
            </w:r>
            <w:r>
              <w:rPr>
                <w:rFonts w:ascii="Cambria Math" w:hAnsi="Cambria Math"/>
                <w:sz w:val="17"/>
              </w:rPr>
              <w:t>0.00\%</w:t>
            </w:r>
          </w:p>
        </w:tc>
        <w:tc>
          <w:tcPr>
            <w:tcW w:type="dxa" w:w="2953"/>
            <w:vAlign w:val="center"/>
            <w:tcW w:w="2953"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7"/>
              </w:rPr>
              <w:t>Identical Distribution</w:t>
            </w:r>
            <w:r>
              <w:rPr>
                <w:rFonts w:ascii="Times New Roman" w:hAnsi="Times New Roman"/>
                <w:sz w:val="17"/>
              </w:rPr>
              <w:t>: Diurnal purchasing rhythm peaks at 15:00 PM in both cohorts; dispatch shift cutoff dynamics remain invariant.</w:t>
            </w:r>
          </w:p>
        </w:tc>
      </w:tr>
      <w:tr>
        <w:trPr>
          <w:cantSplit/>
        </w:trPr>
        <w:tc>
          <w:tcPr>
            <w:tcW w:type="dxa" w:w="966"/>
            <w:vAlign w:val="center"/>
            <w:tcW w:w="966" w:type="dxa"/>
            <w:tcMar>
              <w:top w:w="60" w:type="dxa"/>
              <w:bottom w:w="60" w:type="dxa"/>
              <w:left w:w="80" w:type="dxa"/>
              <w:right w:w="80" w:type="dxa"/>
            </w:tcMar>
          </w:tcPr>
          <w:p>
            <w:pPr>
              <w:spacing w:before="0" w:after="0" w:line="252" w:lineRule="auto"/>
              <w:jc w:val="left"/>
            </w:pPr>
            <w:r>
              <w:rPr>
                <w:rFonts w:ascii="Times New Roman" w:hAnsi="Times New Roman"/>
                <w:b/>
                <w:sz w:val="17"/>
              </w:rPr>
              <w:t>`distance_km_max`</w:t>
            </w:r>
            <w:r>
              <w:rPr>
                <w:rFonts w:ascii="Times New Roman" w:hAnsi="Times New Roman"/>
                <w:sz w:val="17"/>
              </w:rPr>
              <w:t xml:space="preserve"> (km)</w:t>
            </w:r>
          </w:p>
        </w:tc>
        <w:tc>
          <w:tcPr>
            <w:tcW w:type="dxa" w:w="1360"/>
            <w:vAlign w:val="center"/>
            <w:tcW w:w="1360" w:type="dxa"/>
            <w:tcMar>
              <w:top w:w="60" w:type="dxa"/>
              <w:bottom w:w="60" w:type="dxa"/>
              <w:left w:w="80" w:type="dxa"/>
              <w:right w:w="80" w:type="dxa"/>
            </w:tcMar>
          </w:tcPr>
          <w:p>
            <w:pPr>
              <w:spacing w:before="0" w:after="0" w:line="252" w:lineRule="auto"/>
              <w:jc w:val="center"/>
            </w:pPr>
            <w:r>
              <w:rPr>
                <w:rFonts w:ascii="Times New Roman" w:hAnsi="Times New Roman"/>
                <w:sz w:val="17"/>
              </w:rPr>
              <w:t>Mean &lt;br&gt; Median &lt;br&gt; Std Dev &lt;br&gt; Missing %</w:t>
            </w:r>
          </w:p>
        </w:tc>
        <w:tc>
          <w:tcPr>
            <w:tcW w:type="dxa" w:w="1459"/>
            <w:vAlign w:val="center"/>
            <w:tcW w:w="1458" w:type="dxa"/>
            <w:tcMar>
              <w:top w:w="60" w:type="dxa"/>
              <w:bottom w:w="60" w:type="dxa"/>
              <w:left w:w="80" w:type="dxa"/>
              <w:right w:w="80" w:type="dxa"/>
            </w:tcMar>
          </w:tcPr>
          <w:p>
            <w:pPr>
              <w:spacing w:before="0" w:after="0" w:line="252" w:lineRule="auto"/>
              <w:jc w:val="center"/>
            </w:pPr>
            <w:r>
              <w:rPr>
                <w:rFonts w:ascii="Cambria Math" w:hAnsi="Cambria Math"/>
                <w:sz w:val="17"/>
              </w:rPr>
              <w:t>605.68</w:t>
            </w:r>
            <w:r>
              <w:rPr>
                <w:rFonts w:ascii="Times New Roman" w:hAnsi="Times New Roman"/>
                <w:sz w:val="17"/>
              </w:rPr>
              <w:t xml:space="preserve"> &lt;br&gt; </w:t>
            </w:r>
            <w:r>
              <w:rPr>
                <w:rFonts w:ascii="Cambria Math" w:hAnsi="Cambria Math"/>
                <w:sz w:val="17"/>
              </w:rPr>
              <w:t>443.56</w:t>
            </w:r>
            <w:r>
              <w:rPr>
                <w:rFonts w:ascii="Times New Roman" w:hAnsi="Times New Roman"/>
                <w:sz w:val="17"/>
              </w:rPr>
              <w:t xml:space="preserve"> &lt;br&gt; </w:t>
            </w:r>
            <w:r>
              <w:rPr>
                <w:rFonts w:ascii="Cambria Math" w:hAnsi="Cambria Math"/>
                <w:sz w:val="17"/>
              </w:rPr>
              <w:t>587.72</w:t>
            </w:r>
            <w:r>
              <w:rPr>
                <w:rFonts w:ascii="Times New Roman" w:hAnsi="Times New Roman"/>
                <w:sz w:val="17"/>
              </w:rPr>
              <w:t xml:space="preserve"> &lt;br&gt; </w:t>
            </w:r>
            <w:r>
              <w:rPr>
                <w:rFonts w:ascii="Times New Roman" w:hAnsi="Times New Roman"/>
                <w:b/>
                <w:sz w:val="17"/>
              </w:rPr>
              <w:t>1.15\%</w:t>
            </w:r>
          </w:p>
        </w:tc>
        <w:tc>
          <w:tcPr>
            <w:tcW w:type="dxa" w:w="1459"/>
            <w:vAlign w:val="center"/>
            <w:tcW w:w="1458" w:type="dxa"/>
            <w:tcMar>
              <w:top w:w="60" w:type="dxa"/>
              <w:bottom w:w="60" w:type="dxa"/>
              <w:left w:w="80" w:type="dxa"/>
              <w:right w:w="80" w:type="dxa"/>
            </w:tcMar>
          </w:tcPr>
          <w:p>
            <w:pPr>
              <w:spacing w:before="0" w:after="0" w:line="252" w:lineRule="auto"/>
              <w:jc w:val="center"/>
            </w:pPr>
            <w:r>
              <w:rPr>
                <w:rFonts w:ascii="Cambria Math" w:hAnsi="Cambria Math"/>
                <w:sz w:val="17"/>
              </w:rPr>
              <w:t>571.35</w:t>
            </w:r>
            <w:r>
              <w:rPr>
                <w:rFonts w:ascii="Times New Roman" w:hAnsi="Times New Roman"/>
                <w:sz w:val="17"/>
              </w:rPr>
              <w:t xml:space="preserve"> &lt;br&gt; </w:t>
            </w:r>
            <w:r>
              <w:rPr>
                <w:rFonts w:ascii="Cambria Math" w:hAnsi="Cambria Math"/>
                <w:sz w:val="17"/>
              </w:rPr>
              <w:t>398.09</w:t>
            </w:r>
            <w:r>
              <w:rPr>
                <w:rFonts w:ascii="Times New Roman" w:hAnsi="Times New Roman"/>
                <w:sz w:val="17"/>
              </w:rPr>
              <w:t xml:space="preserve"> &lt;br&gt; </w:t>
            </w:r>
            <w:r>
              <w:rPr>
                <w:rFonts w:ascii="Cambria Math" w:hAnsi="Cambria Math"/>
                <w:sz w:val="17"/>
              </w:rPr>
              <w:t>592.60</w:t>
            </w:r>
            <w:r>
              <w:rPr>
                <w:rFonts w:ascii="Times New Roman" w:hAnsi="Times New Roman"/>
                <w:sz w:val="17"/>
              </w:rPr>
              <w:t xml:space="preserve"> &lt;br&gt; </w:t>
            </w:r>
            <w:r>
              <w:rPr>
                <w:rFonts w:ascii="Times New Roman" w:hAnsi="Times New Roman"/>
                <w:b/>
                <w:sz w:val="17"/>
              </w:rPr>
              <w:t>1.19\%</w:t>
            </w:r>
          </w:p>
        </w:tc>
        <w:tc>
          <w:tcPr>
            <w:tcW w:type="dxa" w:w="1839"/>
            <w:vAlign w:val="center"/>
            <w:tcW w:w="1839" w:type="dxa"/>
            <w:tcMar>
              <w:top w:w="60" w:type="dxa"/>
              <w:bottom w:w="60" w:type="dxa"/>
              <w:left w:w="80" w:type="dxa"/>
              <w:right w:w="80" w:type="dxa"/>
            </w:tcMar>
          </w:tcPr>
          <w:p>
            <w:pPr>
              <w:spacing w:before="0" w:after="0" w:line="252" w:lineRule="auto"/>
              <w:jc w:val="center"/>
            </w:pPr>
            <w:r>
              <w:rPr>
                <w:rFonts w:ascii="Cambria Math" w:hAnsi="Cambria Math"/>
                <w:sz w:val="17"/>
              </w:rPr>
              <w:t>-5.67\%</w:t>
            </w:r>
            <w:r>
              <w:rPr>
                <w:rFonts w:ascii="Times New Roman" w:hAnsi="Times New Roman"/>
                <w:sz w:val="17"/>
              </w:rPr>
              <w:t xml:space="preserve"> (Mean) &lt;br&gt; </w:t>
            </w:r>
            <w:r>
              <w:rPr>
                <w:rFonts w:ascii="Cambria Math" w:hAnsi="Cambria Math"/>
                <w:sz w:val="17"/>
              </w:rPr>
              <w:t>-10.25\%</w:t>
            </w:r>
            <w:r>
              <w:rPr>
                <w:rFonts w:ascii="Times New Roman" w:hAnsi="Times New Roman"/>
                <w:sz w:val="17"/>
              </w:rPr>
              <w:t xml:space="preserve"> (Median) &lt;br&gt; </w:t>
            </w:r>
            <w:r>
              <w:rPr>
                <w:rFonts w:ascii="Cambria Math" w:hAnsi="Cambria Math"/>
                <w:sz w:val="17"/>
              </w:rPr>
              <w:t>+0.83\%</w:t>
            </w:r>
            <w:r>
              <w:rPr>
                <w:rFonts w:ascii="Times New Roman" w:hAnsi="Times New Roman"/>
                <w:sz w:val="17"/>
              </w:rPr>
              <w:t xml:space="preserve"> (SD) &lt;br&gt; </w:t>
            </w:r>
            <w:r>
              <w:rPr>
                <w:rFonts w:ascii="Cambria Math" w:hAnsi="Cambria Math"/>
                <w:sz w:val="17"/>
              </w:rPr>
              <w:t>+0.04\%</w:t>
            </w:r>
          </w:p>
        </w:tc>
        <w:tc>
          <w:tcPr>
            <w:tcW w:type="dxa" w:w="2953"/>
            <w:vAlign w:val="center"/>
            <w:tcW w:w="2953" w:type="dxa"/>
            <w:tcMar>
              <w:top w:w="60" w:type="dxa"/>
              <w:bottom w:w="60" w:type="dxa"/>
              <w:left w:w="80" w:type="dxa"/>
              <w:right w:w="80" w:type="dxa"/>
            </w:tcMar>
          </w:tcPr>
          <w:p>
            <w:pPr>
              <w:spacing w:before="0" w:after="0" w:line="252" w:lineRule="auto"/>
              <w:jc w:val="center"/>
            </w:pPr>
            <w:r>
              <w:rPr>
                <w:rFonts w:ascii="Times New Roman" w:hAnsi="Times New Roman"/>
                <w:b/>
                <w:sz w:val="17"/>
              </w:rPr>
              <w:t>Stable Distribution</w:t>
            </w:r>
            <w:r>
              <w:rPr>
                <w:rFonts w:ascii="Times New Roman" w:hAnsi="Times New Roman"/>
                <w:sz w:val="17"/>
              </w:rPr>
              <w:t>: Spatial geography spans identical scale; coordinate missingness rate (</w:t>
            </w:r>
            <w:r>
              <w:rPr>
                <w:rFonts w:ascii="Cambria Math" w:hAnsi="Cambria Math"/>
                <w:sz w:val="17"/>
              </w:rPr>
              <w:t>1.15\%</w:t>
            </w:r>
            <w:r>
              <w:rPr>
                <w:rFonts w:ascii="Times New Roman" w:hAnsi="Times New Roman"/>
                <w:sz w:val="17"/>
              </w:rPr>
              <w:t xml:space="preserve"> vs </w:t>
            </w:r>
            <w:r>
              <w:rPr>
                <w:rFonts w:ascii="Cambria Math" w:hAnsi="Cambria Math"/>
                <w:sz w:val="17"/>
              </w:rPr>
              <w:t>1.19\%</w:t>
            </w:r>
            <w:r>
              <w:rPr>
                <w:rFonts w:ascii="Times New Roman" w:hAnsi="Times New Roman"/>
                <w:sz w:val="17"/>
              </w:rPr>
              <w:t>) shows zero structural attrition.</w:t>
            </w:r>
          </w:p>
        </w:tc>
      </w:tr>
    </w:tbl>
    <w:p>
      <w:pPr>
        <w:spacing w:before="40" w:after="40" w:line="40" w:lineRule="exact"/>
      </w:pPr>
    </w:p>
    <w:p>
      <w:pPr>
        <w:pStyle w:val="Heading2"/>
      </w:pPr>
      <w:r>
        <w:rPr>
          <w:rFonts w:ascii="Times New Roman" w:hAnsi="Times New Roman"/>
          <w:b/>
          <w:sz w:val="25"/>
        </w:rPr>
        <w:t>Table F.2: Categorical Market Share &amp; Regional Logistics Network Stability</w:t>
      </w:r>
    </w:p>
    <w:p>
      <w:pPr>
        <w:pStyle w:val="Heading3"/>
      </w:pPr>
      <w:r>
        <w:rPr>
          <w:rFonts w:ascii="Times New Roman" w:hAnsi="Times New Roman"/>
          <w:b/>
          <w:sz w:val="23"/>
        </w:rPr>
        <w:t xml:space="preserve">A. Customer Destination States (Top 7 Federative Units, </w:t>
      </w:r>
      <w:r>
        <w:rPr>
          <w:rFonts w:ascii="Cambria Math" w:hAnsi="Cambria Math"/>
          <w:b/>
          <w:sz w:val="23"/>
        </w:rPr>
        <w:t>&gt;80\%</w:t>
      </w:r>
      <w:r>
        <w:rPr>
          <w:rFonts w:ascii="Times New Roman" w:hAnsi="Times New Roman"/>
          <w:b/>
          <w:sz w:val="23"/>
        </w:rPr>
        <w:t xml:space="preserve"> National Share)</w:t>
      </w:r>
    </w:p>
    <w:tbl>
      <w:tblPr>
        <w:tblW w:type="auto" w:w="0"/>
        <w:jc w:val="center"/>
        <w:tblLayout w:type="fixed"/>
        <w:tblLook w:firstColumn="1" w:firstRow="1" w:lastColumn="0" w:lastRow="0" w:noHBand="0" w:noVBand="1" w:val="04A0"/>
        <w:tblBorders>
          <w:top w:val="single" w:sz="8" w:space="0" w:color="1F4E79"/>
          <w:bottom w:val="single" w:sz="8" w:space="0" w:color="1F4E79"/>
          <w:left w:val="single" w:sz="4" w:space="0" w:color="D9D9D9"/>
          <w:right w:val="single" w:sz="4" w:space="0" w:color="D9D9D9"/>
          <w:insideH w:val="single" w:sz="4" w:space="0" w:color="E2E8F0"/>
          <w:insideV w:val="single" w:sz="4" w:space="0" w:color="E2E8F0"/>
        </w:tblBorders>
      </w:tblPr>
      <w:tblGrid>
        <w:gridCol w:w="1673"/>
        <w:gridCol w:w="1673"/>
        <w:gridCol w:w="1673"/>
        <w:gridCol w:w="1673"/>
        <w:gridCol w:w="1673"/>
        <w:gridCol w:w="1673"/>
      </w:tblGrid>
      <w:tr>
        <w:trPr>
          <w:cantSplit/>
          <w:tblHeader/>
        </w:trPr>
        <w:tc>
          <w:tcPr>
            <w:tcW w:type="dxa" w:w="1564"/>
            <w:vAlign w:val="center"/>
            <w:tcW w:w="1564"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7"/>
              </w:rPr>
              <w:t>State Code (UF)</w:t>
            </w:r>
          </w:p>
        </w:tc>
        <w:tc>
          <w:tcPr>
            <w:tcW w:type="dxa" w:w="946"/>
            <w:vAlign w:val="center"/>
            <w:tcW w:w="946"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7"/>
              </w:rPr>
              <w:t>Macro-Region</w:t>
            </w:r>
          </w:p>
        </w:tc>
        <w:tc>
          <w:tcPr>
            <w:tcW w:type="dxa" w:w="1525"/>
            <w:vAlign w:val="center"/>
            <w:tcW w:w="1524"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7"/>
              </w:rPr>
              <w:t>Training Share (</w:t>
            </w:r>
            <w:r>
              <w:rPr>
                <w:rFonts w:ascii="Cambria Math" w:hAnsi="Cambria Math"/>
                <w:b/>
                <w:sz w:val="17"/>
              </w:rPr>
              <w:t>N=59,466</w:t>
            </w:r>
            <w:r>
              <w:rPr>
                <w:rFonts w:ascii="Times New Roman" w:hAnsi="Times New Roman"/>
                <w:b/>
                <w:sz w:val="17"/>
              </w:rPr>
              <w:t>)</w:t>
            </w:r>
          </w:p>
        </w:tc>
        <w:tc>
          <w:tcPr>
            <w:tcW w:type="dxa" w:w="1485"/>
            <w:vAlign w:val="center"/>
            <w:tcW w:w="1484"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7"/>
              </w:rPr>
              <w:t>Holdout Share (</w:t>
            </w:r>
            <w:r>
              <w:rPr>
                <w:rFonts w:ascii="Cambria Math" w:hAnsi="Cambria Math"/>
                <w:b/>
                <w:sz w:val="17"/>
              </w:rPr>
              <w:t>N=15,615</w:t>
            </w:r>
            <w:r>
              <w:rPr>
                <w:rFonts w:ascii="Times New Roman" w:hAnsi="Times New Roman"/>
                <w:b/>
                <w:sz w:val="17"/>
              </w:rPr>
              <w:t>)</w:t>
            </w:r>
          </w:p>
        </w:tc>
        <w:tc>
          <w:tcPr>
            <w:tcW w:type="dxa" w:w="1485"/>
            <w:vAlign w:val="center"/>
            <w:tcW w:w="1484"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7"/>
              </w:rPr>
              <w:t>Absolute Share Shift (</w:t>
            </w:r>
            <w:r>
              <w:rPr>
                <w:rFonts w:ascii="Cambria Math" w:hAnsi="Cambria Math"/>
                <w:b/>
                <w:sz w:val="17"/>
              </w:rPr>
              <w:t>Δ</w:t>
            </w:r>
            <w:r>
              <w:rPr>
                <w:rFonts w:ascii="Times New Roman" w:hAnsi="Times New Roman"/>
                <w:b/>
                <w:sz w:val="17"/>
              </w:rPr>
              <w:t>)</w:t>
            </w:r>
          </w:p>
        </w:tc>
        <w:tc>
          <w:tcPr>
            <w:tcW w:type="dxa" w:w="3032"/>
            <w:vAlign w:val="center"/>
            <w:tcW w:w="3032"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7"/>
              </w:rPr>
              <w:t>Regional Stability Assessment</w:t>
            </w:r>
          </w:p>
        </w:tc>
      </w:tr>
      <w:tr>
        <w:trPr>
          <w:cantSplit/>
        </w:trPr>
        <w:tc>
          <w:tcPr>
            <w:tcW w:type="dxa" w:w="1564"/>
            <w:vAlign w:val="center"/>
            <w:tcW w:w="1564"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7"/>
              </w:rPr>
              <w:t>SP</w:t>
            </w:r>
            <w:r>
              <w:rPr>
                <w:rFonts w:ascii="Times New Roman" w:hAnsi="Times New Roman"/>
                <w:sz w:val="17"/>
              </w:rPr>
              <w:t xml:space="preserve"> (São Paulo)</w:t>
            </w:r>
          </w:p>
        </w:tc>
        <w:tc>
          <w:tcPr>
            <w:tcW w:type="dxa" w:w="946"/>
            <w:vAlign w:val="center"/>
            <w:tcW w:w="946"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Southeast</w:t>
            </w:r>
          </w:p>
        </w:tc>
        <w:tc>
          <w:tcPr>
            <w:tcW w:type="dxa" w:w="1525"/>
            <w:vAlign w:val="center"/>
            <w:tcW w:w="1524"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7"/>
              </w:rPr>
              <w:t>41.08\%</w:t>
            </w:r>
          </w:p>
        </w:tc>
        <w:tc>
          <w:tcPr>
            <w:tcW w:type="dxa" w:w="1485"/>
            <w:vAlign w:val="center"/>
            <w:tcW w:w="1484"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7"/>
              </w:rPr>
              <w:t>46.22\%</w:t>
            </w:r>
          </w:p>
        </w:tc>
        <w:tc>
          <w:tcPr>
            <w:tcW w:type="dxa" w:w="1485"/>
            <w:vAlign w:val="center"/>
            <w:tcW w:w="1484"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7"/>
              </w:rPr>
              <w:t>+5.14\%</w:t>
            </w:r>
          </w:p>
        </w:tc>
        <w:tc>
          <w:tcPr>
            <w:tcW w:type="dxa" w:w="3032"/>
            <w:vAlign w:val="center"/>
            <w:tcW w:w="3032"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Metropolitan hub dominance expands slightly; well within model capacity.</w:t>
            </w:r>
          </w:p>
        </w:tc>
      </w:tr>
      <w:tr>
        <w:trPr>
          <w:cantSplit/>
        </w:trPr>
        <w:tc>
          <w:tcPr>
            <w:tcW w:type="dxa" w:w="1564"/>
            <w:vAlign w:val="center"/>
            <w:tcW w:w="1564" w:type="dxa"/>
            <w:tcMar>
              <w:top w:w="60" w:type="dxa"/>
              <w:bottom w:w="60" w:type="dxa"/>
              <w:left w:w="80" w:type="dxa"/>
              <w:right w:w="80" w:type="dxa"/>
            </w:tcMar>
          </w:tcPr>
          <w:p>
            <w:pPr>
              <w:spacing w:before="0" w:after="0" w:line="252" w:lineRule="auto"/>
              <w:jc w:val="left"/>
            </w:pPr>
            <w:r>
              <w:rPr>
                <w:rFonts w:ascii="Times New Roman" w:hAnsi="Times New Roman"/>
                <w:b/>
                <w:sz w:val="17"/>
              </w:rPr>
              <w:t>RJ</w:t>
            </w:r>
            <w:r>
              <w:rPr>
                <w:rFonts w:ascii="Times New Roman" w:hAnsi="Times New Roman"/>
                <w:sz w:val="17"/>
              </w:rPr>
              <w:t xml:space="preserve"> (Rio de Janeiro)</w:t>
            </w:r>
          </w:p>
        </w:tc>
        <w:tc>
          <w:tcPr>
            <w:tcW w:type="dxa" w:w="946"/>
            <w:vAlign w:val="center"/>
            <w:tcW w:w="946" w:type="dxa"/>
            <w:tcMar>
              <w:top w:w="60" w:type="dxa"/>
              <w:bottom w:w="60" w:type="dxa"/>
              <w:left w:w="80" w:type="dxa"/>
              <w:right w:w="80" w:type="dxa"/>
            </w:tcMar>
          </w:tcPr>
          <w:p>
            <w:pPr>
              <w:spacing w:before="0" w:after="0" w:line="252" w:lineRule="auto"/>
              <w:jc w:val="left"/>
            </w:pPr>
            <w:r>
              <w:rPr>
                <w:rFonts w:ascii="Times New Roman" w:hAnsi="Times New Roman"/>
                <w:sz w:val="17"/>
              </w:rPr>
              <w:t>Southeast</w:t>
            </w:r>
          </w:p>
        </w:tc>
        <w:tc>
          <w:tcPr>
            <w:tcW w:type="dxa" w:w="1525"/>
            <w:vAlign w:val="center"/>
            <w:tcW w:w="1524" w:type="dxa"/>
            <w:tcMar>
              <w:top w:w="60" w:type="dxa"/>
              <w:bottom w:w="60" w:type="dxa"/>
              <w:left w:w="80" w:type="dxa"/>
              <w:right w:w="80" w:type="dxa"/>
            </w:tcMar>
          </w:tcPr>
          <w:p>
            <w:pPr>
              <w:spacing w:before="0" w:after="0" w:line="252" w:lineRule="auto"/>
              <w:jc w:val="center"/>
            </w:pPr>
            <w:r>
              <w:rPr>
                <w:rFonts w:ascii="Cambria Math" w:hAnsi="Cambria Math"/>
                <w:sz w:val="17"/>
              </w:rPr>
              <w:t>13.08\%</w:t>
            </w:r>
          </w:p>
        </w:tc>
        <w:tc>
          <w:tcPr>
            <w:tcW w:type="dxa" w:w="1485"/>
            <w:vAlign w:val="center"/>
            <w:tcW w:w="1484" w:type="dxa"/>
            <w:tcMar>
              <w:top w:w="60" w:type="dxa"/>
              <w:bottom w:w="60" w:type="dxa"/>
              <w:left w:w="80" w:type="dxa"/>
              <w:right w:w="80" w:type="dxa"/>
            </w:tcMar>
          </w:tcPr>
          <w:p>
            <w:pPr>
              <w:spacing w:before="0" w:after="0" w:line="252" w:lineRule="auto"/>
              <w:jc w:val="center"/>
            </w:pPr>
            <w:r>
              <w:rPr>
                <w:rFonts w:ascii="Cambria Math" w:hAnsi="Cambria Math"/>
                <w:sz w:val="17"/>
              </w:rPr>
              <w:t>11.46\%</w:t>
            </w:r>
          </w:p>
        </w:tc>
        <w:tc>
          <w:tcPr>
            <w:tcW w:type="dxa" w:w="1485"/>
            <w:vAlign w:val="center"/>
            <w:tcW w:w="1484" w:type="dxa"/>
            <w:tcMar>
              <w:top w:w="60" w:type="dxa"/>
              <w:bottom w:w="60" w:type="dxa"/>
              <w:left w:w="80" w:type="dxa"/>
              <w:right w:w="80" w:type="dxa"/>
            </w:tcMar>
          </w:tcPr>
          <w:p>
            <w:pPr>
              <w:spacing w:before="0" w:after="0" w:line="252" w:lineRule="auto"/>
              <w:jc w:val="center"/>
            </w:pPr>
            <w:r>
              <w:rPr>
                <w:rFonts w:ascii="Cambria Math" w:hAnsi="Cambria Math"/>
                <w:sz w:val="17"/>
              </w:rPr>
              <w:t>-1.62\%</w:t>
            </w:r>
          </w:p>
        </w:tc>
        <w:tc>
          <w:tcPr>
            <w:tcW w:type="dxa" w:w="3032"/>
            <w:vAlign w:val="center"/>
            <w:tcW w:w="3032" w:type="dxa"/>
            <w:tcMar>
              <w:top w:w="60" w:type="dxa"/>
              <w:bottom w:w="60" w:type="dxa"/>
              <w:left w:w="80" w:type="dxa"/>
              <w:right w:w="80" w:type="dxa"/>
            </w:tcMar>
          </w:tcPr>
          <w:p>
            <w:pPr>
              <w:spacing w:before="0" w:after="0" w:line="252" w:lineRule="auto"/>
              <w:jc w:val="left"/>
            </w:pPr>
            <w:r>
              <w:rPr>
                <w:rFonts w:ascii="Times New Roman" w:hAnsi="Times New Roman"/>
                <w:sz w:val="17"/>
              </w:rPr>
              <w:t>Stable urban consumer demand share.</w:t>
            </w:r>
          </w:p>
        </w:tc>
      </w:tr>
      <w:tr>
        <w:trPr>
          <w:cantSplit/>
        </w:trPr>
        <w:tc>
          <w:tcPr>
            <w:tcW w:type="dxa" w:w="1564"/>
            <w:vAlign w:val="center"/>
            <w:tcW w:w="1564"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7"/>
              </w:rPr>
              <w:t>MG</w:t>
            </w:r>
            <w:r>
              <w:rPr>
                <w:rFonts w:ascii="Times New Roman" w:hAnsi="Times New Roman"/>
                <w:sz w:val="17"/>
              </w:rPr>
              <w:t xml:space="preserve"> (Minas Gerais)</w:t>
            </w:r>
          </w:p>
        </w:tc>
        <w:tc>
          <w:tcPr>
            <w:tcW w:type="dxa" w:w="946"/>
            <w:vAlign w:val="center"/>
            <w:tcW w:w="946"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Southeast</w:t>
            </w:r>
          </w:p>
        </w:tc>
        <w:tc>
          <w:tcPr>
            <w:tcW w:type="dxa" w:w="1525"/>
            <w:vAlign w:val="center"/>
            <w:tcW w:w="1524"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7"/>
              </w:rPr>
              <w:t>12.03\%</w:t>
            </w:r>
          </w:p>
        </w:tc>
        <w:tc>
          <w:tcPr>
            <w:tcW w:type="dxa" w:w="1485"/>
            <w:vAlign w:val="center"/>
            <w:tcW w:w="1484"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7"/>
              </w:rPr>
              <w:t>10.91\%</w:t>
            </w:r>
          </w:p>
        </w:tc>
        <w:tc>
          <w:tcPr>
            <w:tcW w:type="dxa" w:w="1485"/>
            <w:vAlign w:val="center"/>
            <w:tcW w:w="1484"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7"/>
              </w:rPr>
              <w:t>-1.12\%</w:t>
            </w:r>
          </w:p>
        </w:tc>
        <w:tc>
          <w:tcPr>
            <w:tcW w:type="dxa" w:w="3032"/>
            <w:vAlign w:val="center"/>
            <w:tcW w:w="3032"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Highly consistent inland logistics corridor.</w:t>
            </w:r>
          </w:p>
        </w:tc>
      </w:tr>
      <w:tr>
        <w:trPr>
          <w:cantSplit/>
        </w:trPr>
        <w:tc>
          <w:tcPr>
            <w:tcW w:type="dxa" w:w="1564"/>
            <w:vAlign w:val="center"/>
            <w:tcW w:w="1564" w:type="dxa"/>
            <w:tcMar>
              <w:top w:w="60" w:type="dxa"/>
              <w:bottom w:w="60" w:type="dxa"/>
              <w:left w:w="80" w:type="dxa"/>
              <w:right w:w="80" w:type="dxa"/>
            </w:tcMar>
          </w:tcPr>
          <w:p>
            <w:pPr>
              <w:spacing w:before="0" w:after="0" w:line="252" w:lineRule="auto"/>
              <w:jc w:val="left"/>
            </w:pPr>
            <w:r>
              <w:rPr>
                <w:rFonts w:ascii="Times New Roman" w:hAnsi="Times New Roman"/>
                <w:b/>
                <w:sz w:val="17"/>
              </w:rPr>
              <w:t>RS</w:t>
            </w:r>
            <w:r>
              <w:rPr>
                <w:rFonts w:ascii="Times New Roman" w:hAnsi="Times New Roman"/>
                <w:sz w:val="17"/>
              </w:rPr>
              <w:t xml:space="preserve"> (Rio Grande do Sul)</w:t>
            </w:r>
          </w:p>
        </w:tc>
        <w:tc>
          <w:tcPr>
            <w:tcW w:type="dxa" w:w="946"/>
            <w:vAlign w:val="center"/>
            <w:tcW w:w="946" w:type="dxa"/>
            <w:tcMar>
              <w:top w:w="60" w:type="dxa"/>
              <w:bottom w:w="60" w:type="dxa"/>
              <w:left w:w="80" w:type="dxa"/>
              <w:right w:w="80" w:type="dxa"/>
            </w:tcMar>
          </w:tcPr>
          <w:p>
            <w:pPr>
              <w:spacing w:before="0" w:after="0" w:line="252" w:lineRule="auto"/>
              <w:jc w:val="left"/>
            </w:pPr>
            <w:r>
              <w:rPr>
                <w:rFonts w:ascii="Times New Roman" w:hAnsi="Times New Roman"/>
                <w:sz w:val="17"/>
              </w:rPr>
              <w:t>South</w:t>
            </w:r>
          </w:p>
        </w:tc>
        <w:tc>
          <w:tcPr>
            <w:tcW w:type="dxa" w:w="1525"/>
            <w:vAlign w:val="center"/>
            <w:tcW w:w="1524" w:type="dxa"/>
            <w:tcMar>
              <w:top w:w="60" w:type="dxa"/>
              <w:bottom w:w="60" w:type="dxa"/>
              <w:left w:w="80" w:type="dxa"/>
              <w:right w:w="80" w:type="dxa"/>
            </w:tcMar>
          </w:tcPr>
          <w:p>
            <w:pPr>
              <w:spacing w:before="0" w:after="0" w:line="252" w:lineRule="auto"/>
              <w:jc w:val="center"/>
            </w:pPr>
            <w:r>
              <w:rPr>
                <w:rFonts w:ascii="Cambria Math" w:hAnsi="Cambria Math"/>
                <w:sz w:val="17"/>
              </w:rPr>
              <w:t>5.74\%</w:t>
            </w:r>
          </w:p>
        </w:tc>
        <w:tc>
          <w:tcPr>
            <w:tcW w:type="dxa" w:w="1485"/>
            <w:vAlign w:val="center"/>
            <w:tcW w:w="1484" w:type="dxa"/>
            <w:tcMar>
              <w:top w:w="60" w:type="dxa"/>
              <w:bottom w:w="60" w:type="dxa"/>
              <w:left w:w="80" w:type="dxa"/>
              <w:right w:w="80" w:type="dxa"/>
            </w:tcMar>
          </w:tcPr>
          <w:p>
            <w:pPr>
              <w:spacing w:before="0" w:after="0" w:line="252" w:lineRule="auto"/>
              <w:jc w:val="center"/>
            </w:pPr>
            <w:r>
              <w:rPr>
                <w:rFonts w:ascii="Cambria Math" w:hAnsi="Cambria Math"/>
                <w:sz w:val="17"/>
              </w:rPr>
              <w:t>4.92\%</w:t>
            </w:r>
          </w:p>
        </w:tc>
        <w:tc>
          <w:tcPr>
            <w:tcW w:type="dxa" w:w="1485"/>
            <w:vAlign w:val="center"/>
            <w:tcW w:w="1484" w:type="dxa"/>
            <w:tcMar>
              <w:top w:w="60" w:type="dxa"/>
              <w:bottom w:w="60" w:type="dxa"/>
              <w:left w:w="80" w:type="dxa"/>
              <w:right w:w="80" w:type="dxa"/>
            </w:tcMar>
          </w:tcPr>
          <w:p>
            <w:pPr>
              <w:spacing w:before="0" w:after="0" w:line="252" w:lineRule="auto"/>
              <w:jc w:val="center"/>
            </w:pPr>
            <w:r>
              <w:rPr>
                <w:rFonts w:ascii="Cambria Math" w:hAnsi="Cambria Math"/>
                <w:sz w:val="17"/>
              </w:rPr>
              <w:t>-0.82\%</w:t>
            </w:r>
          </w:p>
        </w:tc>
        <w:tc>
          <w:tcPr>
            <w:tcW w:type="dxa" w:w="3032"/>
            <w:vAlign w:val="center"/>
            <w:tcW w:w="3032" w:type="dxa"/>
            <w:tcMar>
              <w:top w:w="60" w:type="dxa"/>
              <w:bottom w:w="60" w:type="dxa"/>
              <w:left w:w="80" w:type="dxa"/>
              <w:right w:w="80" w:type="dxa"/>
            </w:tcMar>
          </w:tcPr>
          <w:p>
            <w:pPr>
              <w:spacing w:before="0" w:after="0" w:line="252" w:lineRule="auto"/>
              <w:jc w:val="left"/>
            </w:pPr>
            <w:r>
              <w:rPr>
                <w:rFonts w:ascii="Times New Roman" w:hAnsi="Times New Roman"/>
                <w:sz w:val="17"/>
              </w:rPr>
              <w:t>Stable southern interstate trade.</w:t>
            </w:r>
          </w:p>
        </w:tc>
      </w:tr>
      <w:tr>
        <w:trPr>
          <w:cantSplit/>
        </w:trPr>
        <w:tc>
          <w:tcPr>
            <w:tcW w:type="dxa" w:w="1564"/>
            <w:vAlign w:val="center"/>
            <w:tcW w:w="1564"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7"/>
              </w:rPr>
              <w:t>PR</w:t>
            </w:r>
            <w:r>
              <w:rPr>
                <w:rFonts w:ascii="Times New Roman" w:hAnsi="Times New Roman"/>
                <w:sz w:val="17"/>
              </w:rPr>
              <w:t xml:space="preserve"> (Paraná)</w:t>
            </w:r>
          </w:p>
        </w:tc>
        <w:tc>
          <w:tcPr>
            <w:tcW w:type="dxa" w:w="946"/>
            <w:vAlign w:val="center"/>
            <w:tcW w:w="946"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South</w:t>
            </w:r>
          </w:p>
        </w:tc>
        <w:tc>
          <w:tcPr>
            <w:tcW w:type="dxa" w:w="1525"/>
            <w:vAlign w:val="center"/>
            <w:tcW w:w="1524"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7"/>
              </w:rPr>
              <w:t>5.08\%</w:t>
            </w:r>
          </w:p>
        </w:tc>
        <w:tc>
          <w:tcPr>
            <w:tcW w:type="dxa" w:w="1485"/>
            <w:vAlign w:val="center"/>
            <w:tcW w:w="1484"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7"/>
              </w:rPr>
              <w:t>5.01\%</w:t>
            </w:r>
          </w:p>
        </w:tc>
        <w:tc>
          <w:tcPr>
            <w:tcW w:type="dxa" w:w="1485"/>
            <w:vAlign w:val="center"/>
            <w:tcW w:w="1484"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b/>
                <w:sz w:val="17"/>
              </w:rPr>
              <w:t>-0.07\%</w:t>
            </w:r>
          </w:p>
        </w:tc>
        <w:tc>
          <w:tcPr>
            <w:tcW w:type="dxa" w:w="3032"/>
            <w:vAlign w:val="center"/>
            <w:tcW w:w="3032"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Exact structural volume parity.</w:t>
            </w:r>
          </w:p>
        </w:tc>
      </w:tr>
      <w:tr>
        <w:trPr>
          <w:cantSplit/>
        </w:trPr>
        <w:tc>
          <w:tcPr>
            <w:tcW w:type="dxa" w:w="1564"/>
            <w:vAlign w:val="center"/>
            <w:tcW w:w="1564" w:type="dxa"/>
            <w:tcMar>
              <w:top w:w="60" w:type="dxa"/>
              <w:bottom w:w="60" w:type="dxa"/>
              <w:left w:w="80" w:type="dxa"/>
              <w:right w:w="80" w:type="dxa"/>
            </w:tcMar>
          </w:tcPr>
          <w:p>
            <w:pPr>
              <w:spacing w:before="0" w:after="0" w:line="252" w:lineRule="auto"/>
              <w:jc w:val="left"/>
            </w:pPr>
            <w:r>
              <w:rPr>
                <w:rFonts w:ascii="Times New Roman" w:hAnsi="Times New Roman"/>
                <w:b/>
                <w:sz w:val="17"/>
              </w:rPr>
              <w:t>BA</w:t>
            </w:r>
            <w:r>
              <w:rPr>
                <w:rFonts w:ascii="Times New Roman" w:hAnsi="Times New Roman"/>
                <w:sz w:val="17"/>
              </w:rPr>
              <w:t xml:space="preserve"> (Bahia)</w:t>
            </w:r>
          </w:p>
        </w:tc>
        <w:tc>
          <w:tcPr>
            <w:tcW w:type="dxa" w:w="946"/>
            <w:vAlign w:val="center"/>
            <w:tcW w:w="946" w:type="dxa"/>
            <w:tcMar>
              <w:top w:w="60" w:type="dxa"/>
              <w:bottom w:w="60" w:type="dxa"/>
              <w:left w:w="80" w:type="dxa"/>
              <w:right w:w="80" w:type="dxa"/>
            </w:tcMar>
          </w:tcPr>
          <w:p>
            <w:pPr>
              <w:spacing w:before="0" w:after="0" w:line="252" w:lineRule="auto"/>
              <w:jc w:val="left"/>
            </w:pPr>
            <w:r>
              <w:rPr>
                <w:rFonts w:ascii="Times New Roman" w:hAnsi="Times New Roman"/>
                <w:sz w:val="17"/>
              </w:rPr>
              <w:t>Northeast</w:t>
            </w:r>
          </w:p>
        </w:tc>
        <w:tc>
          <w:tcPr>
            <w:tcW w:type="dxa" w:w="1525"/>
            <w:vAlign w:val="center"/>
            <w:tcW w:w="1524" w:type="dxa"/>
            <w:tcMar>
              <w:top w:w="60" w:type="dxa"/>
              <w:bottom w:w="60" w:type="dxa"/>
              <w:left w:w="80" w:type="dxa"/>
              <w:right w:w="80" w:type="dxa"/>
            </w:tcMar>
          </w:tcPr>
          <w:p>
            <w:pPr>
              <w:spacing w:before="0" w:after="0" w:line="252" w:lineRule="auto"/>
              <w:jc w:val="center"/>
            </w:pPr>
            <w:r>
              <w:rPr>
                <w:rFonts w:ascii="Cambria Math" w:hAnsi="Cambria Math"/>
                <w:sz w:val="17"/>
              </w:rPr>
              <w:t>3.27\%</w:t>
            </w:r>
          </w:p>
        </w:tc>
        <w:tc>
          <w:tcPr>
            <w:tcW w:type="dxa" w:w="1485"/>
            <w:vAlign w:val="center"/>
            <w:tcW w:w="1484" w:type="dxa"/>
            <w:tcMar>
              <w:top w:w="60" w:type="dxa"/>
              <w:bottom w:w="60" w:type="dxa"/>
              <w:left w:w="80" w:type="dxa"/>
              <w:right w:w="80" w:type="dxa"/>
            </w:tcMar>
          </w:tcPr>
          <w:p>
            <w:pPr>
              <w:spacing w:before="0" w:after="0" w:line="252" w:lineRule="auto"/>
              <w:jc w:val="center"/>
            </w:pPr>
            <w:r>
              <w:rPr>
                <w:rFonts w:ascii="Cambria Math" w:hAnsi="Cambria Math"/>
                <w:sz w:val="17"/>
              </w:rPr>
              <w:t>3.21\%</w:t>
            </w:r>
          </w:p>
        </w:tc>
        <w:tc>
          <w:tcPr>
            <w:tcW w:type="dxa" w:w="1485"/>
            <w:vAlign w:val="center"/>
            <w:tcW w:w="1484" w:type="dxa"/>
            <w:tcMar>
              <w:top w:w="60" w:type="dxa"/>
              <w:bottom w:w="60" w:type="dxa"/>
              <w:left w:w="80" w:type="dxa"/>
              <w:right w:w="80" w:type="dxa"/>
            </w:tcMar>
          </w:tcPr>
          <w:p>
            <w:pPr>
              <w:spacing w:before="0" w:after="0" w:line="252" w:lineRule="auto"/>
              <w:jc w:val="center"/>
            </w:pPr>
            <w:r>
              <w:rPr>
                <w:rFonts w:ascii="Times New Roman" w:hAnsi="Times New Roman"/>
                <w:b/>
                <w:sz w:val="17"/>
              </w:rPr>
              <w:t>-0.06\%</w:t>
            </w:r>
          </w:p>
        </w:tc>
        <w:tc>
          <w:tcPr>
            <w:tcW w:type="dxa" w:w="3032"/>
            <w:vAlign w:val="center"/>
            <w:tcW w:w="3032" w:type="dxa"/>
            <w:tcMar>
              <w:top w:w="60" w:type="dxa"/>
              <w:bottom w:w="60" w:type="dxa"/>
              <w:left w:w="80" w:type="dxa"/>
              <w:right w:w="80" w:type="dxa"/>
            </w:tcMar>
          </w:tcPr>
          <w:p>
            <w:pPr>
              <w:spacing w:before="0" w:after="0" w:line="252" w:lineRule="auto"/>
              <w:jc w:val="left"/>
            </w:pPr>
            <w:r>
              <w:rPr>
                <w:rFonts w:ascii="Times New Roman" w:hAnsi="Times New Roman"/>
                <w:sz w:val="17"/>
              </w:rPr>
              <w:t>Exact northeastern coastal volume parity.</w:t>
            </w:r>
          </w:p>
        </w:tc>
      </w:tr>
      <w:tr>
        <w:trPr>
          <w:cantSplit/>
        </w:trPr>
        <w:tc>
          <w:tcPr>
            <w:tcW w:type="dxa" w:w="1564"/>
            <w:vAlign w:val="center"/>
            <w:tcW w:w="1564"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7"/>
              </w:rPr>
              <w:t>SC</w:t>
            </w:r>
            <w:r>
              <w:rPr>
                <w:rFonts w:ascii="Times New Roman" w:hAnsi="Times New Roman"/>
                <w:sz w:val="17"/>
              </w:rPr>
              <w:t xml:space="preserve"> (Santa Catarina)</w:t>
            </w:r>
          </w:p>
        </w:tc>
        <w:tc>
          <w:tcPr>
            <w:tcW w:type="dxa" w:w="946"/>
            <w:vAlign w:val="center"/>
            <w:tcW w:w="946"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South</w:t>
            </w:r>
          </w:p>
        </w:tc>
        <w:tc>
          <w:tcPr>
            <w:tcW w:type="dxa" w:w="1525"/>
            <w:vAlign w:val="center"/>
            <w:tcW w:w="1524"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7"/>
              </w:rPr>
              <w:t>3.79\%</w:t>
            </w:r>
          </w:p>
        </w:tc>
        <w:tc>
          <w:tcPr>
            <w:tcW w:type="dxa" w:w="1485"/>
            <w:vAlign w:val="center"/>
            <w:tcW w:w="1484"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7"/>
              </w:rPr>
              <w:t>3.20\%</w:t>
            </w:r>
          </w:p>
        </w:tc>
        <w:tc>
          <w:tcPr>
            <w:tcW w:type="dxa" w:w="1485"/>
            <w:vAlign w:val="center"/>
            <w:tcW w:w="1484"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7"/>
              </w:rPr>
              <w:t>-0.59\%</w:t>
            </w:r>
          </w:p>
        </w:tc>
        <w:tc>
          <w:tcPr>
            <w:tcW w:type="dxa" w:w="3032"/>
            <w:vAlign w:val="center"/>
            <w:tcW w:w="3032"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Highly consistent coastal freight volume.</w:t>
            </w:r>
          </w:p>
        </w:tc>
      </w:tr>
    </w:tbl>
    <w:p>
      <w:pPr>
        <w:spacing w:before="40" w:after="40" w:line="40" w:lineRule="exact"/>
      </w:pPr>
    </w:p>
    <w:p>
      <w:pPr>
        <w:pStyle w:val="Heading3"/>
      </w:pPr>
      <w:r>
        <w:rPr>
          <w:rFonts w:ascii="Times New Roman" w:hAnsi="Times New Roman"/>
          <w:b/>
          <w:sz w:val="23"/>
        </w:rPr>
        <w:t>B. Fulfillment Dispatch Origins &amp; Regulatory Tax Borders</w:t>
      </w:r>
    </w:p>
    <w:p>
      <w:pPr>
        <w:spacing w:before="0" w:after="50" w:line="276" w:lineRule="auto"/>
        <w:ind w:left="360" w:hanging="216"/>
      </w:pPr>
      <w:r>
        <w:rPr>
          <w:rFonts w:ascii="Arial" w:hAnsi="Arial"/>
          <w:b/>
          <w:color w:val="1F4E79"/>
          <w:sz w:val="20"/>
        </w:rPr>
        <w:t xml:space="preserve">• </w:t>
      </w:r>
      <w:r>
        <w:rPr>
          <w:rFonts w:ascii="Times New Roman" w:hAnsi="Times New Roman"/>
          <w:b/>
          <w:sz w:val="21"/>
        </w:rPr>
        <w:t>Primary Seller Dispatch State (`primary_seller_state == 'SP'`)</w:t>
      </w:r>
      <w:r>
        <w:rPr>
          <w:rFonts w:ascii="Times New Roman" w:hAnsi="Times New Roman"/>
          <w:sz w:val="21"/>
        </w:rPr>
        <w:t xml:space="preserve">: </w:t>
      </w:r>
      <w:r>
        <w:rPr>
          <w:rFonts w:ascii="Times New Roman" w:hAnsi="Times New Roman"/>
          <w:b/>
          <w:sz w:val="21"/>
        </w:rPr>
        <w:t>71.14\% in Training</w:t>
      </w:r>
      <w:r>
        <w:rPr>
          <w:rFonts w:ascii="Times New Roman" w:hAnsi="Times New Roman"/>
          <w:sz w:val="21"/>
        </w:rPr>
        <w:t xml:space="preserve"> vs. </w:t>
      </w:r>
      <w:r>
        <w:rPr>
          <w:rFonts w:ascii="Times New Roman" w:hAnsi="Times New Roman"/>
          <w:b/>
          <w:sz w:val="21"/>
        </w:rPr>
        <w:t>69.97\% in Holdout</w:t>
      </w:r>
      <w:r>
        <w:rPr>
          <w:rFonts w:ascii="Times New Roman" w:hAnsi="Times New Roman"/>
          <w:sz w:val="21"/>
        </w:rPr>
        <w:t xml:space="preserve"> (</w:t>
      </w:r>
      <w:r>
        <w:rPr>
          <w:rFonts w:ascii="Cambria Math" w:hAnsi="Cambria Math"/>
          <w:sz w:val="21"/>
        </w:rPr>
        <w:t>Δ = -1.17\%</w:t>
      </w:r>
      <w:r>
        <w:rPr>
          <w:rFonts w:ascii="Times New Roman" w:hAnsi="Times New Roman"/>
          <w:sz w:val="21"/>
        </w:rPr>
        <w:t xml:space="preserve">). Confirms that approximately </w:t>
      </w:r>
      <w:r>
        <w:rPr>
          <w:rFonts w:ascii="Cambria Math" w:hAnsi="Cambria Math"/>
          <w:sz w:val="21"/>
        </w:rPr>
        <w:t>70\%</w:t>
      </w:r>
      <w:r>
        <w:rPr>
          <w:rFonts w:ascii="Times New Roman" w:hAnsi="Times New Roman"/>
          <w:sz w:val="21"/>
        </w:rPr>
        <w:t xml:space="preserve"> of all commercial fulfillment originates from the Greater São Paulo logistics cluster across both historical and holdout timelines.</w:t>
      </w:r>
    </w:p>
    <w:p>
      <w:pPr>
        <w:spacing w:before="0" w:after="50" w:line="276" w:lineRule="auto"/>
        <w:ind w:left="360" w:hanging="216"/>
      </w:pPr>
      <w:r>
        <w:rPr>
          <w:rFonts w:ascii="Arial" w:hAnsi="Arial"/>
          <w:b/>
          <w:color w:val="1F4E79"/>
          <w:sz w:val="20"/>
        </w:rPr>
        <w:t xml:space="preserve">• </w:t>
      </w:r>
      <w:r>
        <w:rPr>
          <w:rFonts w:ascii="Times New Roman" w:hAnsi="Times New Roman"/>
          <w:b/>
          <w:sz w:val="21"/>
        </w:rPr>
        <w:t>Interstate Border Crossing Friction (`interstate_share`)</w:t>
      </w:r>
      <w:r>
        <w:rPr>
          <w:rFonts w:ascii="Times New Roman" w:hAnsi="Times New Roman"/>
          <w:sz w:val="21"/>
        </w:rPr>
        <w:t xml:space="preserve">: </w:t>
      </w:r>
      <w:r>
        <w:rPr>
          <w:rFonts w:ascii="Times New Roman" w:hAnsi="Times New Roman"/>
          <w:b/>
          <w:sz w:val="21"/>
        </w:rPr>
        <w:t>65.05\% in Training</w:t>
      </w:r>
      <w:r>
        <w:rPr>
          <w:rFonts w:ascii="Times New Roman" w:hAnsi="Times New Roman"/>
          <w:sz w:val="21"/>
        </w:rPr>
        <w:t xml:space="preserve"> vs. </w:t>
      </w:r>
      <w:r>
        <w:rPr>
          <w:rFonts w:ascii="Times New Roman" w:hAnsi="Times New Roman"/>
          <w:b/>
          <w:sz w:val="21"/>
        </w:rPr>
        <w:t>59.67\% in Holdout</w:t>
      </w:r>
      <w:r>
        <w:rPr>
          <w:rFonts w:ascii="Times New Roman" w:hAnsi="Times New Roman"/>
          <w:sz w:val="21"/>
        </w:rPr>
        <w:t xml:space="preserve"> (</w:t>
      </w:r>
      <w:r>
        <w:rPr>
          <w:rFonts w:ascii="Cambria Math" w:hAnsi="Cambria Math"/>
          <w:sz w:val="21"/>
        </w:rPr>
        <w:t>Δ = -5.38\%</w:t>
      </w:r>
      <w:r>
        <w:rPr>
          <w:rFonts w:ascii="Times New Roman" w:hAnsi="Times New Roman"/>
          <w:sz w:val="21"/>
        </w:rPr>
        <w:t>). Reflects the slight increase in intra-state São Paulo deliveries (</w:t>
      </w:r>
      <w:r>
        <w:rPr>
          <w:rFonts w:ascii="Cambria Math" w:hAnsi="Cambria Math"/>
          <w:sz w:val="21"/>
        </w:rPr>
        <w:t>41\% → 46\%</w:t>
      </w:r>
      <w:r>
        <w:rPr>
          <w:rFonts w:ascii="Times New Roman" w:hAnsi="Times New Roman"/>
          <w:sz w:val="21"/>
        </w:rPr>
        <w:t>), resulting in slightly fewer packages requiring interstate ICMS fiscal checkpoints.</w:t>
      </w:r>
    </w:p>
    <w:p>
      <w:pPr>
        <w:pStyle w:val="Heading2"/>
      </w:pPr>
      <w:r>
        <w:rPr>
          <w:rFonts w:ascii="Times New Roman" w:hAnsi="Times New Roman"/>
          <w:b/>
          <w:sz w:val="25"/>
        </w:rPr>
        <w:t>Table F.3: Basket Consolidation Complexity Parity</w:t>
      </w:r>
    </w:p>
    <w:tbl>
      <w:tblPr>
        <w:tblW w:type="auto" w:w="0"/>
        <w:jc w:val="center"/>
        <w:tblLayout w:type="fixed"/>
        <w:tblLook w:firstColumn="1" w:firstRow="1" w:lastColumn="0" w:lastRow="0" w:noHBand="0" w:noVBand="1" w:val="04A0"/>
        <w:tblBorders>
          <w:top w:val="single" w:sz="8" w:space="0" w:color="1F4E79"/>
          <w:bottom w:val="single" w:sz="8" w:space="0" w:color="1F4E79"/>
          <w:left w:val="single" w:sz="4" w:space="0" w:color="D9D9D9"/>
          <w:right w:val="single" w:sz="4" w:space="0" w:color="D9D9D9"/>
          <w:insideH w:val="single" w:sz="4" w:space="0" w:color="E2E8F0"/>
          <w:insideV w:val="single" w:sz="4" w:space="0" w:color="E2E8F0"/>
        </w:tblBorders>
      </w:tblPr>
      <w:tblGrid>
        <w:gridCol w:w="1434"/>
        <w:gridCol w:w="1434"/>
        <w:gridCol w:w="1434"/>
        <w:gridCol w:w="1434"/>
        <w:gridCol w:w="1434"/>
        <w:gridCol w:w="1434"/>
        <w:gridCol w:w="1434"/>
      </w:tblGrid>
      <w:tr>
        <w:trPr>
          <w:cantSplit/>
          <w:tblHeader/>
        </w:trPr>
        <w:tc>
          <w:tcPr>
            <w:tcW w:type="dxa" w:w="1390"/>
            <w:vAlign w:val="center"/>
            <w:tcW w:w="1389"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6"/>
              </w:rPr>
              <w:t>Basket Segmentation</w:t>
            </w:r>
          </w:p>
        </w:tc>
        <w:tc>
          <w:tcPr>
            <w:tcW w:type="dxa" w:w="2029"/>
            <w:vAlign w:val="center"/>
            <w:tcW w:w="2028"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6"/>
              </w:rPr>
              <w:t>Fulfillment &amp; Packaging Category</w:t>
            </w:r>
          </w:p>
        </w:tc>
        <w:tc>
          <w:tcPr>
            <w:tcW w:type="dxa" w:w="1390"/>
            <w:vAlign w:val="center"/>
            <w:tcW w:w="1389"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6"/>
              </w:rPr>
              <w:t>Training Orders (</w:t>
            </w:r>
            <w:r>
              <w:rPr>
                <w:rFonts w:ascii="Cambria Math" w:hAnsi="Cambria Math"/>
                <w:b/>
                <w:sz w:val="16"/>
              </w:rPr>
              <w:t>N</w:t>
            </w:r>
            <w:r>
              <w:rPr>
                <w:rFonts w:ascii="Times New Roman" w:hAnsi="Times New Roman"/>
                <w:b/>
                <w:sz w:val="16"/>
              </w:rPr>
              <w:t>)</w:t>
            </w:r>
          </w:p>
        </w:tc>
        <w:tc>
          <w:tcPr>
            <w:tcW w:type="dxa" w:w="1140"/>
            <w:vAlign w:val="center"/>
            <w:tcW w:w="1139"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6"/>
              </w:rPr>
              <w:t>Training Share</w:t>
            </w:r>
          </w:p>
        </w:tc>
        <w:tc>
          <w:tcPr>
            <w:tcW w:type="dxa" w:w="1342"/>
            <w:vAlign w:val="center"/>
            <w:tcW w:w="1341"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6"/>
              </w:rPr>
              <w:t>Holdout Orders (</w:t>
            </w:r>
            <w:r>
              <w:rPr>
                <w:rFonts w:ascii="Cambria Math" w:hAnsi="Cambria Math"/>
                <w:b/>
                <w:sz w:val="16"/>
              </w:rPr>
              <w:t>N</w:t>
            </w:r>
            <w:r>
              <w:rPr>
                <w:rFonts w:ascii="Times New Roman" w:hAnsi="Times New Roman"/>
                <w:b/>
                <w:sz w:val="16"/>
              </w:rPr>
              <w:t>)</w:t>
            </w:r>
          </w:p>
        </w:tc>
        <w:tc>
          <w:tcPr>
            <w:tcW w:type="dxa" w:w="1086"/>
            <w:vAlign w:val="center"/>
            <w:tcW w:w="1085"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6"/>
              </w:rPr>
              <w:t>Holdout Share</w:t>
            </w:r>
          </w:p>
        </w:tc>
        <w:tc>
          <w:tcPr>
            <w:tcW w:type="dxa" w:w="1661"/>
            <w:vAlign w:val="center"/>
            <w:tcW w:w="1661"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6"/>
              </w:rPr>
              <w:t>Structural Parity</w:t>
            </w:r>
          </w:p>
        </w:tc>
      </w:tr>
      <w:tr>
        <w:trPr>
          <w:cantSplit/>
        </w:trPr>
        <w:tc>
          <w:tcPr>
            <w:tcW w:type="dxa" w:w="1390"/>
            <w:vAlign w:val="center"/>
            <w:tcW w:w="1389"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1 Line Item</w:t>
            </w:r>
          </w:p>
        </w:tc>
        <w:tc>
          <w:tcPr>
            <w:tcW w:type="dxa" w:w="2029"/>
            <w:vAlign w:val="center"/>
            <w:tcW w:w="2028"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Single-SKU Standard Parcel</w:t>
            </w:r>
          </w:p>
        </w:tc>
        <w:tc>
          <w:tcPr>
            <w:tcW w:type="dxa" w:w="1390"/>
            <w:vAlign w:val="center"/>
            <w:tcW w:w="1389"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53,426</w:t>
            </w:r>
          </w:p>
        </w:tc>
        <w:tc>
          <w:tcPr>
            <w:tcW w:type="dxa" w:w="1140"/>
            <w:vAlign w:val="center"/>
            <w:tcW w:w="1139"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b/>
                <w:sz w:val="16"/>
              </w:rPr>
              <w:t>89.84\%</w:t>
            </w:r>
          </w:p>
        </w:tc>
        <w:tc>
          <w:tcPr>
            <w:tcW w:type="dxa" w:w="1342"/>
            <w:vAlign w:val="center"/>
            <w:tcW w:w="1341"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14,124</w:t>
            </w:r>
          </w:p>
        </w:tc>
        <w:tc>
          <w:tcPr>
            <w:tcW w:type="dxa" w:w="1086"/>
            <w:vAlign w:val="center"/>
            <w:tcW w:w="1085"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b/>
                <w:sz w:val="16"/>
              </w:rPr>
              <w:t>90.45\%</w:t>
            </w:r>
          </w:p>
        </w:tc>
        <w:tc>
          <w:tcPr>
            <w:tcW w:type="dxa" w:w="1661"/>
            <w:vAlign w:val="center"/>
            <w:tcW w:w="1661"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b/>
                <w:sz w:val="16"/>
              </w:rPr>
              <w:t>+0.61\% (Exact Match)</w:t>
            </w:r>
          </w:p>
        </w:tc>
      </w:tr>
      <w:tr>
        <w:trPr>
          <w:cantSplit/>
        </w:trPr>
        <w:tc>
          <w:tcPr>
            <w:tcW w:type="dxa" w:w="1390"/>
            <w:vAlign w:val="center"/>
            <w:tcW w:w="1389" w:type="dxa"/>
            <w:tcMar>
              <w:top w:w="60" w:type="dxa"/>
              <w:bottom w:w="60" w:type="dxa"/>
              <w:left w:w="80" w:type="dxa"/>
              <w:right w:w="80" w:type="dxa"/>
            </w:tcMar>
          </w:tcPr>
          <w:p>
            <w:pPr>
              <w:spacing w:before="0" w:after="0" w:line="252" w:lineRule="auto"/>
              <w:jc w:val="left"/>
            </w:pPr>
            <w:r>
              <w:rPr>
                <w:rFonts w:ascii="Times New Roman" w:hAnsi="Times New Roman"/>
                <w:b/>
                <w:sz w:val="16"/>
              </w:rPr>
              <w:t>2–3 Line Items</w:t>
            </w:r>
          </w:p>
        </w:tc>
        <w:tc>
          <w:tcPr>
            <w:tcW w:type="dxa" w:w="2029"/>
            <w:vAlign w:val="center"/>
            <w:tcW w:w="2028" w:type="dxa"/>
            <w:tcMar>
              <w:top w:w="60" w:type="dxa"/>
              <w:bottom w:w="60" w:type="dxa"/>
              <w:left w:w="80" w:type="dxa"/>
              <w:right w:w="80" w:type="dxa"/>
            </w:tcMar>
          </w:tcPr>
          <w:p>
            <w:pPr>
              <w:spacing w:before="0" w:after="0" w:line="252" w:lineRule="auto"/>
              <w:jc w:val="left"/>
            </w:pPr>
            <w:r>
              <w:rPr>
                <w:rFonts w:ascii="Times New Roman" w:hAnsi="Times New Roman"/>
                <w:sz w:val="16"/>
              </w:rPr>
              <w:t>Multi-Item Warehouse Consolidation</w:t>
            </w:r>
          </w:p>
        </w:tc>
        <w:tc>
          <w:tcPr>
            <w:tcW w:type="dxa" w:w="1390"/>
            <w:vAlign w:val="center"/>
            <w:tcW w:w="1389" w:type="dxa"/>
            <w:tcMar>
              <w:top w:w="60" w:type="dxa"/>
              <w:bottom w:w="60" w:type="dxa"/>
              <w:left w:w="80" w:type="dxa"/>
              <w:right w:w="80" w:type="dxa"/>
            </w:tcMar>
          </w:tcPr>
          <w:p>
            <w:pPr>
              <w:spacing w:before="0" w:after="0" w:line="252" w:lineRule="auto"/>
              <w:jc w:val="left"/>
            </w:pPr>
            <w:r>
              <w:rPr>
                <w:rFonts w:ascii="Times New Roman" w:hAnsi="Times New Roman"/>
                <w:sz w:val="16"/>
              </w:rPr>
              <w:t>5,446</w:t>
            </w:r>
          </w:p>
        </w:tc>
        <w:tc>
          <w:tcPr>
            <w:tcW w:type="dxa" w:w="1140"/>
            <w:vAlign w:val="center"/>
            <w:tcW w:w="1139" w:type="dxa"/>
            <w:tcMar>
              <w:top w:w="60" w:type="dxa"/>
              <w:bottom w:w="60" w:type="dxa"/>
              <w:left w:w="80" w:type="dxa"/>
              <w:right w:w="80" w:type="dxa"/>
            </w:tcMar>
          </w:tcPr>
          <w:p>
            <w:pPr>
              <w:spacing w:before="0" w:after="0" w:line="252" w:lineRule="auto"/>
              <w:jc w:val="center"/>
            </w:pPr>
            <w:r>
              <w:rPr>
                <w:rFonts w:ascii="Times New Roman" w:hAnsi="Times New Roman"/>
                <w:b/>
                <w:sz w:val="16"/>
              </w:rPr>
              <w:t>9.16\%</w:t>
            </w:r>
          </w:p>
        </w:tc>
        <w:tc>
          <w:tcPr>
            <w:tcW w:type="dxa" w:w="1342"/>
            <w:vAlign w:val="center"/>
            <w:tcW w:w="1341" w:type="dxa"/>
            <w:tcMar>
              <w:top w:w="60" w:type="dxa"/>
              <w:bottom w:w="60" w:type="dxa"/>
              <w:left w:w="80" w:type="dxa"/>
              <w:right w:w="80" w:type="dxa"/>
            </w:tcMar>
          </w:tcPr>
          <w:p>
            <w:pPr>
              <w:spacing w:before="0" w:after="0" w:line="252" w:lineRule="auto"/>
              <w:jc w:val="left"/>
            </w:pPr>
            <w:r>
              <w:rPr>
                <w:rFonts w:ascii="Times New Roman" w:hAnsi="Times New Roman"/>
                <w:sz w:val="16"/>
              </w:rPr>
              <w:t>1,346</w:t>
            </w:r>
          </w:p>
        </w:tc>
        <w:tc>
          <w:tcPr>
            <w:tcW w:type="dxa" w:w="1086"/>
            <w:vAlign w:val="center"/>
            <w:tcW w:w="1085" w:type="dxa"/>
            <w:tcMar>
              <w:top w:w="60" w:type="dxa"/>
              <w:bottom w:w="60" w:type="dxa"/>
              <w:left w:w="80" w:type="dxa"/>
              <w:right w:w="80" w:type="dxa"/>
            </w:tcMar>
          </w:tcPr>
          <w:p>
            <w:pPr>
              <w:spacing w:before="0" w:after="0" w:line="252" w:lineRule="auto"/>
              <w:jc w:val="center"/>
            </w:pPr>
            <w:r>
              <w:rPr>
                <w:rFonts w:ascii="Times New Roman" w:hAnsi="Times New Roman"/>
                <w:b/>
                <w:sz w:val="16"/>
              </w:rPr>
              <w:t>8.62\%</w:t>
            </w:r>
          </w:p>
        </w:tc>
        <w:tc>
          <w:tcPr>
            <w:tcW w:type="dxa" w:w="1661"/>
            <w:vAlign w:val="center"/>
            <w:tcW w:w="1661" w:type="dxa"/>
            <w:tcMar>
              <w:top w:w="60" w:type="dxa"/>
              <w:bottom w:w="60" w:type="dxa"/>
              <w:left w:w="80" w:type="dxa"/>
              <w:right w:w="80" w:type="dxa"/>
            </w:tcMar>
          </w:tcPr>
          <w:p>
            <w:pPr>
              <w:spacing w:before="0" w:after="0" w:line="252" w:lineRule="auto"/>
              <w:jc w:val="center"/>
            </w:pPr>
            <w:r>
              <w:rPr>
                <w:rFonts w:ascii="Times New Roman" w:hAnsi="Times New Roman"/>
                <w:b/>
                <w:sz w:val="16"/>
              </w:rPr>
              <w:t>-0.54\% (Exact Match)</w:t>
            </w:r>
          </w:p>
        </w:tc>
      </w:tr>
      <w:tr>
        <w:trPr>
          <w:cantSplit/>
        </w:trPr>
        <w:tc>
          <w:tcPr>
            <w:tcW w:type="dxa" w:w="1390"/>
            <w:vAlign w:val="center"/>
            <w:tcW w:w="1389"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6"/>
              </w:rPr>
              <w:t>4+ Line Items</w:t>
            </w:r>
          </w:p>
        </w:tc>
        <w:tc>
          <w:tcPr>
            <w:tcW w:type="dxa" w:w="2029"/>
            <w:vAlign w:val="center"/>
            <w:tcW w:w="2028"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Complex Multi-Vendor Consignment</w:t>
            </w:r>
          </w:p>
        </w:tc>
        <w:tc>
          <w:tcPr>
            <w:tcW w:type="dxa" w:w="1390"/>
            <w:vAlign w:val="center"/>
            <w:tcW w:w="1389"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594</w:t>
            </w:r>
          </w:p>
        </w:tc>
        <w:tc>
          <w:tcPr>
            <w:tcW w:type="dxa" w:w="1140"/>
            <w:vAlign w:val="center"/>
            <w:tcW w:w="1139"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b/>
                <w:sz w:val="16"/>
              </w:rPr>
              <w:t>1.00\%</w:t>
            </w:r>
          </w:p>
        </w:tc>
        <w:tc>
          <w:tcPr>
            <w:tcW w:type="dxa" w:w="1342"/>
            <w:vAlign w:val="center"/>
            <w:tcW w:w="1341"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6"/>
              </w:rPr>
              <w:t>145</w:t>
            </w:r>
          </w:p>
        </w:tc>
        <w:tc>
          <w:tcPr>
            <w:tcW w:type="dxa" w:w="1086"/>
            <w:vAlign w:val="center"/>
            <w:tcW w:w="1085"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b/>
                <w:sz w:val="16"/>
              </w:rPr>
              <w:t>0.93\%</w:t>
            </w:r>
          </w:p>
        </w:tc>
        <w:tc>
          <w:tcPr>
            <w:tcW w:type="dxa" w:w="1661"/>
            <w:vAlign w:val="center"/>
            <w:tcW w:w="1661"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b/>
                <w:sz w:val="16"/>
              </w:rPr>
              <w:t>-0.07\% (Exact Match)</w:t>
            </w:r>
          </w:p>
        </w:tc>
      </w:tr>
    </w:tbl>
    <w:p>
      <w:pPr>
        <w:spacing w:before="40" w:after="40" w:line="40" w:lineRule="exact"/>
      </w:pPr>
    </w:p>
    <w:p>
      <w:pPr>
        <w:pStyle w:val="Heading2"/>
      </w:pPr>
      <w:r>
        <w:rPr>
          <w:rFonts w:ascii="Times New Roman" w:hAnsi="Times New Roman"/>
          <w:b/>
          <w:sz w:val="25"/>
        </w:rPr>
        <w:t>Table F.4: Target Distribution Shift &amp; Operational Context Analysis</w:t>
      </w:r>
    </w:p>
    <w:tbl>
      <w:tblPr>
        <w:tblW w:type="auto" w:w="0"/>
        <w:jc w:val="center"/>
        <w:tblLayout w:type="fixed"/>
        <w:tblLook w:firstColumn="1" w:firstRow="1" w:lastColumn="0" w:lastRow="0" w:noHBand="0" w:noVBand="1" w:val="04A0"/>
        <w:tblBorders>
          <w:top w:val="single" w:sz="8" w:space="0" w:color="1F4E79"/>
          <w:bottom w:val="single" w:sz="8" w:space="0" w:color="1F4E79"/>
          <w:left w:val="single" w:sz="4" w:space="0" w:color="D9D9D9"/>
          <w:right w:val="single" w:sz="4" w:space="0" w:color="D9D9D9"/>
          <w:insideH w:val="single" w:sz="4" w:space="0" w:color="E2E8F0"/>
          <w:insideV w:val="single" w:sz="4" w:space="0" w:color="E2E8F0"/>
        </w:tblBorders>
      </w:tblPr>
      <w:tblGrid>
        <w:gridCol w:w="2007"/>
        <w:gridCol w:w="2007"/>
        <w:gridCol w:w="2007"/>
        <w:gridCol w:w="2007"/>
        <w:gridCol w:w="2007"/>
      </w:tblGrid>
      <w:tr>
        <w:trPr>
          <w:cantSplit/>
          <w:tblHeader/>
        </w:trPr>
        <w:tc>
          <w:tcPr>
            <w:tcW w:type="dxa" w:w="680"/>
            <w:vAlign w:val="center"/>
            <w:tcW w:w="679"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7"/>
              </w:rPr>
              <w:t>Target Field</w:t>
            </w:r>
          </w:p>
        </w:tc>
        <w:tc>
          <w:tcPr>
            <w:tcW w:type="dxa" w:w="1124"/>
            <w:vAlign w:val="center"/>
            <w:tcW w:w="1123"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7"/>
              </w:rPr>
              <w:t>Modeled Concept</w:t>
            </w:r>
          </w:p>
        </w:tc>
        <w:tc>
          <w:tcPr>
            <w:tcW w:type="dxa" w:w="1142"/>
            <w:vAlign w:val="center"/>
            <w:tcW w:w="1142"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7"/>
              </w:rPr>
              <w:t>Training Cohort</w:t>
            </w:r>
          </w:p>
        </w:tc>
        <w:tc>
          <w:tcPr>
            <w:tcW w:type="dxa" w:w="1124"/>
            <w:vAlign w:val="center"/>
            <w:tcW w:w="1123"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7"/>
              </w:rPr>
              <w:t>Holdout Cohort</w:t>
            </w:r>
          </w:p>
        </w:tc>
        <w:tc>
          <w:tcPr>
            <w:tcW w:type="dxa" w:w="5968"/>
            <w:vAlign w:val="center"/>
            <w:tcW w:w="5967"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7"/>
              </w:rPr>
              <w:t>Operational Explanation &amp; Macroeconomic Reality</w:t>
            </w:r>
          </w:p>
        </w:tc>
      </w:tr>
      <w:tr>
        <w:trPr>
          <w:cantSplit/>
        </w:trPr>
        <w:tc>
          <w:tcPr>
            <w:tcW w:type="dxa" w:w="680"/>
            <w:vAlign w:val="center"/>
            <w:tcW w:w="679"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7"/>
              </w:rPr>
              <w:t>`lead_days`</w:t>
            </w:r>
          </w:p>
        </w:tc>
        <w:tc>
          <w:tcPr>
            <w:tcW w:type="dxa" w:w="1124"/>
            <w:vAlign w:val="center"/>
            <w:tcW w:w="1123"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sz w:val="17"/>
              </w:rPr>
              <w:t>Actual Fulfillment Lead Time</w:t>
            </w:r>
          </w:p>
        </w:tc>
        <w:tc>
          <w:tcPr>
            <w:tcW w:type="dxa" w:w="1142"/>
            <w:vAlign w:val="center"/>
            <w:tcW w:w="1142"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sz w:val="17"/>
              </w:rPr>
              <w:t xml:space="preserve">Mean: </w:t>
            </w:r>
            <w:r>
              <w:rPr>
                <w:rFonts w:ascii="Times New Roman" w:hAnsi="Times New Roman"/>
                <w:b/>
                <w:sz w:val="17"/>
              </w:rPr>
              <w:t>13.27d</w:t>
            </w:r>
            <w:r>
              <w:rPr>
                <w:rFonts w:ascii="Times New Roman" w:hAnsi="Times New Roman"/>
                <w:sz w:val="17"/>
              </w:rPr>
              <w:t xml:space="preserve"> &lt;br&gt; Median: </w:t>
            </w:r>
            <w:r>
              <w:rPr>
                <w:rFonts w:ascii="Times New Roman" w:hAnsi="Times New Roman"/>
                <w:b/>
                <w:sz w:val="17"/>
              </w:rPr>
              <w:t>11.04d</w:t>
            </w:r>
          </w:p>
        </w:tc>
        <w:tc>
          <w:tcPr>
            <w:tcW w:type="dxa" w:w="1124"/>
            <w:vAlign w:val="center"/>
            <w:tcW w:w="1123"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sz w:val="17"/>
              </w:rPr>
              <w:t xml:space="preserve">Mean: </w:t>
            </w:r>
            <w:r>
              <w:rPr>
                <w:rFonts w:ascii="Times New Roman" w:hAnsi="Times New Roman"/>
                <w:b/>
                <w:sz w:val="17"/>
              </w:rPr>
              <w:t>8.79d</w:t>
            </w:r>
            <w:r>
              <w:rPr>
                <w:rFonts w:ascii="Times New Roman" w:hAnsi="Times New Roman"/>
                <w:sz w:val="17"/>
              </w:rPr>
              <w:t xml:space="preserve"> &lt;br&gt; Median: </w:t>
            </w:r>
            <w:r>
              <w:rPr>
                <w:rFonts w:ascii="Times New Roman" w:hAnsi="Times New Roman"/>
                <w:b/>
                <w:sz w:val="17"/>
              </w:rPr>
              <w:t>7.48d</w:t>
            </w:r>
          </w:p>
        </w:tc>
        <w:tc>
          <w:tcPr>
            <w:tcW w:type="dxa" w:w="5968"/>
            <w:vAlign w:val="center"/>
            <w:tcW w:w="5967"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b/>
                <w:sz w:val="17"/>
              </w:rPr>
              <w:t>Seasonal &amp; Infrastructure Dynamics</w:t>
            </w:r>
            <w:r>
              <w:rPr>
                <w:rFonts w:ascii="Times New Roman" w:hAnsi="Times New Roman"/>
                <w:sz w:val="17"/>
              </w:rPr>
              <w:t xml:space="preserve">: The historical training window encompassed severe operational bottlenecks—namely the December 2017 holiday parcel overload (Black Friday / Christmas backlog, where lead times exceeded </w:t>
            </w:r>
            <w:r>
              <w:rPr>
                <w:rFonts w:ascii="Cambria Math" w:hAnsi="Cambria Math"/>
                <w:sz w:val="17"/>
              </w:rPr>
              <w:t>20</w:t>
            </w:r>
            <w:r>
              <w:rPr>
                <w:rFonts w:ascii="Times New Roman" w:hAnsi="Times New Roman"/>
                <w:sz w:val="17"/>
              </w:rPr>
              <w:t xml:space="preserve"> days) and early-2018 nationwide highway freight disruptions. In contrast, the terminal holdout period (late May to August 2018) was a smooth, post-holiday operational period during which Olist integrated faster regional express carriers, reducing median transit times across Brazil.</w:t>
            </w:r>
          </w:p>
        </w:tc>
      </w:tr>
      <w:tr>
        <w:trPr>
          <w:cantSplit/>
        </w:trPr>
        <w:tc>
          <w:tcPr>
            <w:tcW w:type="dxa" w:w="680"/>
            <w:vAlign w:val="center"/>
            <w:tcW w:w="679" w:type="dxa"/>
            <w:tcMar>
              <w:top w:w="60" w:type="dxa"/>
              <w:bottom w:w="60" w:type="dxa"/>
              <w:left w:w="80" w:type="dxa"/>
              <w:right w:w="80" w:type="dxa"/>
            </w:tcMar>
          </w:tcPr>
          <w:p>
            <w:pPr>
              <w:spacing w:before="0" w:after="0" w:line="252" w:lineRule="auto"/>
              <w:jc w:val="left"/>
            </w:pPr>
            <w:r>
              <w:rPr>
                <w:rFonts w:ascii="Times New Roman" w:hAnsi="Times New Roman"/>
                <w:b/>
                <w:sz w:val="17"/>
              </w:rPr>
              <w:t>`is_detractor`</w:t>
            </w:r>
          </w:p>
        </w:tc>
        <w:tc>
          <w:tcPr>
            <w:tcW w:type="dxa" w:w="1124"/>
            <w:vAlign w:val="center"/>
            <w:tcW w:w="1123" w:type="dxa"/>
            <w:tcMar>
              <w:top w:w="60" w:type="dxa"/>
              <w:bottom w:w="60" w:type="dxa"/>
              <w:left w:w="80" w:type="dxa"/>
              <w:right w:w="80" w:type="dxa"/>
            </w:tcMar>
          </w:tcPr>
          <w:p>
            <w:pPr>
              <w:spacing w:before="0" w:after="0" w:line="252" w:lineRule="auto"/>
              <w:jc w:val="left"/>
            </w:pPr>
            <w:r>
              <w:rPr>
                <w:rFonts w:ascii="Times New Roman" w:hAnsi="Times New Roman"/>
                <w:sz w:val="17"/>
              </w:rPr>
              <w:t>Unfavorable Customer Review (</w:t>
            </w:r>
            <w:r>
              <w:rPr>
                <w:rFonts w:ascii="Cambria Math" w:hAnsi="Cambria Math"/>
                <w:sz w:val="17"/>
              </w:rPr>
              <w:t>≤ 2</w:t>
            </w:r>
            <w:r>
              <w:rPr>
                <w:rFonts w:ascii="Times New Roman" w:hAnsi="Times New Roman"/>
                <w:sz w:val="17"/>
              </w:rPr>
              <w:t xml:space="preserve"> Stars)</w:t>
            </w:r>
          </w:p>
        </w:tc>
        <w:tc>
          <w:tcPr>
            <w:tcW w:type="dxa" w:w="1142"/>
            <w:vAlign w:val="center"/>
            <w:tcW w:w="1142" w:type="dxa"/>
            <w:tcMar>
              <w:top w:w="60" w:type="dxa"/>
              <w:bottom w:w="60" w:type="dxa"/>
              <w:left w:w="80" w:type="dxa"/>
              <w:right w:w="80" w:type="dxa"/>
            </w:tcMar>
          </w:tcPr>
          <w:p>
            <w:pPr>
              <w:spacing w:before="0" w:after="0" w:line="252" w:lineRule="auto"/>
              <w:jc w:val="center"/>
            </w:pPr>
            <w:r>
              <w:rPr>
                <w:rFonts w:ascii="Times New Roman" w:hAnsi="Times New Roman"/>
                <w:sz w:val="17"/>
              </w:rPr>
              <w:t xml:space="preserve">Base Rate: </w:t>
            </w:r>
            <w:r>
              <w:rPr>
                <w:rFonts w:ascii="Times New Roman" w:hAnsi="Times New Roman"/>
                <w:b/>
                <w:sz w:val="17"/>
              </w:rPr>
              <w:t>11.0\%--13.4\%</w:t>
            </w:r>
          </w:p>
        </w:tc>
        <w:tc>
          <w:tcPr>
            <w:tcW w:type="dxa" w:w="1124"/>
            <w:vAlign w:val="center"/>
            <w:tcW w:w="1123" w:type="dxa"/>
            <w:tcMar>
              <w:top w:w="60" w:type="dxa"/>
              <w:bottom w:w="60" w:type="dxa"/>
              <w:left w:w="80" w:type="dxa"/>
              <w:right w:w="80" w:type="dxa"/>
            </w:tcMar>
          </w:tcPr>
          <w:p>
            <w:pPr>
              <w:spacing w:before="0" w:after="0" w:line="252" w:lineRule="auto"/>
              <w:jc w:val="center"/>
            </w:pPr>
            <w:r>
              <w:rPr>
                <w:rFonts w:ascii="Times New Roman" w:hAnsi="Times New Roman"/>
                <w:sz w:val="17"/>
              </w:rPr>
              <w:t xml:space="preserve">Base Rate: </w:t>
            </w:r>
            <w:r>
              <w:rPr>
                <w:rFonts w:ascii="Times New Roman" w:hAnsi="Times New Roman"/>
                <w:b/>
                <w:sz w:val="17"/>
              </w:rPr>
              <w:t>10.83\%</w:t>
            </w:r>
            <w:r>
              <w:rPr>
                <w:rFonts w:ascii="Times New Roman" w:hAnsi="Times New Roman"/>
                <w:sz w:val="17"/>
              </w:rPr>
              <w:t xml:space="preserve"> (</w:t>
            </w:r>
            <w:r>
              <w:rPr>
                <w:rFonts w:ascii="Cambria Math" w:hAnsi="Cambria Math"/>
                <w:sz w:val="17"/>
              </w:rPr>
              <w:t>1,707 / 15,769</w:t>
            </w:r>
            <w:r>
              <w:rPr>
                <w:rFonts w:ascii="Times New Roman" w:hAnsi="Times New Roman"/>
                <w:sz w:val="17"/>
              </w:rPr>
              <w:t>)</w:t>
            </w:r>
          </w:p>
        </w:tc>
        <w:tc>
          <w:tcPr>
            <w:tcW w:type="dxa" w:w="5968"/>
            <w:vAlign w:val="center"/>
            <w:tcW w:w="5967" w:type="dxa"/>
            <w:tcMar>
              <w:top w:w="60" w:type="dxa"/>
              <w:bottom w:w="60" w:type="dxa"/>
              <w:left w:w="80" w:type="dxa"/>
              <w:right w:w="80" w:type="dxa"/>
            </w:tcMar>
          </w:tcPr>
          <w:p>
            <w:pPr>
              <w:spacing w:before="0" w:after="0" w:line="252" w:lineRule="auto"/>
              <w:jc w:val="center"/>
            </w:pPr>
            <w:r>
              <w:rPr>
                <w:rFonts w:ascii="Times New Roman" w:hAnsi="Times New Roman"/>
                <w:b/>
                <w:sz w:val="17"/>
              </w:rPr>
              <w:t>Stationary Sentiment</w:t>
            </w:r>
            <w:r>
              <w:rPr>
                <w:rFonts w:ascii="Times New Roman" w:hAnsi="Times New Roman"/>
                <w:sz w:val="17"/>
              </w:rPr>
              <w:t xml:space="preserve">: Despite faster delivery speeds, overall detractor prevalence remained tightly bound near the nominal </w:t>
            </w:r>
            <w:r>
              <w:rPr>
                <w:rFonts w:ascii="Cambria Math" w:hAnsi="Cambria Math"/>
                <w:sz w:val="17"/>
              </w:rPr>
              <w:t>10.83\%</w:t>
            </w:r>
            <w:r>
              <w:rPr>
                <w:rFonts w:ascii="Times New Roman" w:hAnsi="Times New Roman"/>
                <w:sz w:val="17"/>
              </w:rPr>
              <w:t xml:space="preserve"> baseline rate (</w:t>
            </w:r>
            <w:r>
              <w:rPr>
                <w:rFonts w:ascii="Cambria Math" w:hAnsi="Cambria Math"/>
                <w:sz w:val="17"/>
              </w:rPr>
              <w:t>1,707</w:t>
            </w:r>
            <w:r>
              <w:rPr>
                <w:rFonts w:ascii="Times New Roman" w:hAnsi="Times New Roman"/>
                <w:sz w:val="17"/>
              </w:rPr>
              <w:t xml:space="preserve"> detractors out of </w:t>
            </w:r>
            <w:r>
              <w:rPr>
                <w:rFonts w:ascii="Cambria Math" w:hAnsi="Cambria Math"/>
                <w:sz w:val="17"/>
              </w:rPr>
              <w:t>15,769</w:t>
            </w:r>
            <w:r>
              <w:rPr>
                <w:rFonts w:ascii="Times New Roman" w:hAnsi="Times New Roman"/>
                <w:sz w:val="17"/>
              </w:rPr>
              <w:t xml:space="preserve"> holdout orders), confirming that buyer dissatisfaction thresholds remained consistent under leak-free cart checkout scoping.</w:t>
            </w:r>
          </w:p>
        </w:tc>
      </w:tr>
    </w:tbl>
    <w:p>
      <w:pPr>
        <w:spacing w:before="40" w:after="40" w:line="40" w:lineRule="exact"/>
      </w:pPr>
    </w:p>
    <w:p>
      <w:pPr>
        <w:pStyle w:val="Heading2"/>
      </w:pPr>
      <w:r>
        <w:rPr>
          <w:rFonts w:ascii="Times New Roman" w:hAnsi="Times New Roman"/>
          <w:b/>
          <w:sz w:val="25"/>
        </w:rPr>
        <w:t>Table F.5: Generalization Audit — Preserving Performance Across Partitions</w:t>
      </w:r>
    </w:p>
    <w:p>
      <w:pPr/>
      <w:r>
        <w:rPr>
          <w:rFonts w:ascii="Times New Roman" w:hAnsi="Times New Roman"/>
          <w:i/>
          <w:sz w:val="22"/>
        </w:rPr>
        <w:t>Source</w:t>
      </w:r>
      <w:r>
        <w:rPr>
          <w:rFonts w:ascii="Times New Roman" w:hAnsi="Times New Roman"/>
          <w:sz w:val="22"/>
        </w:rPr>
        <w:t xml:space="preserve">: </w:t>
      </w:r>
      <w:r>
        <w:rPr>
          <w:rFonts w:ascii="Consolas" w:hAnsi="Consolas"/>
          <w:color w:val="8A1E38"/>
          <w:sz w:val="21"/>
        </w:rPr>
        <w:t>artifacts/metrics/refinement-selected-v4/terminal/train_val_test_comparison.csv</w:t>
      </w:r>
    </w:p>
    <w:tbl>
      <w:tblPr>
        <w:tblW w:type="auto" w:w="0"/>
        <w:jc w:val="center"/>
        <w:tblLayout w:type="fixed"/>
        <w:tblLook w:firstColumn="1" w:firstRow="1" w:lastColumn="0" w:lastRow="0" w:noHBand="0" w:noVBand="1" w:val="04A0"/>
        <w:tblBorders>
          <w:top w:val="single" w:sz="8" w:space="0" w:color="1F4E79"/>
          <w:bottom w:val="single" w:sz="8" w:space="0" w:color="1F4E79"/>
          <w:left w:val="single" w:sz="4" w:space="0" w:color="D9D9D9"/>
          <w:right w:val="single" w:sz="4" w:space="0" w:color="D9D9D9"/>
          <w:insideH w:val="single" w:sz="4" w:space="0" w:color="E2E8F0"/>
          <w:insideV w:val="single" w:sz="4" w:space="0" w:color="E2E8F0"/>
        </w:tblBorders>
      </w:tblPr>
      <w:tblGrid>
        <w:gridCol w:w="1673"/>
        <w:gridCol w:w="1673"/>
        <w:gridCol w:w="1673"/>
        <w:gridCol w:w="1673"/>
        <w:gridCol w:w="1673"/>
        <w:gridCol w:w="1673"/>
      </w:tblGrid>
      <w:tr>
        <w:trPr>
          <w:cantSplit/>
          <w:tblHeader/>
        </w:trPr>
        <w:tc>
          <w:tcPr>
            <w:tcW w:type="dxa" w:w="898"/>
            <w:vAlign w:val="center"/>
            <w:tcW w:w="897"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7"/>
              </w:rPr>
              <w:t>Task</w:t>
            </w:r>
          </w:p>
        </w:tc>
        <w:tc>
          <w:tcPr>
            <w:tcW w:type="dxa" w:w="993"/>
            <w:vAlign w:val="center"/>
            <w:tcW w:w="992"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7"/>
              </w:rPr>
              <w:t>Evaluated Metric</w:t>
            </w:r>
          </w:p>
        </w:tc>
        <w:tc>
          <w:tcPr>
            <w:tcW w:type="dxa" w:w="1484"/>
            <w:vAlign w:val="center"/>
            <w:tcW w:w="1484"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7"/>
              </w:rPr>
              <w:t>Training Resubstitution (In-Sample Fit)</w:t>
            </w:r>
          </w:p>
        </w:tc>
        <w:tc>
          <w:tcPr>
            <w:tcW w:type="dxa" w:w="1652"/>
            <w:vAlign w:val="center"/>
            <w:tcW w:w="1652"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7"/>
              </w:rPr>
              <w:t>5-Fold Chronological CV (Expanding Validation)</w:t>
            </w:r>
          </w:p>
        </w:tc>
        <w:tc>
          <w:tcPr>
            <w:tcW w:type="dxa" w:w="1509"/>
            <w:vAlign w:val="center"/>
            <w:tcW w:w="1508"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7"/>
              </w:rPr>
              <w:t>Quarantined Holdout (Out-of-Sample Test)</w:t>
            </w:r>
          </w:p>
        </w:tc>
        <w:tc>
          <w:tcPr>
            <w:tcW w:type="dxa" w:w="3501"/>
            <w:vAlign w:val="center"/>
            <w:tcW w:w="3500" w:type="dxa"/>
            <w:tcMar>
              <w:top w:w="60" w:type="dxa"/>
              <w:bottom w:w="60" w:type="dxa"/>
              <w:left w:w="80" w:type="dxa"/>
              <w:right w:w="80" w:type="dxa"/>
            </w:tcMar>
            <w:shd w:val="clear" w:color="auto" w:fill="E8EEF5"/>
          </w:tcPr>
          <w:p>
            <w:pPr>
              <w:spacing w:before="0" w:after="0" w:line="252" w:lineRule="auto"/>
              <w:jc w:val="left"/>
            </w:pPr>
            <w:r>
              <w:rPr>
                <w:rFonts w:ascii="Times New Roman" w:hAnsi="Times New Roman"/>
                <w:b/>
                <w:sz w:val="17"/>
              </w:rPr>
              <w:t>Generalization Diagnosis</w:t>
            </w:r>
          </w:p>
        </w:tc>
      </w:tr>
      <w:tr>
        <w:trPr>
          <w:cantSplit/>
        </w:trPr>
        <w:tc>
          <w:tcPr>
            <w:tcW w:type="dxa" w:w="898"/>
            <w:vAlign w:val="center"/>
            <w:tcW w:w="897"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7"/>
              </w:rPr>
              <w:t>Regression</w:t>
            </w:r>
          </w:p>
        </w:tc>
        <w:tc>
          <w:tcPr>
            <w:tcW w:type="dxa" w:w="993"/>
            <w:vAlign w:val="center"/>
            <w:tcW w:w="992"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b/>
                <w:sz w:val="17"/>
              </w:rPr>
              <w:t>MAE (days)</w:t>
            </w:r>
          </w:p>
        </w:tc>
        <w:tc>
          <w:tcPr>
            <w:tcW w:type="dxa" w:w="1484"/>
            <w:vAlign w:val="center"/>
            <w:tcW w:w="1484"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7"/>
              </w:rPr>
              <w:t>3.9878 ± 0.1863</w:t>
            </w:r>
          </w:p>
        </w:tc>
        <w:tc>
          <w:tcPr>
            <w:tcW w:type="dxa" w:w="1652"/>
            <w:vAlign w:val="center"/>
            <w:tcW w:w="1652"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7"/>
              </w:rPr>
              <w:t>5.2436 ± 1.1500</w:t>
            </w:r>
          </w:p>
        </w:tc>
        <w:tc>
          <w:tcPr>
            <w:tcW w:type="dxa" w:w="1509"/>
            <w:vAlign w:val="center"/>
            <w:tcW w:w="1508"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b/>
                <w:sz w:val="17"/>
              </w:rPr>
              <w:t>3.7185 days</w:t>
            </w:r>
          </w:p>
        </w:tc>
        <w:tc>
          <w:tcPr>
            <w:tcW w:type="dxa" w:w="3501"/>
            <w:vAlign w:val="center"/>
            <w:tcW w:w="3500"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b/>
                <w:sz w:val="17"/>
              </w:rPr>
              <w:t>Passed</w:t>
            </w:r>
            <w:r>
              <w:rPr>
                <w:rFonts w:ascii="Times New Roman" w:hAnsi="Times New Roman"/>
                <w:sz w:val="17"/>
              </w:rPr>
              <w:t>: Holdout MAE (</w:t>
            </w:r>
            <w:r>
              <w:rPr>
                <w:rFonts w:ascii="Cambria Math" w:hAnsi="Cambria Math"/>
                <w:sz w:val="17"/>
              </w:rPr>
              <w:t>3.72</w:t>
            </w:r>
            <w:r>
              <w:rPr>
                <w:rFonts w:ascii="Times New Roman" w:hAnsi="Times New Roman"/>
                <w:sz w:val="17"/>
              </w:rPr>
              <w:t>d) beats the CV validation average (</w:t>
            </w:r>
            <w:r>
              <w:rPr>
                <w:rFonts w:ascii="Cambria Math" w:hAnsi="Cambria Math"/>
                <w:sz w:val="17"/>
              </w:rPr>
              <w:t>5.24</w:t>
            </w:r>
            <w:r>
              <w:rPr>
                <w:rFonts w:ascii="Times New Roman" w:hAnsi="Times New Roman"/>
                <w:sz w:val="17"/>
              </w:rPr>
              <w:t>d), proving the model thrives when seasonal holiday postal backlogs subside.</w:t>
            </w:r>
          </w:p>
        </w:tc>
      </w:tr>
      <w:tr>
        <w:trPr>
          <w:cantSplit/>
        </w:trPr>
        <w:tc>
          <w:tcPr>
            <w:tcW w:type="dxa" w:w="898"/>
            <w:vAlign w:val="center"/>
            <w:tcW w:w="897" w:type="dxa"/>
            <w:tcMar>
              <w:top w:w="60" w:type="dxa"/>
              <w:bottom w:w="60" w:type="dxa"/>
              <w:left w:w="80" w:type="dxa"/>
              <w:right w:w="80" w:type="dxa"/>
            </w:tcMar>
          </w:tcPr>
          <w:p>
            <w:pPr>
              <w:spacing w:before="0" w:after="0" w:line="252" w:lineRule="auto"/>
              <w:jc w:val="left"/>
            </w:pPr>
          </w:p>
        </w:tc>
        <w:tc>
          <w:tcPr>
            <w:tcW w:type="dxa" w:w="993"/>
            <w:vAlign w:val="center"/>
            <w:tcW w:w="992" w:type="dxa"/>
            <w:tcMar>
              <w:top w:w="60" w:type="dxa"/>
              <w:bottom w:w="60" w:type="dxa"/>
              <w:left w:w="80" w:type="dxa"/>
              <w:right w:w="80" w:type="dxa"/>
            </w:tcMar>
          </w:tcPr>
          <w:p>
            <w:pPr>
              <w:spacing w:before="0" w:after="0" w:line="252" w:lineRule="auto"/>
              <w:jc w:val="center"/>
            </w:pPr>
            <w:r>
              <w:rPr>
                <w:rFonts w:ascii="Times New Roman" w:hAnsi="Times New Roman"/>
                <w:b/>
                <w:sz w:val="17"/>
              </w:rPr>
              <w:t>RMSE (days)</w:t>
            </w:r>
          </w:p>
        </w:tc>
        <w:tc>
          <w:tcPr>
            <w:tcW w:type="dxa" w:w="1484"/>
            <w:vAlign w:val="center"/>
            <w:tcW w:w="1484" w:type="dxa"/>
            <w:tcMar>
              <w:top w:w="60" w:type="dxa"/>
              <w:bottom w:w="60" w:type="dxa"/>
              <w:left w:w="80" w:type="dxa"/>
              <w:right w:w="80" w:type="dxa"/>
            </w:tcMar>
          </w:tcPr>
          <w:p>
            <w:pPr>
              <w:spacing w:before="0" w:after="0" w:line="252" w:lineRule="auto"/>
              <w:jc w:val="center"/>
            </w:pPr>
            <w:r>
              <w:rPr>
                <w:rFonts w:ascii="Cambria Math" w:hAnsi="Cambria Math"/>
                <w:sz w:val="17"/>
              </w:rPr>
              <w:t>7.0698 ± 0.4444</w:t>
            </w:r>
          </w:p>
        </w:tc>
        <w:tc>
          <w:tcPr>
            <w:tcW w:type="dxa" w:w="1652"/>
            <w:vAlign w:val="center"/>
            <w:tcW w:w="1652" w:type="dxa"/>
            <w:tcMar>
              <w:top w:w="60" w:type="dxa"/>
              <w:bottom w:w="60" w:type="dxa"/>
              <w:left w:w="80" w:type="dxa"/>
              <w:right w:w="80" w:type="dxa"/>
            </w:tcMar>
          </w:tcPr>
          <w:p>
            <w:pPr>
              <w:spacing w:before="0" w:after="0" w:line="252" w:lineRule="auto"/>
              <w:jc w:val="center"/>
            </w:pPr>
            <w:r>
              <w:rPr>
                <w:rFonts w:ascii="Cambria Math" w:hAnsi="Cambria Math"/>
                <w:sz w:val="17"/>
              </w:rPr>
              <w:t>8.3675 ± 1.7945</w:t>
            </w:r>
          </w:p>
        </w:tc>
        <w:tc>
          <w:tcPr>
            <w:tcW w:type="dxa" w:w="1509"/>
            <w:vAlign w:val="center"/>
            <w:tcW w:w="1508" w:type="dxa"/>
            <w:tcMar>
              <w:top w:w="60" w:type="dxa"/>
              <w:bottom w:w="60" w:type="dxa"/>
              <w:left w:w="80" w:type="dxa"/>
              <w:right w:w="80" w:type="dxa"/>
            </w:tcMar>
          </w:tcPr>
          <w:p>
            <w:pPr>
              <w:spacing w:before="0" w:after="0" w:line="252" w:lineRule="auto"/>
              <w:jc w:val="center"/>
            </w:pPr>
            <w:r>
              <w:rPr>
                <w:rFonts w:ascii="Times New Roman" w:hAnsi="Times New Roman"/>
                <w:b/>
                <w:sz w:val="17"/>
              </w:rPr>
              <w:t>5.3085 days</w:t>
            </w:r>
          </w:p>
        </w:tc>
        <w:tc>
          <w:tcPr>
            <w:tcW w:type="dxa" w:w="3501"/>
            <w:vAlign w:val="center"/>
            <w:tcW w:w="3500" w:type="dxa"/>
            <w:tcMar>
              <w:top w:w="60" w:type="dxa"/>
              <w:bottom w:w="60" w:type="dxa"/>
              <w:left w:w="80" w:type="dxa"/>
              <w:right w:w="80" w:type="dxa"/>
            </w:tcMar>
          </w:tcPr>
          <w:p>
            <w:pPr>
              <w:spacing w:before="0" w:after="0" w:line="252" w:lineRule="auto"/>
              <w:jc w:val="center"/>
            </w:pPr>
            <w:r>
              <w:rPr>
                <w:rFonts w:ascii="Times New Roman" w:hAnsi="Times New Roman"/>
                <w:b/>
                <w:sz w:val="17"/>
              </w:rPr>
              <w:t>Passed</w:t>
            </w:r>
            <w:r>
              <w:rPr>
                <w:rFonts w:ascii="Times New Roman" w:hAnsi="Times New Roman"/>
                <w:sz w:val="17"/>
              </w:rPr>
              <w:t>: Large outlier errors drop dramatically (</w:t>
            </w:r>
            <w:r>
              <w:rPr>
                <w:rFonts w:ascii="Cambria Math" w:hAnsi="Cambria Math"/>
                <w:sz w:val="17"/>
              </w:rPr>
              <w:t>8.37d → 5.31d</w:t>
            </w:r>
            <w:r>
              <w:rPr>
                <w:rFonts w:ascii="Times New Roman" w:hAnsi="Times New Roman"/>
                <w:sz w:val="17"/>
              </w:rPr>
              <w:t>).</w:t>
            </w:r>
          </w:p>
        </w:tc>
      </w:tr>
      <w:tr>
        <w:trPr>
          <w:cantSplit/>
        </w:trPr>
        <w:tc>
          <w:tcPr>
            <w:tcW w:type="dxa" w:w="898"/>
            <w:vAlign w:val="center"/>
            <w:tcW w:w="897" w:type="dxa"/>
            <w:tcMar>
              <w:top w:w="60" w:type="dxa"/>
              <w:bottom w:w="60" w:type="dxa"/>
              <w:left w:w="80" w:type="dxa"/>
              <w:right w:w="80" w:type="dxa"/>
            </w:tcMar>
            <w:shd w:val="clear" w:color="auto" w:fill="F8FAFC"/>
          </w:tcPr>
          <w:p>
            <w:pPr>
              <w:spacing w:before="0" w:after="0" w:line="252" w:lineRule="auto"/>
              <w:jc w:val="left"/>
            </w:pPr>
          </w:p>
        </w:tc>
        <w:tc>
          <w:tcPr>
            <w:tcW w:type="dxa" w:w="993"/>
            <w:vAlign w:val="center"/>
            <w:tcW w:w="992"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7"/>
              </w:rPr>
              <w:t>R² Score</w:t>
            </w:r>
          </w:p>
        </w:tc>
        <w:tc>
          <w:tcPr>
            <w:tcW w:type="dxa" w:w="1484"/>
            <w:vAlign w:val="center"/>
            <w:tcW w:w="1484"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7"/>
              </w:rPr>
              <w:t>+0.2737 ± 0.0215</w:t>
            </w:r>
          </w:p>
        </w:tc>
        <w:tc>
          <w:tcPr>
            <w:tcW w:type="dxa" w:w="1652"/>
            <w:vAlign w:val="center"/>
            <w:tcW w:w="1652"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7"/>
              </w:rPr>
              <w:t>+0.1244 ± 0.0994</w:t>
            </w:r>
          </w:p>
        </w:tc>
        <w:tc>
          <w:tcPr>
            <w:tcW w:type="dxa" w:w="1509"/>
            <w:vAlign w:val="center"/>
            <w:tcW w:w="1508"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b/>
                <w:sz w:val="17"/>
              </w:rPr>
              <w:t>+0.1871</w:t>
            </w:r>
          </w:p>
        </w:tc>
        <w:tc>
          <w:tcPr>
            <w:tcW w:type="dxa" w:w="3501"/>
            <w:vAlign w:val="center"/>
            <w:tcW w:w="3500"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b/>
                <w:sz w:val="17"/>
              </w:rPr>
              <w:t>Passed</w:t>
            </w:r>
            <w:r>
              <w:rPr>
                <w:rFonts w:ascii="Times New Roman" w:hAnsi="Times New Roman"/>
                <w:sz w:val="17"/>
              </w:rPr>
              <w:t xml:space="preserve">: Sustains robust positive variance explanation without collapsing into negative territory (unlike the baseline single tree at </w:t>
            </w:r>
            <w:r>
              <w:rPr>
                <w:rFonts w:ascii="Cambria Math" w:hAnsi="Cambria Math"/>
                <w:sz w:val="17"/>
              </w:rPr>
              <w:t>-0.3601</w:t>
            </w:r>
            <w:r>
              <w:rPr>
                <w:rFonts w:ascii="Times New Roman" w:hAnsi="Times New Roman"/>
                <w:sz w:val="17"/>
              </w:rPr>
              <w:t>).</w:t>
            </w:r>
          </w:p>
        </w:tc>
      </w:tr>
      <w:tr>
        <w:trPr>
          <w:cantSplit/>
        </w:trPr>
        <w:tc>
          <w:tcPr>
            <w:tcW w:type="dxa" w:w="898"/>
            <w:vAlign w:val="center"/>
            <w:tcW w:w="897" w:type="dxa"/>
            <w:tcMar>
              <w:top w:w="60" w:type="dxa"/>
              <w:bottom w:w="60" w:type="dxa"/>
              <w:left w:w="80" w:type="dxa"/>
              <w:right w:w="80" w:type="dxa"/>
            </w:tcMar>
          </w:tcPr>
          <w:p>
            <w:pPr>
              <w:spacing w:before="0" w:after="0" w:line="252" w:lineRule="auto"/>
              <w:jc w:val="left"/>
            </w:pPr>
            <w:r>
              <w:rPr>
                <w:rFonts w:ascii="Times New Roman" w:hAnsi="Times New Roman"/>
                <w:b/>
                <w:sz w:val="17"/>
              </w:rPr>
              <w:t>Classification</w:t>
            </w:r>
          </w:p>
        </w:tc>
        <w:tc>
          <w:tcPr>
            <w:tcW w:type="dxa" w:w="993"/>
            <w:vAlign w:val="center"/>
            <w:tcW w:w="992" w:type="dxa"/>
            <w:tcMar>
              <w:top w:w="60" w:type="dxa"/>
              <w:bottom w:w="60" w:type="dxa"/>
              <w:left w:w="80" w:type="dxa"/>
              <w:right w:w="80" w:type="dxa"/>
            </w:tcMar>
          </w:tcPr>
          <w:p>
            <w:pPr>
              <w:spacing w:before="0" w:after="0" w:line="252" w:lineRule="auto"/>
              <w:jc w:val="left"/>
            </w:pPr>
            <w:r>
              <w:rPr>
                <w:rFonts w:ascii="Times New Roman" w:hAnsi="Times New Roman"/>
                <w:b/>
                <w:sz w:val="17"/>
              </w:rPr>
              <w:t>Average Precision</w:t>
            </w:r>
          </w:p>
        </w:tc>
        <w:tc>
          <w:tcPr>
            <w:tcW w:type="dxa" w:w="1484"/>
            <w:vAlign w:val="center"/>
            <w:tcW w:w="1484" w:type="dxa"/>
            <w:tcMar>
              <w:top w:w="60" w:type="dxa"/>
              <w:bottom w:w="60" w:type="dxa"/>
              <w:left w:w="80" w:type="dxa"/>
              <w:right w:w="80" w:type="dxa"/>
            </w:tcMar>
          </w:tcPr>
          <w:p>
            <w:pPr>
              <w:spacing w:before="0" w:after="0" w:line="252" w:lineRule="auto"/>
              <w:jc w:val="center"/>
            </w:pPr>
            <w:r>
              <w:rPr>
                <w:rFonts w:ascii="Cambria Math" w:hAnsi="Cambria Math"/>
                <w:sz w:val="17"/>
              </w:rPr>
              <w:t>0.2996 ± 0.0278</w:t>
            </w:r>
          </w:p>
        </w:tc>
        <w:tc>
          <w:tcPr>
            <w:tcW w:type="dxa" w:w="1652"/>
            <w:vAlign w:val="center"/>
            <w:tcW w:w="1652" w:type="dxa"/>
            <w:tcMar>
              <w:top w:w="60" w:type="dxa"/>
              <w:bottom w:w="60" w:type="dxa"/>
              <w:left w:w="80" w:type="dxa"/>
              <w:right w:w="80" w:type="dxa"/>
            </w:tcMar>
          </w:tcPr>
          <w:p>
            <w:pPr>
              <w:spacing w:before="0" w:after="0" w:line="252" w:lineRule="auto"/>
              <w:jc w:val="center"/>
            </w:pPr>
            <w:r>
              <w:rPr>
                <w:rFonts w:ascii="Cambria Math" w:hAnsi="Cambria Math"/>
                <w:sz w:val="17"/>
              </w:rPr>
              <w:t>0.2192 ± 0.0587</w:t>
            </w:r>
          </w:p>
        </w:tc>
        <w:tc>
          <w:tcPr>
            <w:tcW w:type="dxa" w:w="1509"/>
            <w:vAlign w:val="center"/>
            <w:tcW w:w="1508" w:type="dxa"/>
            <w:tcMar>
              <w:top w:w="60" w:type="dxa"/>
              <w:bottom w:w="60" w:type="dxa"/>
              <w:left w:w="80" w:type="dxa"/>
              <w:right w:w="80" w:type="dxa"/>
            </w:tcMar>
          </w:tcPr>
          <w:p>
            <w:pPr>
              <w:spacing w:before="0" w:after="0" w:line="252" w:lineRule="auto"/>
              <w:jc w:val="center"/>
            </w:pPr>
            <w:r>
              <w:rPr>
                <w:rFonts w:ascii="Times New Roman" w:hAnsi="Times New Roman"/>
                <w:b/>
                <w:sz w:val="17"/>
              </w:rPr>
              <w:t>0.1823</w:t>
            </w:r>
          </w:p>
        </w:tc>
        <w:tc>
          <w:tcPr>
            <w:tcW w:type="dxa" w:w="3501"/>
            <w:vAlign w:val="center"/>
            <w:tcW w:w="3500" w:type="dxa"/>
            <w:tcMar>
              <w:top w:w="60" w:type="dxa"/>
              <w:bottom w:w="60" w:type="dxa"/>
              <w:left w:w="80" w:type="dxa"/>
              <w:right w:w="80" w:type="dxa"/>
            </w:tcMar>
          </w:tcPr>
          <w:p>
            <w:pPr>
              <w:spacing w:before="0" w:after="0" w:line="252" w:lineRule="auto"/>
              <w:jc w:val="center"/>
            </w:pPr>
            <w:r>
              <w:rPr>
                <w:rFonts w:ascii="Times New Roman" w:hAnsi="Times New Roman"/>
                <w:b/>
                <w:sz w:val="17"/>
              </w:rPr>
              <w:t>Passed</w:t>
            </w:r>
            <w:r>
              <w:rPr>
                <w:rFonts w:ascii="Times New Roman" w:hAnsi="Times New Roman"/>
                <w:sz w:val="17"/>
              </w:rPr>
              <w:t>: Outperforms the naive random prior (</w:t>
            </w:r>
            <w:r>
              <w:rPr>
                <w:rFonts w:ascii="Cambria Math" w:hAnsi="Cambria Math"/>
                <w:sz w:val="17"/>
              </w:rPr>
              <w:t>0.1083</w:t>
            </w:r>
            <w:r>
              <w:rPr>
                <w:rFonts w:ascii="Times New Roman" w:hAnsi="Times New Roman"/>
                <w:sz w:val="17"/>
              </w:rPr>
              <w:t xml:space="preserve">) by nearly </w:t>
            </w:r>
            <w:r>
              <w:rPr>
                <w:rFonts w:ascii="Cambria Math" w:hAnsi="Cambria Math"/>
                <w:sz w:val="17"/>
              </w:rPr>
              <w:t>1.7×</w:t>
            </w:r>
            <w:r>
              <w:rPr>
                <w:rFonts w:ascii="Times New Roman" w:hAnsi="Times New Roman"/>
                <w:sz w:val="17"/>
              </w:rPr>
              <w:t xml:space="preserve"> on unseen data.</w:t>
            </w:r>
          </w:p>
        </w:tc>
      </w:tr>
      <w:tr>
        <w:trPr>
          <w:cantSplit/>
        </w:trPr>
        <w:tc>
          <w:tcPr>
            <w:tcW w:type="dxa" w:w="898"/>
            <w:vAlign w:val="center"/>
            <w:tcW w:w="897" w:type="dxa"/>
            <w:tcMar>
              <w:top w:w="60" w:type="dxa"/>
              <w:bottom w:w="60" w:type="dxa"/>
              <w:left w:w="80" w:type="dxa"/>
              <w:right w:w="80" w:type="dxa"/>
            </w:tcMar>
            <w:shd w:val="clear" w:color="auto" w:fill="F8FAFC"/>
          </w:tcPr>
          <w:p>
            <w:pPr>
              <w:spacing w:before="0" w:after="0" w:line="252" w:lineRule="auto"/>
              <w:jc w:val="left"/>
            </w:pPr>
          </w:p>
        </w:tc>
        <w:tc>
          <w:tcPr>
            <w:tcW w:type="dxa" w:w="993"/>
            <w:vAlign w:val="center"/>
            <w:tcW w:w="992"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7"/>
              </w:rPr>
              <w:t>ROC AUC</w:t>
            </w:r>
          </w:p>
        </w:tc>
        <w:tc>
          <w:tcPr>
            <w:tcW w:type="dxa" w:w="1484"/>
            <w:vAlign w:val="center"/>
            <w:tcW w:w="1484"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7"/>
              </w:rPr>
              <w:t>0.7298 ± 0.0270</w:t>
            </w:r>
          </w:p>
        </w:tc>
        <w:tc>
          <w:tcPr>
            <w:tcW w:type="dxa" w:w="1652"/>
            <w:vAlign w:val="center"/>
            <w:tcW w:w="1652" w:type="dxa"/>
            <w:tcMar>
              <w:top w:w="60" w:type="dxa"/>
              <w:bottom w:w="60" w:type="dxa"/>
              <w:left w:w="80" w:type="dxa"/>
              <w:right w:w="80" w:type="dxa"/>
            </w:tcMar>
            <w:shd w:val="clear" w:color="auto" w:fill="F8FAFC"/>
          </w:tcPr>
          <w:p>
            <w:pPr>
              <w:spacing w:before="0" w:after="0" w:line="252" w:lineRule="auto"/>
              <w:jc w:val="center"/>
            </w:pPr>
            <w:r>
              <w:rPr>
                <w:rFonts w:ascii="Cambria Math" w:hAnsi="Cambria Math"/>
                <w:sz w:val="17"/>
              </w:rPr>
              <w:t>0.5862 ± 0.0330</w:t>
            </w:r>
          </w:p>
        </w:tc>
        <w:tc>
          <w:tcPr>
            <w:tcW w:type="dxa" w:w="1509"/>
            <w:vAlign w:val="center"/>
            <w:tcW w:w="1508" w:type="dxa"/>
            <w:tcMar>
              <w:top w:w="60" w:type="dxa"/>
              <w:bottom w:w="60" w:type="dxa"/>
              <w:left w:w="80" w:type="dxa"/>
              <w:right w:w="80" w:type="dxa"/>
            </w:tcMar>
            <w:shd w:val="clear" w:color="auto" w:fill="F8FAFC"/>
          </w:tcPr>
          <w:p>
            <w:pPr>
              <w:spacing w:before="0" w:after="0" w:line="252" w:lineRule="auto"/>
              <w:jc w:val="center"/>
            </w:pPr>
            <w:r>
              <w:rPr>
                <w:rFonts w:ascii="Times New Roman" w:hAnsi="Times New Roman"/>
                <w:b/>
                <w:sz w:val="17"/>
              </w:rPr>
              <w:t>0.5864</w:t>
            </w:r>
          </w:p>
        </w:tc>
        <w:tc>
          <w:tcPr>
            <w:tcW w:type="dxa" w:w="3501"/>
            <w:vAlign w:val="center"/>
            <w:tcW w:w="3500" w:type="dxa"/>
            <w:tcMar>
              <w:top w:w="60" w:type="dxa"/>
              <w:bottom w:w="60" w:type="dxa"/>
              <w:left w:w="80" w:type="dxa"/>
              <w:right w:w="80" w:type="dxa"/>
            </w:tcMar>
            <w:shd w:val="clear" w:color="auto" w:fill="F8FAFC"/>
          </w:tcPr>
          <w:p>
            <w:pPr>
              <w:spacing w:before="0" w:after="0" w:line="252" w:lineRule="auto"/>
              <w:jc w:val="left"/>
            </w:pPr>
            <w:r>
              <w:rPr>
                <w:rFonts w:ascii="Times New Roman" w:hAnsi="Times New Roman"/>
                <w:b/>
                <w:sz w:val="17"/>
              </w:rPr>
              <w:t>Passed</w:t>
            </w:r>
            <w:r>
              <w:rPr>
                <w:rFonts w:ascii="Times New Roman" w:hAnsi="Times New Roman"/>
                <w:sz w:val="17"/>
              </w:rPr>
              <w:t>: Maintains consistent probabilistic ranking across unseen test months.</w:t>
            </w:r>
          </w:p>
        </w:tc>
      </w:tr>
      <w:tr>
        <w:trPr>
          <w:cantSplit/>
        </w:trPr>
        <w:tc>
          <w:tcPr>
            <w:tcW w:type="dxa" w:w="898"/>
            <w:vAlign w:val="center"/>
            <w:tcW w:w="897" w:type="dxa"/>
            <w:tcMar>
              <w:top w:w="60" w:type="dxa"/>
              <w:bottom w:w="60" w:type="dxa"/>
              <w:left w:w="80" w:type="dxa"/>
              <w:right w:w="80" w:type="dxa"/>
            </w:tcMar>
          </w:tcPr>
          <w:p>
            <w:pPr>
              <w:spacing w:before="0" w:after="0" w:line="252" w:lineRule="auto"/>
              <w:jc w:val="left"/>
            </w:pPr>
          </w:p>
        </w:tc>
        <w:tc>
          <w:tcPr>
            <w:tcW w:type="dxa" w:w="993"/>
            <w:vAlign w:val="center"/>
            <w:tcW w:w="992" w:type="dxa"/>
            <w:tcMar>
              <w:top w:w="60" w:type="dxa"/>
              <w:bottom w:w="60" w:type="dxa"/>
              <w:left w:w="80" w:type="dxa"/>
              <w:right w:w="80" w:type="dxa"/>
            </w:tcMar>
          </w:tcPr>
          <w:p>
            <w:pPr>
              <w:spacing w:before="0" w:after="0" w:line="252" w:lineRule="auto"/>
              <w:jc w:val="left"/>
            </w:pPr>
            <w:r>
              <w:rPr>
                <w:rFonts w:ascii="Times New Roman" w:hAnsi="Times New Roman"/>
                <w:b/>
                <w:sz w:val="17"/>
              </w:rPr>
              <w:t>Brier Score</w:t>
            </w:r>
          </w:p>
        </w:tc>
        <w:tc>
          <w:tcPr>
            <w:tcW w:type="dxa" w:w="1484"/>
            <w:vAlign w:val="center"/>
            <w:tcW w:w="1484" w:type="dxa"/>
            <w:tcMar>
              <w:top w:w="60" w:type="dxa"/>
              <w:bottom w:w="60" w:type="dxa"/>
              <w:left w:w="80" w:type="dxa"/>
              <w:right w:w="80" w:type="dxa"/>
            </w:tcMar>
          </w:tcPr>
          <w:p>
            <w:pPr>
              <w:spacing w:before="0" w:after="0" w:line="252" w:lineRule="auto"/>
              <w:jc w:val="center"/>
            </w:pPr>
            <w:r>
              <w:rPr>
                <w:rFonts w:ascii="Cambria Math" w:hAnsi="Cambria Math"/>
                <w:sz w:val="17"/>
              </w:rPr>
              <w:t>0.1073 ± 0.0030</w:t>
            </w:r>
          </w:p>
        </w:tc>
        <w:tc>
          <w:tcPr>
            <w:tcW w:type="dxa" w:w="1652"/>
            <w:vAlign w:val="center"/>
            <w:tcW w:w="1652" w:type="dxa"/>
            <w:tcMar>
              <w:top w:w="60" w:type="dxa"/>
              <w:bottom w:w="60" w:type="dxa"/>
              <w:left w:w="80" w:type="dxa"/>
              <w:right w:w="80" w:type="dxa"/>
            </w:tcMar>
          </w:tcPr>
          <w:p>
            <w:pPr>
              <w:spacing w:before="0" w:after="0" w:line="252" w:lineRule="auto"/>
              <w:jc w:val="center"/>
            </w:pPr>
            <w:r>
              <w:rPr>
                <w:rFonts w:ascii="Cambria Math" w:hAnsi="Cambria Math"/>
                <w:sz w:val="17"/>
              </w:rPr>
              <w:t>0.1213 ± 0.0189</w:t>
            </w:r>
          </w:p>
        </w:tc>
        <w:tc>
          <w:tcPr>
            <w:tcW w:type="dxa" w:w="1509"/>
            <w:vAlign w:val="center"/>
            <w:tcW w:w="1508" w:type="dxa"/>
            <w:tcMar>
              <w:top w:w="60" w:type="dxa"/>
              <w:bottom w:w="60" w:type="dxa"/>
              <w:left w:w="80" w:type="dxa"/>
              <w:right w:w="80" w:type="dxa"/>
            </w:tcMar>
          </w:tcPr>
          <w:p>
            <w:pPr>
              <w:spacing w:before="0" w:after="0" w:line="252" w:lineRule="auto"/>
              <w:jc w:val="center"/>
            </w:pPr>
            <w:r>
              <w:rPr>
                <w:rFonts w:ascii="Times New Roman" w:hAnsi="Times New Roman"/>
                <w:b/>
                <w:sz w:val="17"/>
              </w:rPr>
              <w:t>0.0949</w:t>
            </w:r>
          </w:p>
        </w:tc>
        <w:tc>
          <w:tcPr>
            <w:tcW w:type="dxa" w:w="3501"/>
            <w:vAlign w:val="center"/>
            <w:tcW w:w="3500" w:type="dxa"/>
            <w:tcMar>
              <w:top w:w="60" w:type="dxa"/>
              <w:bottom w:w="60" w:type="dxa"/>
              <w:left w:w="80" w:type="dxa"/>
              <w:right w:w="80" w:type="dxa"/>
            </w:tcMar>
          </w:tcPr>
          <w:p>
            <w:pPr>
              <w:spacing w:before="0" w:after="0" w:line="252" w:lineRule="auto"/>
              <w:jc w:val="center"/>
            </w:pPr>
            <w:r>
              <w:rPr>
                <w:rFonts w:ascii="Times New Roman" w:hAnsi="Times New Roman"/>
                <w:b/>
                <w:sz w:val="17"/>
              </w:rPr>
              <w:t>Passed</w:t>
            </w:r>
            <w:r>
              <w:rPr>
                <w:rFonts w:ascii="Times New Roman" w:hAnsi="Times New Roman"/>
                <w:sz w:val="17"/>
              </w:rPr>
              <w:t>: Calibration improves on holdout (</w:t>
            </w:r>
            <w:r>
              <w:rPr>
                <w:rFonts w:ascii="Cambria Math" w:hAnsi="Cambria Math"/>
                <w:sz w:val="17"/>
              </w:rPr>
              <w:t>0.095</w:t>
            </w:r>
            <w:r>
              <w:rPr>
                <w:rFonts w:ascii="Times New Roman" w:hAnsi="Times New Roman"/>
                <w:sz w:val="17"/>
              </w:rPr>
              <w:t xml:space="preserve"> vs </w:t>
            </w:r>
            <w:r>
              <w:rPr>
                <w:rFonts w:ascii="Cambria Math" w:hAnsi="Cambria Math"/>
                <w:sz w:val="17"/>
              </w:rPr>
              <w:t>0.121</w:t>
            </w:r>
            <w:r>
              <w:rPr>
                <w:rFonts w:ascii="Times New Roman" w:hAnsi="Times New Roman"/>
                <w:sz w:val="17"/>
              </w:rPr>
              <w:t>), reflecting well-calibrated probabilities.</w:t>
            </w:r>
          </w:p>
        </w:tc>
      </w:tr>
    </w:tbl>
    <w:p>
      <w:pPr>
        <w:spacing w:before="40" w:after="40" w:line="40" w:lineRule="exact"/>
      </w:pPr>
    </w:p>
    <w:p>
      <w:pPr>
        <w:pStyle w:val="Heading2"/>
      </w:pPr>
      <w:r>
        <w:rPr>
          <w:rFonts w:ascii="Times New Roman" w:hAnsi="Times New Roman"/>
          <w:b/>
          <w:sz w:val="25"/>
        </w:rPr>
        <w:t>Audit Conclusion</w:t>
      </w:r>
    </w:p>
    <w:p>
      <w:pPr/>
      <w:r>
        <w:rPr>
          <w:rFonts w:ascii="Times New Roman" w:hAnsi="Times New Roman"/>
          <w:sz w:val="22"/>
        </w:rPr>
        <w:t>This comprehensive distributional audit demonstrates that the input feature space (</w:t>
      </w:r>
      <w:r>
        <w:rPr>
          <w:rFonts w:ascii="Cambria Math" w:hAnsi="Cambria Math"/>
          <w:sz w:val="22"/>
        </w:rPr>
        <w:t>X</w:t>
      </w:r>
      <w:r>
        <w:rPr>
          <w:rFonts w:ascii="Times New Roman" w:hAnsi="Times New Roman"/>
          <w:sz w:val="22"/>
        </w:rPr>
        <w:t>) remained statistically stationary between training and holdout cohorts across pricing, freight burdens, cart complexity, hourly purchasing patterns, and regional geographic corridors. No disruptive covariate shift was observed. Consequently, the performance gains achieved by our Cycle 2 Champion pipeline are driven by genuine physical predictive power rather than temporal overfitting or data leakage.</w:t>
      </w:r>
    </w:p>
    <w:p>
      <w:pPr>
        <w:pStyle w:val="Heading1"/>
        <w:pageBreakBefore/>
      </w:pPr>
      <w:r>
        <w:rPr>
          <w:rFonts w:ascii="Times New Roman" w:hAnsi="Times New Roman"/>
          <w:b/>
          <w:sz w:val="28"/>
        </w:rPr>
        <w:t>Appendix G: Project Repository &amp; Reproduction Guide</w:t>
      </w:r>
    </w:p>
    <w:p>
      <w:pPr>
        <w:spacing w:before="0" w:after="50" w:line="276" w:lineRule="auto"/>
        <w:ind w:left="360" w:hanging="216"/>
      </w:pPr>
      <w:r>
        <w:rPr>
          <w:rFonts w:ascii="Arial" w:hAnsi="Arial"/>
          <w:b/>
          <w:color w:val="1F4E79"/>
          <w:sz w:val="20"/>
        </w:rPr>
        <w:t xml:space="preserve">• </w:t>
      </w:r>
      <w:r>
        <w:rPr>
          <w:rFonts w:ascii="Times New Roman" w:hAnsi="Times New Roman"/>
          <w:b/>
          <w:sz w:val="21"/>
        </w:rPr>
        <w:t>GitHub Repository</w:t>
      </w:r>
      <w:r>
        <w:rPr>
          <w:rFonts w:ascii="Times New Roman" w:hAnsi="Times New Roman"/>
          <w:sz w:val="21"/>
        </w:rPr>
        <w:t xml:space="preserve">: </w:t>
      </w:r>
      <w:hyperlink r:id="rId12">
        <w:r>
          <w:rPr>
            <w:color w:val="0563C1"/>
            <w:u w:val="single"/>
            <w:rFonts w:ascii="Times New Roman" w:hAnsi="Times New Roman"/>
            <w:sz w:val="21"/>
          </w:rPr>
          <w:t>https://github.com/wuqianzong/Team11_IT5006_Ecommerce_Analytics_AY2627Sem1</w:t>
        </w:r>
      </w:hyperlink>
    </w:p>
    <w:p>
      <w:pPr>
        <w:spacing w:before="0" w:after="50" w:line="276" w:lineRule="auto"/>
        <w:ind w:left="360" w:hanging="216"/>
      </w:pPr>
      <w:r>
        <w:rPr>
          <w:rFonts w:ascii="Arial" w:hAnsi="Arial"/>
          <w:b/>
          <w:color w:val="1F4E79"/>
          <w:sz w:val="20"/>
        </w:rPr>
        <w:t xml:space="preserve">• </w:t>
      </w:r>
      <w:r>
        <w:rPr>
          <w:rFonts w:ascii="Times New Roman" w:hAnsi="Times New Roman"/>
          <w:b/>
          <w:sz w:val="21"/>
        </w:rPr>
        <w:t>Milestone 2 Branch</w:t>
      </w:r>
      <w:r>
        <w:rPr>
          <w:rFonts w:ascii="Times New Roman" w:hAnsi="Times New Roman"/>
          <w:sz w:val="21"/>
        </w:rPr>
        <w:t xml:space="preserve">: </w:t>
      </w:r>
      <w:r>
        <w:rPr>
          <w:rFonts w:ascii="Consolas" w:hAnsi="Consolas"/>
          <w:color w:val="8A1E38"/>
          <w:sz w:val="20"/>
        </w:rPr>
        <w:t>milestone-2</w:t>
      </w:r>
    </w:p>
    <w:p>
      <w:pPr>
        <w:spacing w:before="0" w:after="50" w:line="276" w:lineRule="auto"/>
        <w:ind w:left="360" w:hanging="216"/>
      </w:pPr>
      <w:r>
        <w:rPr>
          <w:rFonts w:ascii="Arial" w:hAnsi="Arial"/>
          <w:b/>
          <w:color w:val="1F4E79"/>
          <w:sz w:val="20"/>
        </w:rPr>
        <w:t xml:space="preserve">• </w:t>
      </w:r>
      <w:r>
        <w:rPr>
          <w:rFonts w:ascii="Times New Roman" w:hAnsi="Times New Roman"/>
          <w:b/>
          <w:sz w:val="21"/>
        </w:rPr>
        <w:t>Canonical Artifacts Directory</w:t>
      </w:r>
      <w:r>
        <w:rPr>
          <w:rFonts w:ascii="Times New Roman" w:hAnsi="Times New Roman"/>
          <w:sz w:val="21"/>
        </w:rPr>
        <w:t xml:space="preserve">: </w:t>
      </w:r>
      <w:r>
        <w:rPr>
          <w:rFonts w:ascii="Consolas" w:hAnsi="Consolas"/>
          <w:color w:val="8A1E38"/>
          <w:sz w:val="20"/>
        </w:rPr>
        <w:t>artifacts/metrics/refinement-selected-v4/</w:t>
      </w:r>
      <w:r>
        <w:rPr>
          <w:rFonts w:ascii="Times New Roman" w:hAnsi="Times New Roman"/>
          <w:sz w:val="21"/>
        </w:rPr>
        <w:t xml:space="preserve"> (contains serialized bundles, SHA-256 manifests, holdout metrics CSVs, and subgroup breakdowns).</w:t>
      </w:r>
    </w:p>
    <w:p>
      <w:pPr>
        <w:pStyle w:val="Heading3"/>
      </w:pPr>
      <w:r>
        <w:rPr>
          <w:rFonts w:ascii="Times New Roman" w:hAnsi="Times New Roman"/>
          <w:b/>
          <w:sz w:val="23"/>
        </w:rPr>
        <w:t>Reproduction &amp; Verification Instructions:</w:t>
      </w:r>
    </w:p>
    <w:p>
      <w:pPr>
        <w:spacing w:before="0" w:after="50" w:line="276" w:lineRule="auto"/>
        <w:ind w:left="403" w:hanging="259"/>
      </w:pPr>
      <w:r>
        <w:rPr>
          <w:rFonts w:ascii="Times New Roman" w:hAnsi="Times New Roman"/>
          <w:b/>
          <w:color w:val="1F4E79"/>
          <w:sz w:val="21"/>
        </w:rPr>
        <w:t xml:space="preserve">1. </w:t>
      </w:r>
      <w:r>
        <w:rPr>
          <w:rFonts w:ascii="Times New Roman" w:hAnsi="Times New Roman"/>
          <w:b/>
          <w:sz w:val="21"/>
        </w:rPr>
        <w:t>Environment Setup</w:t>
      </w:r>
      <w:r>
        <w:rPr>
          <w:rFonts w:ascii="Times New Roman" w:hAnsi="Times New Roman"/>
          <w:sz w:val="21"/>
        </w:rPr>
        <w:t>:</w:t>
      </w:r>
    </w:p>
    <w:p>
      <w:pPr/>
      <w:r>
        <w:rPr>
          <w:rFonts w:ascii="Times New Roman" w:hAnsi="Times New Roman"/>
          <w:sz w:val="22"/>
        </w:rPr>
        <w:t>Clone the project repository and install dependencies:</w:t>
      </w:r>
    </w:p>
    <w:p>
      <w:pPr>
        <w:spacing w:before="80" w:after="120" w:line="252" w:lineRule="auto"/>
        <w:ind w:left="360" w:right="360"/>
      </w:pPr>
      <w:r>
        <w:rPr>
          <w:rFonts w:ascii="Consolas" w:hAnsi="Consolas"/>
          <w:color w:val="1F2937"/>
          <w:sz w:val="17"/>
        </w:rPr>
        <w:t xml:space="preserve">   git clone -b milestone-2 https://github.com/wuqianzong/Team11_IT5006_Ecommerce_Analytics_AY2627Sem1.git</w:t>
        <w:br/>
        <w:t xml:space="preserve">   cd Team11_IT5006_Ecommerce_Analytics_AY2627Sem1</w:t>
        <w:br/>
        <w:t xml:space="preserve">   pip install -r requirements.txt</w:t>
      </w:r>
    </w:p>
    <w:p>
      <w:pPr>
        <w:spacing w:before="0" w:after="50" w:line="276" w:lineRule="auto"/>
        <w:ind w:left="403" w:hanging="259"/>
      </w:pPr>
      <w:r>
        <w:rPr>
          <w:rFonts w:ascii="Times New Roman" w:hAnsi="Times New Roman"/>
          <w:b/>
          <w:color w:val="1F4E79"/>
          <w:sz w:val="21"/>
        </w:rPr>
        <w:t xml:space="preserve">2. </w:t>
      </w:r>
      <w:r>
        <w:rPr>
          <w:rFonts w:ascii="Times New Roman" w:hAnsi="Times New Roman"/>
          <w:b/>
          <w:sz w:val="21"/>
        </w:rPr>
        <w:t>Interactive Pipeline Walkthrough</w:t>
      </w:r>
      <w:r>
        <w:rPr>
          <w:rFonts w:ascii="Times New Roman" w:hAnsi="Times New Roman"/>
          <w:sz w:val="21"/>
        </w:rPr>
        <w:t>:</w:t>
      </w:r>
    </w:p>
    <w:p>
      <w:pPr/>
      <w:r>
        <w:rPr>
          <w:rFonts w:ascii="Times New Roman" w:hAnsi="Times New Roman"/>
          <w:sz w:val="22"/>
        </w:rPr>
        <w:t xml:space="preserve">Open and execute </w:t>
      </w:r>
      <w:r>
        <w:rPr>
          <w:rFonts w:ascii="Consolas" w:hAnsi="Consolas"/>
          <w:color w:val="8A1E38"/>
          <w:sz w:val="21"/>
        </w:rPr>
        <w:t>notebooks/09_refinement_cycle2_migration.ipynb</w:t>
      </w:r>
      <w:r>
        <w:rPr>
          <w:rFonts w:ascii="Times New Roman" w:hAnsi="Times New Roman"/>
          <w:sz w:val="22"/>
        </w:rPr>
        <w:t xml:space="preserve"> to step through the complete data pipeline, model training, train-val-test evaluation matrix, subgroup breakdowns, and live zero-fit scoring dashboard.</w:t>
      </w:r>
    </w:p>
    <w:p>
      <w:pPr>
        <w:spacing w:before="0" w:after="50" w:line="276" w:lineRule="auto"/>
        <w:ind w:left="403" w:hanging="259"/>
      </w:pPr>
      <w:r>
        <w:rPr>
          <w:rFonts w:ascii="Times New Roman" w:hAnsi="Times New Roman"/>
          <w:b/>
          <w:color w:val="1F4E79"/>
          <w:sz w:val="21"/>
        </w:rPr>
        <w:t xml:space="preserve">3. </w:t>
      </w:r>
      <w:r>
        <w:rPr>
          <w:rFonts w:ascii="Times New Roman" w:hAnsi="Times New Roman"/>
          <w:b/>
          <w:sz w:val="21"/>
        </w:rPr>
        <w:t>Automated Zero-Fit Terminal Verification</w:t>
      </w:r>
      <w:r>
        <w:rPr>
          <w:rFonts w:ascii="Times New Roman" w:hAnsi="Times New Roman"/>
          <w:sz w:val="21"/>
        </w:rPr>
        <w:t>:</w:t>
      </w:r>
    </w:p>
    <w:p>
      <w:pPr/>
      <w:r>
        <w:rPr>
          <w:rFonts w:ascii="Times New Roman" w:hAnsi="Times New Roman"/>
          <w:sz w:val="22"/>
        </w:rPr>
        <w:t>Execute the terminal scoring harness to independently evaluate the frozen production bundles against the unseen holdout cohort:</w:t>
      </w:r>
    </w:p>
    <w:p>
      <w:pPr>
        <w:spacing w:before="80" w:after="120" w:line="252" w:lineRule="auto"/>
        <w:ind w:left="360" w:right="360"/>
      </w:pPr>
      <w:r>
        <w:rPr>
          <w:rFonts w:ascii="Consolas" w:hAnsi="Consolas"/>
          <w:color w:val="1F2937"/>
          <w:sz w:val="17"/>
        </w:rPr>
        <w:t xml:space="preserve">   python -m src.models.refinement_selected_v4_terminal</w:t>
      </w:r>
    </w:p>
    <w:p>
      <w:pPr/>
      <w:r>
        <w:rPr>
          <w:rFonts w:ascii="Times New Roman" w:hAnsi="Times New Roman"/>
          <w:sz w:val="22"/>
        </w:rPr>
        <w:t>This script verifies bundle SHA-256 integrity digests, loads the terminal holdout partition (</w:t>
      </w:r>
      <w:r>
        <w:rPr>
          <w:rFonts w:ascii="Cambria Math" w:hAnsi="Cambria Math"/>
          <w:sz w:val="22"/>
        </w:rPr>
        <w:t>N=15,615</w:t>
      </w:r>
      <w:r>
        <w:rPr>
          <w:rFonts w:ascii="Times New Roman" w:hAnsi="Times New Roman"/>
          <w:sz w:val="22"/>
        </w:rPr>
        <w:t xml:space="preserve"> regression orders; </w:t>
      </w:r>
      <w:r>
        <w:rPr>
          <w:rFonts w:ascii="Cambria Math" w:hAnsi="Cambria Math"/>
          <w:sz w:val="22"/>
        </w:rPr>
        <w:t>N=15,769</w:t>
      </w:r>
      <w:r>
        <w:rPr>
          <w:rFonts w:ascii="Times New Roman" w:hAnsi="Times New Roman"/>
          <w:sz w:val="22"/>
        </w:rPr>
        <w:t xml:space="preserve"> classification orders), outputs all holdout metrics to </w:t>
      </w:r>
      <w:r>
        <w:rPr>
          <w:rFonts w:ascii="Consolas" w:hAnsi="Consolas"/>
          <w:color w:val="8A1E38"/>
          <w:sz w:val="21"/>
        </w:rPr>
        <w:t>artifacts/metrics/refinement-selected-v4/terminal/metrics.csv</w:t>
      </w:r>
      <w:r>
        <w:rPr>
          <w:rFonts w:ascii="Times New Roman" w:hAnsi="Times New Roman"/>
          <w:sz w:val="22"/>
        </w:rPr>
        <w:t xml:space="preserve">, generates the 79-slice error breakdown in </w:t>
      </w:r>
      <w:r>
        <w:rPr>
          <w:rFonts w:ascii="Consolas" w:hAnsi="Consolas"/>
          <w:color w:val="8A1E38"/>
          <w:sz w:val="21"/>
        </w:rPr>
        <w:t>subgroups.csv</w:t>
      </w:r>
      <w:r>
        <w:rPr>
          <w:rFonts w:ascii="Times New Roman" w:hAnsi="Times New Roman"/>
          <w:sz w:val="22"/>
        </w:rPr>
        <w:t>, and reproduces all 4-panel diagnostic curves without refitting model weights.</w:t>
      </w:r>
    </w:p>
    <w:sectPr w:rsidR="00FC693F" w:rsidRPr="0006063C" w:rsidSect="00034616">
      <w:headerReference w:type="default" r:id="rId9"/>
      <w:footerReference w:type="default" r:id="rId10"/>
      <w:footerReference w:type="first" r:id="rId11"/>
      <w:pgSz w:w="11909" w:h="16834"/>
      <w:pgMar w:top="1008" w:right="936" w:bottom="1008" w:left="936" w:header="576"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718096"/>
        <w:sz w:val="17"/>
      </w:rPr>
      <w:t>IT5006 Milestone 2 Technical Report | Team 11 (SmartCommerce Analytics)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before="0" w:after="80"/>
    </w:pPr>
    <w:rPr>
      <w:rFonts w:ascii="Times New Roman" w:hAnsi="Times New Roman" w:eastAsia="Times New Roman" w:cs="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line="276" w:lineRule="auto"/>
      <w:outlineLvl w:val="0"/>
    </w:pPr>
    <w:rPr>
      <w:rFonts w:ascii="Times New Roman" w:hAnsi="Times New Roman" w:eastAsia="Times New Roman" w:cs="Times New Roman"/>
      <w:b/>
      <w:bCs/>
      <w:color w:val="0F2A4A"/>
      <w:sz w:val="28"/>
      <w:szCs w:val="28"/>
    </w:rPr>
  </w:style>
  <w:style w:type="paragraph" w:styleId="Heading2">
    <w:name w:val="heading 2"/>
    <w:basedOn w:val="Normal"/>
    <w:next w:val="Normal"/>
    <w:link w:val="Heading2Char"/>
    <w:uiPriority w:val="9"/>
    <w:unhideWhenUsed/>
    <w:qFormat/>
    <w:rsid w:val="00FC693F"/>
    <w:pPr>
      <w:keepNext/>
      <w:keepLines/>
      <w:spacing w:before="240" w:after="80" w:line="276" w:lineRule="auto"/>
      <w:outlineLvl w:val="1"/>
    </w:pPr>
    <w:rPr>
      <w:rFonts w:ascii="Times New Roman" w:hAnsi="Times New Roman" w:eastAsia="Times New Roman" w:cs="Times New Roman"/>
      <w:b/>
      <w:bCs/>
      <w:color w:val="1E3A5F"/>
      <w:sz w:val="25"/>
      <w:szCs w:val="26"/>
    </w:rPr>
  </w:style>
  <w:style w:type="paragraph" w:styleId="Heading3">
    <w:name w:val="heading 3"/>
    <w:basedOn w:val="Normal"/>
    <w:next w:val="Normal"/>
    <w:link w:val="Heading3Char"/>
    <w:uiPriority w:val="9"/>
    <w:unhideWhenUsed/>
    <w:qFormat/>
    <w:rsid w:val="00FC693F"/>
    <w:pPr>
      <w:keepNext/>
      <w:keepLines/>
      <w:spacing w:before="180" w:after="60" w:line="276" w:lineRule="auto"/>
      <w:outlineLvl w:val="2"/>
    </w:pPr>
    <w:rPr>
      <w:rFonts w:ascii="Times New Roman" w:hAnsi="Times New Roman" w:eastAsia="Times New Roman" w:cs="Times New Roman"/>
      <w:b/>
      <w:bCs/>
      <w:color w:val="2D374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1A1A1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76" w:lineRule="auto" w:before="400"/>
      <w:contextualSpacing/>
    </w:pPr>
    <w:rPr>
      <w:rFonts w:ascii="Times New Roman" w:hAnsi="Times New Roman" w:eastAsia="Times New Roman" w:cs="Times New Roman"/>
      <w:b/>
      <w:color w:val="0F2A4A"/>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00"/>
    </w:pPr>
    <w:rPr>
      <w:rFonts w:ascii="Times New Roman" w:hAnsi="Times New Roman" w:eastAsia="Times New Roman" w:cs="Times New Roman"/>
      <w:i/>
      <w:iCs/>
      <w:color w:val="334155"/>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4" w:lineRule="auto" w:before="60" w:after="160"/>
    </w:pPr>
    <w:rPr>
      <w:rFonts w:ascii="Times New Roman" w:hAnsi="Times New Roman" w:eastAsia="Times New Roman" w:cs="Times New Roman"/>
      <w:b/>
      <w:bCs/>
      <w:color w:val="2B2B2B"/>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yperlink" Target="https://github.com/wuqianzong/Team11_IT5006_Ecommerce_Analytics_AY2627Sem1"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IT5006 Milestone 2 Final Technical &amp; Strategic Report</dc:title>
  <dc:subject>Order-Placement Fulfilment Lead Time and Detractor Risk Modeling</dc:subject>
  <dc:creator>Team 11 (SmartCommerce Analytics)</dc:creator>
  <cp:keywords/>
  <dc:description>Master compiled Word document containing all text, tables, formulas, and high-resolution charts.</dc:description>
  <cp:lastModifiedBy/>
  <cp:revision>1</cp:revision>
  <dcterms:created xsi:type="dcterms:W3CDTF">2013-12-23T23:15:00Z</dcterms:created>
  <dcterms:modified xsi:type="dcterms:W3CDTF">2013-12-23T23:15:00Z</dcterms:modified>
  <cp:category/>
</cp:coreProperties>
</file>