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mpact" w:hAnsi="Impact"/>
          <w:sz w:val="48"/>
        </w:rPr>
        <w:t>居中标题段 Impact 24pt</w:t>
      </w:r>
    </w:p>
    <w:p>
      <w:pPr>
        <w:jc w:val="right"/>
      </w:pPr>
      <w:r>
        <w:rPr>
          <w:rFonts w:ascii="KaiTi" w:hAnsi="KaiTi" w:eastAsia="楷体"/>
          <w:sz w:val="32"/>
        </w:rPr>
        <w:t>右对齐段 楷体 16pt</w:t>
      </w:r>
    </w:p>
    <w:p>
      <w:pPr>
        <w:jc w:val="both"/>
      </w:pPr>
      <w:r>
        <w:rPr>
          <w:sz w:val="22"/>
        </w:rPr>
        <w:t>两端对齐段,正文较长的文字以便观察 justify 效果是否保留下来,两端对齐段,正文较长的文字以便观察 justify 效果是否保留下来,两端对齐段,正文较长的文字以便观察 justify 效果是否保留下来,</w:t>
      </w:r>
    </w:p>
    <w:p>
      <w:r>
        <w:rPr>
          <w:b/>
          <w:color w:val="FF0000"/>
          <w:sz w:val="28"/>
        </w:rPr>
        <w:t xml:space="preserve">红色粗体 14pt </w:t>
      </w:r>
      <w:r>
        <w:rPr>
          <w:i/>
          <w:color w:val="0000FF"/>
          <w:sz w:val="24"/>
        </w:rPr>
        <w:t xml:space="preserve">蓝色斜体 12pt </w:t>
      </w:r>
      <w:r>
        <w:rPr>
          <w:u w:val="single"/>
        </w:rPr>
        <w:t xml:space="preserve">下划线文本 </w:t>
      </w:r>
      <w:r>
        <w:rPr>
          <w:strike/>
        </w:rPr>
        <w:t xml:space="preserve">删除线文本 </w:t>
      </w:r>
      <w:r>
        <w:rPr>
          <w:rFonts w:ascii="Courier New" w:hAnsi="Courier New"/>
          <w:sz w:val="20"/>
        </w:rPr>
        <w:t xml:space="preserve">Courier 10pt </w:t>
      </w:r>
      <w:r>
        <w:rPr>
          <w:sz w:val="56"/>
        </w:rPr>
        <w:t>巨大 28pt</w:t>
      </w:r>
    </w:p>
    <w:p>
      <w:pPr>
        <w:spacing w:line="360" w:lineRule="auto"/>
        <w:ind w:firstLine="640"/>
      </w:pPr>
      <w:r>
        <w:t>首行缩进 32pt、1.5 倍行距的段落。首行缩进 32pt、1.5 倍行距的段落。首行缩进 32pt、1.5 倍行距的段落。首行缩进 32pt、1.5 倍行距的段落。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表头0</w:t>
            </w:r>
          </w:p>
        </w:tc>
        <w:tc>
          <w:tcPr>
            <w:tcW w:type="dxa" w:w="2880"/>
          </w:tcPr>
          <w:p>
            <w:r>
              <w:t>表头1</w:t>
            </w:r>
          </w:p>
        </w:tc>
        <w:tc>
          <w:tcPr>
            <w:tcW w:type="dxa" w:w="2880"/>
          </w:tcPr>
          <w:p>
            <w:r>
              <w:t>表头2</w:t>
            </w:r>
          </w:p>
        </w:tc>
      </w:tr>
      <w:tr>
        <w:tc>
          <w:tcPr>
            <w:tcW w:type="dxa" w:w="2880"/>
          </w:tcPr>
          <w:p>
            <w:r>
              <w:t>数据0</w:t>
            </w:r>
          </w:p>
        </w:tc>
        <w:tc>
          <w:tcPr>
            <w:tcW w:type="dxa" w:w="2880"/>
          </w:tcPr>
          <w:p>
            <w:r>
              <w:t>数据1</w:t>
            </w:r>
          </w:p>
        </w:tc>
        <w:tc>
          <w:tcPr>
            <w:tcW w:type="dxa" w:w="2880"/>
          </w:tcPr>
          <w:p>
            <w:r>
              <w:t>数据2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