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标题层级 Heading 1</w:t>
      </w:r>
    </w:p>
    <w:p>
      <w:pPr>
        <w:pStyle w:val="Heading2"/>
      </w:pPr>
      <w:r>
        <w:t>标题层级 Heading 2</w:t>
      </w:r>
    </w:p>
    <w:p>
      <w:pPr>
        <w:pStyle w:val="Heading3"/>
      </w:pPr>
      <w:r>
        <w:t>标题层级 Heading 3</w:t>
      </w:r>
    </w:p>
    <w:p>
      <w:pPr>
        <w:pStyle w:val="Heading4"/>
      </w:pPr>
      <w:r>
        <w:t>标题层级 Heading 4</w:t>
      </w:r>
    </w:p>
    <w:p>
      <w:pPr>
        <w:jc w:val="left"/>
      </w:pPr>
      <w:r>
        <w:t>【左对齐(默认)】这段文字用于验证对齐方式的还原效果,长度足够观察。【左对齐(默认)】这段文字用于验证对齐方式的还原效果,长度足够观察。</w:t>
      </w:r>
    </w:p>
    <w:p>
      <w:pPr>
        <w:jc w:val="center"/>
      </w:pPr>
      <w:r>
        <w:t>【居中对齐】这段文字用于验证对齐方式的还原效果,长度足够观察。【居中对齐】这段文字用于验证对齐方式的还原效果,长度足够观察。</w:t>
      </w:r>
    </w:p>
    <w:p>
      <w:pPr>
        <w:jc w:val="right"/>
      </w:pPr>
      <w:r>
        <w:t>【右对齐】这段文字用于验证对齐方式的还原效果,长度足够观察。【右对齐】这段文字用于验证对齐方式的还原效果,长度足够观察。</w:t>
      </w:r>
    </w:p>
    <w:p>
      <w:pPr>
        <w:jc w:val="both"/>
      </w:pPr>
      <w:r>
        <w:t>【两端对齐】这段文字用于验证对齐方式的还原效果,长度足够观察。【两端对齐】这段文字用于验证对齐方式的还原效果,长度足够观察。</w:t>
      </w:r>
    </w:p>
    <w:p>
      <w:r>
        <w:rPr>
          <w:rFonts w:ascii="黑体" w:hAnsi="黑体" w:eastAsia="黑体"/>
          <w:sz w:val="36"/>
        </w:rPr>
        <w:t xml:space="preserve">黑体18pt </w:t>
      </w:r>
      <w:r>
        <w:rPr>
          <w:rFonts w:ascii="Georgia" w:hAnsi="Georgia"/>
          <w:sz w:val="28"/>
        </w:rPr>
        <w:t xml:space="preserve">Georgia14pt </w:t>
      </w:r>
      <w:r>
        <w:rPr>
          <w:color w:val="008800"/>
          <w:sz w:val="44"/>
        </w:rPr>
        <w:t xml:space="preserve">绿色22pt </w:t>
      </w:r>
    </w:p>
    <w:p>
      <w:r>
        <w:rPr>
          <w:b/>
        </w:rPr>
        <w:t xml:space="preserve">粗体 </w:t>
      </w:r>
      <w:r>
        <w:rPr>
          <w:i/>
        </w:rPr>
        <w:t xml:space="preserve">斜体 </w:t>
      </w:r>
      <w:r>
        <w:rPr>
          <w:u w:val="single"/>
        </w:rPr>
        <w:t xml:space="preserve">下划线 </w:t>
      </w:r>
      <w:r>
        <w:rPr>
          <w:strike/>
        </w:rPr>
        <w:t xml:space="preserve">删除线 </w:t>
      </w:r>
      <w:r>
        <w:rPr>
          <w:b/>
          <w:i/>
          <w:u w:val="single"/>
        </w:rPr>
        <w:t xml:space="preserve">粗斜下划 </w:t>
      </w:r>
      <w:r>
        <w:rPr>
          <w:vertAlign w:val="superscript"/>
        </w:rPr>
        <w:t xml:space="preserve">上标x2 </w:t>
      </w:r>
      <w:r>
        <w:rPr>
          <w:vertAlign w:val="subscript"/>
        </w:rPr>
        <w:t xml:space="preserve">下标h2 </w:t>
      </w:r>
    </w:p>
    <w:p>
      <w:pPr>
        <w:ind w:firstLine="720"/>
      </w:pPr>
      <w:r>
        <w:t>首行缩进36pt。首行缩进36pt。首行缩进36pt。</w:t>
      </w:r>
    </w:p>
    <w:p>
      <w:pPr>
        <w:spacing w:line="480" w:lineRule="auto"/>
        <w:ind w:left="960"/>
      </w:pPr>
      <w:r>
        <w:t>左缩进48pt + 2倍行距。左缩进48pt + 2倍行距。左缩进48pt + 2倍行距。</w:t>
      </w:r>
    </w:p>
    <w:p>
      <w:pPr>
        <w:pStyle w:val="ListBullet"/>
      </w:pPr>
      <w:r>
        <w:t>List Bullet 第1项</w:t>
      </w:r>
    </w:p>
    <w:p>
      <w:pPr>
        <w:pStyle w:val="ListBullet"/>
      </w:pPr>
      <w:r>
        <w:t>List Bullet 第2项</w:t>
      </w:r>
    </w:p>
    <w:p>
      <w:pPr>
        <w:pStyle w:val="ListBullet"/>
      </w:pPr>
      <w:r>
        <w:t>List Bullet 第3项</w:t>
      </w:r>
    </w:p>
    <w:p>
      <w:pPr>
        <w:pStyle w:val="ListNumber"/>
      </w:pPr>
      <w:r>
        <w:t>List Number 第1项</w:t>
      </w:r>
    </w:p>
    <w:p>
      <w:pPr>
        <w:pStyle w:val="ListNumber"/>
      </w:pPr>
      <w:r>
        <w:t>List Number 第2项</w:t>
      </w:r>
    </w:p>
    <w:p>
      <w:pPr>
        <w:pStyle w:val="ListNumber"/>
      </w:pPr>
      <w:r>
        <w:t>List Number 第3项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DEBF7"/>
          </w:tcPr>
          <w:p>
            <w:r>
              <w:t>表头0</w:t>
            </w:r>
          </w:p>
        </w:tc>
        <w:tc>
          <w:tcPr>
            <w:tcW w:type="dxa" w:w="2880"/>
            <w:shd w:val="clear" w:fill="DDEBF7"/>
          </w:tcPr>
          <w:p>
            <w:r>
              <w:t>表头1</w:t>
            </w:r>
          </w:p>
        </w:tc>
        <w:tc>
          <w:tcPr>
            <w:tcW w:type="dxa" w:w="2880"/>
            <w:shd w:val="clear" w:fill="DDEBF7"/>
          </w:tcPr>
          <w:p>
            <w:r>
              <w:t>表头2</w:t>
            </w:r>
          </w:p>
        </w:tc>
      </w:tr>
      <w:tr>
        <w:tc>
          <w:tcPr>
            <w:tcW w:type="dxa" w:w="5760"/>
            <w:gridSpan w:val="2"/>
          </w:tcPr>
          <w:p>
            <w:r>
              <w:t>横向合并(1,0)-(1,1)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vMerge w:val="restart"/>
          </w:tcPr>
          <w:p>
            <w:r>
              <w:t>数据2</w:t>
            </w:r>
          </w:p>
        </w:tc>
      </w:tr>
      <w:tr>
        <w:tc>
          <w:tcPr>
            <w:tcW w:type="dxa" w:w="2880"/>
          </w:tcPr>
          <w:p>
            <w:r>
              <w:t>数据0</w:t>
            </w:r>
          </w:p>
        </w:tc>
        <w:tc>
          <w:tcPr>
            <w:tcW w:type="dxa" w:w="2880"/>
          </w:tcPr>
          <w:p>
            <w:r>
              <w:t>数据1</w:t>
            </w:r>
          </w:p>
        </w:tc>
        <w:tc>
          <w:tcPr>
            <w:tcW w:type="dxa" w:w="2880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