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DEF" w:rsidRDefault="000F6DEF"/>
    <w:p w:rsidR="000F6DEF" w:rsidRDefault="000F6DEF" w:rsidP="000F6DEF">
      <w:pPr>
        <w:spacing w:after="0" w:line="360" w:lineRule="auto"/>
      </w:pPr>
      <w:r>
        <w:t xml:space="preserve">Podłączenia (uwzględnione kolorki kabelków </w:t>
      </w:r>
      <w:r>
        <w:sym w:font="Wingdings" w:char="F04A"/>
      </w:r>
      <w:r>
        <w:t>):</w:t>
      </w:r>
    </w:p>
    <w:p w:rsidR="000F6DEF" w:rsidRDefault="000F6DEF" w:rsidP="000F6DEF">
      <w:pPr>
        <w:spacing w:after="0" w:line="360" w:lineRule="auto"/>
      </w:pPr>
      <w:r>
        <w:t>TX (SPI2):</w:t>
      </w:r>
    </w:p>
    <w:p w:rsidR="000F6DEF" w:rsidRDefault="000F6DEF" w:rsidP="000F6DEF">
      <w:pPr>
        <w:spacing w:after="0" w:line="360" w:lineRule="auto"/>
      </w:pPr>
      <w:r>
        <w:t>CE</w:t>
      </w:r>
      <w:r>
        <w:tab/>
      </w:r>
      <w:r>
        <w:tab/>
        <w:t>D2</w:t>
      </w:r>
    </w:p>
    <w:p w:rsidR="000F6DEF" w:rsidRPr="000F6DEF" w:rsidRDefault="000F6DEF" w:rsidP="000F6DEF">
      <w:pPr>
        <w:spacing w:after="0" w:line="360" w:lineRule="auto"/>
        <w:rPr>
          <w:color w:val="984806" w:themeColor="accent6" w:themeShade="80"/>
          <w:lang w:val="en-US"/>
        </w:rPr>
      </w:pPr>
      <w:r w:rsidRPr="000F6DEF">
        <w:rPr>
          <w:color w:val="984806" w:themeColor="accent6" w:themeShade="80"/>
          <w:lang w:val="en-US"/>
        </w:rPr>
        <w:t>CSN</w:t>
      </w:r>
      <w:r w:rsidRPr="000F6DEF">
        <w:rPr>
          <w:color w:val="984806" w:themeColor="accent6" w:themeShade="80"/>
          <w:lang w:val="en-US"/>
        </w:rPr>
        <w:tab/>
      </w:r>
      <w:r w:rsidRPr="000F6DEF">
        <w:rPr>
          <w:color w:val="984806" w:themeColor="accent6" w:themeShade="80"/>
          <w:lang w:val="en-US"/>
        </w:rPr>
        <w:tab/>
        <w:t>B12</w:t>
      </w:r>
    </w:p>
    <w:p w:rsidR="000F6DEF" w:rsidRPr="000F6DEF" w:rsidRDefault="000F6DEF" w:rsidP="000F6DEF">
      <w:pPr>
        <w:spacing w:after="0" w:line="360" w:lineRule="auto"/>
        <w:rPr>
          <w:color w:val="00B050"/>
          <w:lang w:val="en-US"/>
        </w:rPr>
      </w:pPr>
      <w:r w:rsidRPr="000F6DEF">
        <w:rPr>
          <w:color w:val="00B050"/>
          <w:lang w:val="en-US"/>
        </w:rPr>
        <w:t>MISO</w:t>
      </w:r>
      <w:r w:rsidRPr="000F6DEF">
        <w:rPr>
          <w:color w:val="00B050"/>
          <w:lang w:val="en-US"/>
        </w:rPr>
        <w:tab/>
      </w:r>
      <w:r w:rsidRPr="000F6DEF">
        <w:rPr>
          <w:color w:val="00B050"/>
          <w:lang w:val="en-US"/>
        </w:rPr>
        <w:tab/>
        <w:t>B14</w:t>
      </w:r>
    </w:p>
    <w:p w:rsidR="000F6DEF" w:rsidRPr="000F6DEF" w:rsidRDefault="000F6DEF" w:rsidP="000F6DEF">
      <w:pPr>
        <w:spacing w:after="0" w:line="360" w:lineRule="auto"/>
        <w:rPr>
          <w:color w:val="F2F2F2" w:themeColor="background1" w:themeShade="F2"/>
          <w:highlight w:val="blue"/>
          <w:lang w:val="en-US"/>
        </w:rPr>
      </w:pPr>
      <w:r w:rsidRPr="000F6DEF">
        <w:rPr>
          <w:color w:val="F2F2F2" w:themeColor="background1" w:themeShade="F2"/>
          <w:highlight w:val="blue"/>
          <w:lang w:val="en-US"/>
        </w:rPr>
        <w:t>MOSI</w:t>
      </w:r>
      <w:r w:rsidRPr="000F6DEF">
        <w:rPr>
          <w:color w:val="F2F2F2" w:themeColor="background1" w:themeShade="F2"/>
          <w:highlight w:val="blue"/>
          <w:lang w:val="en-US"/>
        </w:rPr>
        <w:tab/>
      </w:r>
      <w:r w:rsidRPr="000F6DEF">
        <w:rPr>
          <w:color w:val="F2F2F2" w:themeColor="background1" w:themeShade="F2"/>
          <w:highlight w:val="blue"/>
          <w:lang w:val="en-US"/>
        </w:rPr>
        <w:tab/>
        <w:t>B15</w:t>
      </w:r>
    </w:p>
    <w:p w:rsidR="000F6DEF" w:rsidRPr="000F6DEF" w:rsidRDefault="000F6DEF" w:rsidP="000F6DEF">
      <w:pPr>
        <w:spacing w:after="0" w:line="360" w:lineRule="auto"/>
        <w:rPr>
          <w:color w:val="7030A0"/>
          <w:lang w:val="en-US"/>
        </w:rPr>
      </w:pPr>
      <w:r w:rsidRPr="000F6DEF">
        <w:rPr>
          <w:color w:val="7030A0"/>
          <w:lang w:val="en-US"/>
        </w:rPr>
        <w:t>SCK</w:t>
      </w:r>
      <w:r w:rsidRPr="000F6DEF">
        <w:rPr>
          <w:color w:val="7030A0"/>
          <w:lang w:val="en-US"/>
        </w:rPr>
        <w:tab/>
      </w:r>
      <w:r w:rsidRPr="000F6DEF">
        <w:rPr>
          <w:color w:val="7030A0"/>
          <w:lang w:val="en-US"/>
        </w:rPr>
        <w:tab/>
        <w:t>B13</w:t>
      </w:r>
    </w:p>
    <w:p w:rsidR="000F6DEF" w:rsidRDefault="000F6DEF" w:rsidP="000F6DEF">
      <w:pPr>
        <w:spacing w:after="0" w:line="360" w:lineRule="auto"/>
        <w:rPr>
          <w:lang w:val="en-US"/>
        </w:rPr>
      </w:pPr>
    </w:p>
    <w:p w:rsidR="000F6DEF" w:rsidRDefault="000F6DEF" w:rsidP="000F6DEF">
      <w:pPr>
        <w:spacing w:after="0" w:line="360" w:lineRule="auto"/>
        <w:rPr>
          <w:lang w:val="en-US"/>
        </w:rPr>
      </w:pPr>
      <w:r>
        <w:rPr>
          <w:lang w:val="en-US"/>
        </w:rPr>
        <w:t>RX (SPI1)</w:t>
      </w:r>
    </w:p>
    <w:p w:rsidR="000F6DEF" w:rsidRPr="000F6DEF" w:rsidRDefault="000F6DEF" w:rsidP="000F6DEF">
      <w:pPr>
        <w:spacing w:after="0" w:line="360" w:lineRule="auto"/>
        <w:rPr>
          <w:lang w:val="en-US"/>
        </w:rPr>
      </w:pPr>
      <w:r>
        <w:rPr>
          <w:lang w:val="en-US"/>
        </w:rPr>
        <w:t>CE</w:t>
      </w:r>
      <w:r>
        <w:rPr>
          <w:lang w:val="en-US"/>
        </w:rPr>
        <w:tab/>
      </w:r>
      <w:r>
        <w:rPr>
          <w:lang w:val="en-US"/>
        </w:rPr>
        <w:tab/>
        <w:t>D3</w:t>
      </w:r>
    </w:p>
    <w:p w:rsidR="000F6DEF" w:rsidRPr="000F6DEF" w:rsidRDefault="000F6DEF" w:rsidP="000F6DEF">
      <w:pPr>
        <w:spacing w:after="0" w:line="360" w:lineRule="auto"/>
        <w:rPr>
          <w:color w:val="984806" w:themeColor="accent6" w:themeShade="80"/>
          <w:lang w:val="en-US"/>
        </w:rPr>
      </w:pPr>
      <w:r w:rsidRPr="000F6DEF">
        <w:rPr>
          <w:color w:val="984806" w:themeColor="accent6" w:themeShade="80"/>
          <w:lang w:val="en-US"/>
        </w:rPr>
        <w:t>CSN</w:t>
      </w:r>
      <w:r w:rsidRPr="000F6DEF">
        <w:rPr>
          <w:color w:val="984806" w:themeColor="accent6" w:themeShade="80"/>
          <w:lang w:val="en-US"/>
        </w:rPr>
        <w:tab/>
      </w:r>
      <w:r w:rsidRPr="000F6DEF">
        <w:rPr>
          <w:color w:val="984806" w:themeColor="accent6" w:themeShade="80"/>
          <w:lang w:val="en-US"/>
        </w:rPr>
        <w:tab/>
        <w:t>A4</w:t>
      </w:r>
    </w:p>
    <w:p w:rsidR="000F6DEF" w:rsidRPr="000F6DEF" w:rsidRDefault="000F6DEF" w:rsidP="000F6DEF">
      <w:pPr>
        <w:spacing w:after="0" w:line="360" w:lineRule="auto"/>
        <w:rPr>
          <w:color w:val="00B050"/>
          <w:lang w:val="en-US"/>
        </w:rPr>
      </w:pPr>
      <w:r w:rsidRPr="000F6DEF">
        <w:rPr>
          <w:color w:val="00B050"/>
          <w:lang w:val="en-US"/>
        </w:rPr>
        <w:t>MISO</w:t>
      </w:r>
      <w:r w:rsidRPr="000F6DEF">
        <w:rPr>
          <w:color w:val="00B050"/>
          <w:lang w:val="en-US"/>
        </w:rPr>
        <w:tab/>
      </w:r>
      <w:r w:rsidRPr="000F6DEF">
        <w:rPr>
          <w:color w:val="00B050"/>
          <w:lang w:val="en-US"/>
        </w:rPr>
        <w:tab/>
        <w:t>A6</w:t>
      </w:r>
    </w:p>
    <w:p w:rsidR="000F6DEF" w:rsidRPr="000F6DEF" w:rsidRDefault="000F6DEF" w:rsidP="000F6DEF">
      <w:pPr>
        <w:spacing w:after="0" w:line="360" w:lineRule="auto"/>
        <w:rPr>
          <w:color w:val="F2F2F2" w:themeColor="background1" w:themeShade="F2"/>
          <w:highlight w:val="blue"/>
          <w:lang w:val="en-US"/>
        </w:rPr>
      </w:pPr>
      <w:r w:rsidRPr="000F6DEF">
        <w:rPr>
          <w:color w:val="F2F2F2" w:themeColor="background1" w:themeShade="F2"/>
          <w:highlight w:val="blue"/>
          <w:lang w:val="en-US"/>
        </w:rPr>
        <w:t>MOSI</w:t>
      </w:r>
      <w:r w:rsidRPr="000F6DEF">
        <w:rPr>
          <w:color w:val="F2F2F2" w:themeColor="background1" w:themeShade="F2"/>
          <w:highlight w:val="blue"/>
          <w:lang w:val="en-US"/>
        </w:rPr>
        <w:tab/>
      </w:r>
      <w:r w:rsidRPr="000F6DEF">
        <w:rPr>
          <w:color w:val="F2F2F2" w:themeColor="background1" w:themeShade="F2"/>
          <w:highlight w:val="blue"/>
          <w:lang w:val="en-US"/>
        </w:rPr>
        <w:tab/>
        <w:t>A7</w:t>
      </w:r>
    </w:p>
    <w:p w:rsidR="000F6DEF" w:rsidRPr="000F6DEF" w:rsidRDefault="000F6DEF" w:rsidP="000F6DEF">
      <w:pPr>
        <w:spacing w:after="0" w:line="360" w:lineRule="auto"/>
        <w:rPr>
          <w:color w:val="FFFF00"/>
          <w:lang w:val="en-US"/>
        </w:rPr>
      </w:pPr>
      <w:r w:rsidRPr="000F6DEF">
        <w:rPr>
          <w:color w:val="FFFF00"/>
          <w:lang w:val="en-US"/>
        </w:rPr>
        <w:t>SCK</w:t>
      </w:r>
      <w:r w:rsidRPr="000F6DEF">
        <w:rPr>
          <w:color w:val="FFFF00"/>
          <w:lang w:val="en-US"/>
        </w:rPr>
        <w:tab/>
      </w:r>
      <w:r w:rsidRPr="000F6DEF">
        <w:rPr>
          <w:color w:val="FFFF00"/>
          <w:lang w:val="en-US"/>
        </w:rPr>
        <w:tab/>
        <w:t>A5</w:t>
      </w:r>
    </w:p>
    <w:p w:rsidR="000F6DEF" w:rsidRDefault="000F6DEF" w:rsidP="000F6DEF">
      <w:pPr>
        <w:spacing w:after="0" w:line="360" w:lineRule="auto"/>
        <w:rPr>
          <w:lang w:val="en-US"/>
        </w:rPr>
      </w:pPr>
    </w:p>
    <w:p w:rsidR="000F6DEF" w:rsidRPr="000F6DEF" w:rsidRDefault="000F6DEF" w:rsidP="000F6DEF">
      <w:pPr>
        <w:spacing w:after="0" w:line="360" w:lineRule="auto"/>
      </w:pPr>
      <w:r w:rsidRPr="000F6DEF">
        <w:t>Kilka słów o obsłudze modułu bezprzewodowego:</w:t>
      </w:r>
    </w:p>
    <w:p w:rsidR="000F6DEF" w:rsidRDefault="000F6DEF" w:rsidP="000F6DEF">
      <w:pPr>
        <w:pStyle w:val="Akapitzlist"/>
        <w:numPr>
          <w:ilvl w:val="0"/>
          <w:numId w:val="1"/>
        </w:numPr>
        <w:spacing w:after="0" w:line="360" w:lineRule="auto"/>
      </w:pPr>
      <w:r>
        <w:t xml:space="preserve">Komunikacja po SPI, w dokumentacji wyspecyfikowane komendy. W trakcie wysyłania komendy przez MOSI, na linii MISO pojawia się automatycznie rejestr statusu </w:t>
      </w:r>
      <w:proofErr w:type="spellStart"/>
      <w:r>
        <w:t>NRFa</w:t>
      </w:r>
      <w:proofErr w:type="spellEnd"/>
      <w:r>
        <w:t xml:space="preserve"> (w dokumentacji szukaj STATUS) – pomocne przy podglądaniu analizatorem w jakim stanie znajduje się układ. Odczytu rejestru dokonuje się poprzez wysłanie odpowiedniej komendy odczytu oraz następnie jednego </w:t>
      </w:r>
      <w:proofErr w:type="spellStart"/>
      <w:r>
        <w:t>bajtu</w:t>
      </w:r>
      <w:proofErr w:type="spellEnd"/>
      <w:r>
        <w:t xml:space="preserve"> równego 0 – w tym czasie na linii MISO pojawi się zawartość odczytywanego rejestru.</w:t>
      </w:r>
      <w:r w:rsidR="002440BC">
        <w:t xml:space="preserve"> Komendy typu czytaj/pisz tworzy się poprzez zlepienie komendy danego rejestru z odpowiednim bitem mówiącym o typie transakcji (W/R) – patrz </w:t>
      </w:r>
      <w:proofErr w:type="spellStart"/>
      <w:r w:rsidR="002440BC">
        <w:t>NRF_GetCommand</w:t>
      </w:r>
      <w:proofErr w:type="spellEnd"/>
      <w:r w:rsidR="002440BC">
        <w:t>.</w:t>
      </w:r>
    </w:p>
    <w:p w:rsidR="002440BC" w:rsidRDefault="002440BC" w:rsidP="000F6DEF">
      <w:pPr>
        <w:pStyle w:val="Akapitzlist"/>
        <w:numPr>
          <w:ilvl w:val="0"/>
          <w:numId w:val="1"/>
        </w:numPr>
        <w:spacing w:after="0" w:line="360" w:lineRule="auto"/>
      </w:pPr>
      <w:r>
        <w:t>Linia CE – stan niski na tej linii powoduje przejście układu NRF do stanu standy. W tym też tylko stanie można komunikować się z układem po SPI. Gdy stan tej linii jest wysoko, układ jest albo w trybie RX albo TX (opcjonalnie standy-II).</w:t>
      </w:r>
    </w:p>
    <w:p w:rsidR="000F6DEF" w:rsidRPr="000F6DEF" w:rsidRDefault="002440BC" w:rsidP="000F6DEF">
      <w:pPr>
        <w:pStyle w:val="Akapitzlist"/>
        <w:numPr>
          <w:ilvl w:val="0"/>
          <w:numId w:val="1"/>
        </w:numPr>
        <w:spacing w:after="0" w:line="360" w:lineRule="auto"/>
      </w:pPr>
      <w:r>
        <w:t xml:space="preserve">Rejestr statusu układu informuje o stanie transmisji bezprzewodowej – są tam odpowiednie flagi sygnalizujące wysłanie pakietu, odbiór pakietu oraz przekroczenie zdefiniowanej liczby retransmisji. </w:t>
      </w:r>
    </w:p>
    <w:p w:rsidR="000F6DEF" w:rsidRPr="000F6DEF" w:rsidRDefault="000F6DEF"/>
    <w:sectPr w:rsidR="000F6DEF" w:rsidRPr="000F6DEF" w:rsidSect="00FE0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E4351"/>
    <w:multiLevelType w:val="hybridMultilevel"/>
    <w:tmpl w:val="7876C5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0F6DEF"/>
    <w:rsid w:val="000F6DEF"/>
    <w:rsid w:val="001F73FB"/>
    <w:rsid w:val="002440BC"/>
    <w:rsid w:val="005B1500"/>
    <w:rsid w:val="00AA781F"/>
    <w:rsid w:val="00AB69FE"/>
    <w:rsid w:val="00FE0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E0CD3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F6D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Gosia</dc:creator>
  <cp:lastModifiedBy>Gosia</cp:lastModifiedBy>
  <cp:revision>1</cp:revision>
  <dcterms:created xsi:type="dcterms:W3CDTF">2014-11-08T00:12:00Z</dcterms:created>
  <dcterms:modified xsi:type="dcterms:W3CDTF">2014-11-08T00:31:00Z</dcterms:modified>
</cp:coreProperties>
</file>