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7BD76" w14:textId="159AD0BC" w:rsidR="00A53C99" w:rsidRDefault="00F64ED9" w:rsidP="00236C99">
      <w:pPr>
        <w:spacing w:after="200"/>
        <w:rPr>
          <w:rFonts w:ascii="Times" w:eastAsia="Microsoft Yi Baiti" w:hAnsi="Times" w:cs="Arial"/>
        </w:rPr>
      </w:pPr>
      <w:r>
        <w:rPr>
          <w:rFonts w:ascii="Times" w:eastAsia="Microsoft Yi Baiti" w:hAnsi="Times" w:cs="Arial"/>
          <w:b/>
          <w:sz w:val="32"/>
        </w:rPr>
        <w:t xml:space="preserve">Supplementary </w:t>
      </w:r>
      <w:r w:rsidR="00A53C99" w:rsidRPr="00F1264D">
        <w:rPr>
          <w:rFonts w:ascii="Times" w:eastAsia="Microsoft Yi Baiti" w:hAnsi="Times" w:cs="Arial"/>
          <w:b/>
          <w:sz w:val="32"/>
        </w:rPr>
        <w:t>Methods</w:t>
      </w:r>
    </w:p>
    <w:p w14:paraId="2DDC3262" w14:textId="77777777" w:rsidR="00A53C99" w:rsidRPr="00F1264D" w:rsidRDefault="00A53C99" w:rsidP="005005AC">
      <w:pPr>
        <w:spacing w:line="276" w:lineRule="auto"/>
        <w:outlineLvl w:val="0"/>
        <w:rPr>
          <w:rFonts w:ascii="Times" w:eastAsia="Microsoft Yi Baiti" w:hAnsi="Times" w:cs="Arial"/>
          <w:szCs w:val="24"/>
        </w:rPr>
      </w:pPr>
      <w:r w:rsidRPr="00F1264D">
        <w:rPr>
          <w:rFonts w:ascii="Times" w:eastAsia="Microsoft Yi Baiti" w:hAnsi="Times" w:cs="Arial"/>
          <w:b/>
          <w:szCs w:val="24"/>
        </w:rPr>
        <w:t xml:space="preserve">RNA extraction and </w:t>
      </w:r>
      <w:proofErr w:type="spellStart"/>
      <w:r w:rsidRPr="00F1264D">
        <w:rPr>
          <w:rFonts w:ascii="Times" w:eastAsia="Microsoft Yi Baiti" w:hAnsi="Times" w:cs="Arial"/>
          <w:b/>
          <w:szCs w:val="24"/>
        </w:rPr>
        <w:t>cDNA</w:t>
      </w:r>
      <w:proofErr w:type="spellEnd"/>
      <w:r w:rsidRPr="00F1264D">
        <w:rPr>
          <w:rFonts w:ascii="Times" w:eastAsia="Microsoft Yi Baiti" w:hAnsi="Times" w:cs="Arial"/>
          <w:b/>
          <w:szCs w:val="24"/>
        </w:rPr>
        <w:t xml:space="preserve"> hybridization</w:t>
      </w:r>
    </w:p>
    <w:p w14:paraId="73859D42" w14:textId="40E0D02B" w:rsidR="00A53C99" w:rsidRPr="00F1264D" w:rsidRDefault="00A53C99" w:rsidP="005005AC">
      <w:pPr>
        <w:spacing w:line="276" w:lineRule="auto"/>
        <w:jc w:val="both"/>
        <w:rPr>
          <w:rFonts w:ascii="Times" w:eastAsia="Microsoft Yi Baiti" w:hAnsi="Times" w:cs="Arial"/>
          <w:szCs w:val="24"/>
        </w:rPr>
      </w:pPr>
      <w:r w:rsidRPr="00F1264D">
        <w:rPr>
          <w:rFonts w:ascii="Times" w:eastAsia="Microsoft Yi Baiti" w:hAnsi="Times" w:cs="Arial"/>
          <w:szCs w:val="24"/>
        </w:rPr>
        <w:t>All samples were homogenized in 600 µl of RLT buffer (</w:t>
      </w:r>
      <w:proofErr w:type="spellStart"/>
      <w:r w:rsidRPr="00F1264D">
        <w:rPr>
          <w:rFonts w:ascii="Times" w:eastAsia="Microsoft Yi Baiti" w:hAnsi="Times" w:cs="Arial"/>
          <w:szCs w:val="24"/>
        </w:rPr>
        <w:t>Qiagen</w:t>
      </w:r>
      <w:proofErr w:type="spellEnd"/>
      <w:r w:rsidRPr="00F1264D">
        <w:rPr>
          <w:rFonts w:ascii="Times" w:eastAsia="Microsoft Yi Baiti" w:hAnsi="Times" w:cs="Arial"/>
          <w:szCs w:val="24"/>
        </w:rPr>
        <w:t xml:space="preserve"> </w:t>
      </w:r>
      <w:proofErr w:type="spellStart"/>
      <w:r w:rsidRPr="00F1264D">
        <w:rPr>
          <w:rFonts w:ascii="Times" w:eastAsia="Microsoft Yi Baiti" w:hAnsi="Times" w:cs="Arial"/>
          <w:szCs w:val="24"/>
        </w:rPr>
        <w:t>RNeasy</w:t>
      </w:r>
      <w:proofErr w:type="spellEnd"/>
      <w:r w:rsidRPr="00F1264D">
        <w:rPr>
          <w:rFonts w:ascii="Times" w:eastAsia="Microsoft Yi Baiti" w:hAnsi="Times" w:cs="Arial"/>
          <w:szCs w:val="24"/>
        </w:rPr>
        <w:t xml:space="preserve">). RNA samples, with the exception of those from adult males, were precipitated in 50% ethanol before being processed according to the </w:t>
      </w:r>
      <w:proofErr w:type="spellStart"/>
      <w:r w:rsidRPr="00F1264D">
        <w:rPr>
          <w:rFonts w:ascii="Times" w:eastAsia="Microsoft Yi Baiti" w:hAnsi="Times" w:cs="Arial"/>
          <w:szCs w:val="24"/>
        </w:rPr>
        <w:t>RNeasy</w:t>
      </w:r>
      <w:proofErr w:type="spellEnd"/>
      <w:r w:rsidRPr="00F1264D">
        <w:rPr>
          <w:rFonts w:ascii="Times" w:eastAsia="Microsoft Yi Baiti" w:hAnsi="Times" w:cs="Arial"/>
          <w:szCs w:val="24"/>
        </w:rPr>
        <w:t xml:space="preserve"> protocol. Because some unknown components in the adult male cuticle inhibited binding of RNA to the </w:t>
      </w:r>
      <w:proofErr w:type="spellStart"/>
      <w:r w:rsidRPr="00F1264D">
        <w:rPr>
          <w:rFonts w:ascii="Times" w:eastAsia="Microsoft Yi Baiti" w:hAnsi="Times" w:cs="Arial"/>
          <w:szCs w:val="24"/>
        </w:rPr>
        <w:t>Qiagen</w:t>
      </w:r>
      <w:proofErr w:type="spellEnd"/>
      <w:r w:rsidRPr="00F1264D">
        <w:rPr>
          <w:rFonts w:ascii="Times" w:eastAsia="Microsoft Yi Baiti" w:hAnsi="Times" w:cs="Arial"/>
          <w:szCs w:val="24"/>
        </w:rPr>
        <w:t xml:space="preserve"> columns, we precipitated total RNA from the RLT buffer with isopropanol overnight before dissolving the RNA pellets in 1 ml of </w:t>
      </w:r>
      <w:proofErr w:type="spellStart"/>
      <w:r w:rsidRPr="00F1264D">
        <w:rPr>
          <w:rFonts w:ascii="Times" w:eastAsia="Microsoft Yi Baiti" w:hAnsi="Times" w:cs="Arial"/>
          <w:szCs w:val="24"/>
        </w:rPr>
        <w:t>TRIzol</w:t>
      </w:r>
      <w:proofErr w:type="spellEnd"/>
      <w:r w:rsidRPr="00F1264D">
        <w:rPr>
          <w:rFonts w:ascii="Times" w:eastAsia="Microsoft Yi Baiti" w:hAnsi="Times" w:cs="Arial"/>
          <w:szCs w:val="24"/>
        </w:rPr>
        <w:t xml:space="preserve">® reagent, following the manufacturer’s instructions. For all samples, we used the Turbo DNA-free kit (Life Technologies) to remove residual DNA from the total isolated RNA. Finally, we amplified the mRNA ~10-100 fold and hybridized it to our </w:t>
      </w:r>
      <w:proofErr w:type="spellStart"/>
      <w:r w:rsidRPr="00F1264D">
        <w:rPr>
          <w:rFonts w:ascii="Times" w:eastAsia="Microsoft Yi Baiti" w:hAnsi="Times" w:cs="Arial"/>
          <w:szCs w:val="24"/>
        </w:rPr>
        <w:t>cDNA</w:t>
      </w:r>
      <w:proofErr w:type="spellEnd"/>
      <w:r w:rsidRPr="00F1264D">
        <w:rPr>
          <w:rFonts w:ascii="Times" w:eastAsia="Microsoft Yi Baiti" w:hAnsi="Times" w:cs="Arial"/>
          <w:szCs w:val="24"/>
        </w:rPr>
        <w:t xml:space="preserve"> microarrays as described in </w:t>
      </w:r>
      <w:r w:rsidRPr="00F1264D">
        <w:rPr>
          <w:rFonts w:ascii="Times" w:eastAsia="Microsoft Yi Baiti" w:hAnsi="Times" w:cs="Arial"/>
          <w:color w:val="E36C0A"/>
          <w:szCs w:val="24"/>
        </w:rPr>
        <w:fldChar w:fldCharType="begin" w:fldLock="1"/>
      </w:r>
      <w:r w:rsidR="00236C99">
        <w:rPr>
          <w:rFonts w:ascii="Times" w:eastAsia="Microsoft Yi Baiti" w:hAnsi="Times" w:cs="Arial"/>
          <w:color w:val="E36C0A"/>
          <w:szCs w:val="24"/>
        </w:rPr>
        <w:instrText>ADDIN CSL_CITATION { "citationItems" : [ { "id" : "ITEM-1", "itemData" : { "DOI" : "10.1093/molbev/msq322", "ISSN" : "1537-1719", "PMID" : "21172833", "abstract" : "Ants provide remarkable examples of equivalent genotypes developing into divergent and discrete phenotypes. Diploid eggs can develop either into queens, which specialize in reproduction, or workers, which participate in cooperative tasks such as building the nest, collecting food, and rearing the young. In contrast, the differentiation between males and females generally depends upon whether eggs are fertilized, with fertilized (diploid) eggs giving rise to females and unfertilized (haploid) eggs giving rise to males. To obtain a comprehensive picture of the relative contributions of gender (sex), caste, developmental stage, and species divergence to gene expression evolution, we investigated gene expression patterns in pupal and adult queens, workers, and males of two species of fire ants, Solenopsis invicta and S. richteri. Microarray hybridizations revealed that variation in gene expression profiles is influenced more by developmental stage than by caste membership, sex, or species identity. The second major contributor to variation in gene expression was the combination of sex and caste. Although workers and queens share equivalent diploid nuclear genomes, they have highly distinctive patterns of gene expression in both the pupal and the adult stages, as might be expected given their extraordinary level of phenotypic differentiation. Overall, the difference in the proportion of differentially expressed genes was greater between workers and males than between workers and queens or queens and males, consistent with the fact that workers and males share neither gender nor reproductive capability. Moreover, between-species comparisons revealed that the greatest difference in gene expression patterns occurred in adult workers, a finding consistent with the fact that adult workers most directly experience the distinct external environments characterizing the different habitats occupied by the two species. Thus, much of the evolution of gene expression in ants may occur in the worker caste, despite the fact that these individuals are largely or completely sterile. Analyses of gene expression evolution revealed a combination of positive selection and relaxation of stabilizing selection as important factors driving the evolution of such genes.", "author" : [ { "dropping-particle" : "", "family" : "Ometto", "given" : "Lino", "non-dropping-particle" : "", "parse-names" : false, "suffix" : "" }, { "dropping-particle" : "", "family" : "Shoemaker", "given" : "DeWayne", "non-dropping-particle" : "", "parse-names" : false, "suffix" : "" }, { "dropping-particle" : "", "family" : "Ross", "given" : "Kenneth G", "non-dropping-particle" : "", "parse-names" : false, "suffix" : "" }, { "dropping-particle" : "", "family" : "Keller", "given" : "Laurent", "non-dropping-particle" : "", "parse-names" : false, "suffix" : "" } ], "container-title" : "Molecular biology and evolution", "id" : "ITEM-1", "issue" : "4", "issued" : { "date-parts" : [ [ "2011", "4" ] ] }, "page" : "1381-92", "title" : "Evolution of gene expression in fire ants: the effects of developmental stage, caste, and species.", "type" : "article-journal", "volume" : "28" }, "uris" : [ "http://www.mendeley.com/documents/?uuid=8de2fde4-32a5-4700-9c2a-ea646835527d" ] } ], "mendeley" : { "previouslyFormattedCitation" : "[1]" }, "properties" : { "noteIndex" : 0 }, "schema" : "https://github.com/citation-style-language/schema/raw/master/csl-citation.json" }</w:instrText>
      </w:r>
      <w:r w:rsidRPr="00F1264D">
        <w:rPr>
          <w:rFonts w:ascii="Times" w:eastAsia="Microsoft Yi Baiti" w:hAnsi="Times" w:cs="Arial"/>
          <w:color w:val="E36C0A"/>
          <w:szCs w:val="24"/>
        </w:rPr>
        <w:fldChar w:fldCharType="separate"/>
      </w:r>
      <w:r w:rsidR="00236C99" w:rsidRPr="00236C99">
        <w:rPr>
          <w:rFonts w:ascii="Times" w:eastAsia="Microsoft Yi Baiti" w:hAnsi="Times" w:cs="Arial"/>
          <w:noProof/>
          <w:color w:val="E36C0A"/>
          <w:szCs w:val="24"/>
        </w:rPr>
        <w:t>[1]</w:t>
      </w:r>
      <w:r w:rsidRPr="00F1264D">
        <w:rPr>
          <w:rFonts w:ascii="Times" w:eastAsia="Microsoft Yi Baiti" w:hAnsi="Times" w:cs="Arial"/>
          <w:color w:val="E36C0A"/>
          <w:szCs w:val="24"/>
        </w:rPr>
        <w:fldChar w:fldCharType="end"/>
      </w:r>
      <w:r w:rsidRPr="00F1264D">
        <w:rPr>
          <w:rFonts w:ascii="Times" w:eastAsia="Microsoft Yi Baiti" w:hAnsi="Times" w:cs="Arial"/>
          <w:szCs w:val="24"/>
        </w:rPr>
        <w:t xml:space="preserve">. </w:t>
      </w:r>
    </w:p>
    <w:p w14:paraId="67EEEE00" w14:textId="77777777" w:rsidR="00A53C99" w:rsidRPr="00F1264D" w:rsidRDefault="00A53C99" w:rsidP="005005AC">
      <w:pPr>
        <w:spacing w:line="276" w:lineRule="auto"/>
        <w:rPr>
          <w:rFonts w:ascii="Times" w:eastAsia="Microsoft Yi Baiti" w:hAnsi="Times" w:cs="Arial"/>
        </w:rPr>
      </w:pPr>
    </w:p>
    <w:p w14:paraId="542D6E1C" w14:textId="77777777" w:rsidR="00A53C99" w:rsidRPr="00F1264D" w:rsidRDefault="00A53C99" w:rsidP="005005AC">
      <w:pPr>
        <w:spacing w:line="276" w:lineRule="auto"/>
        <w:outlineLvl w:val="0"/>
        <w:rPr>
          <w:rFonts w:ascii="Times" w:eastAsia="Microsoft Yi Baiti" w:hAnsi="Times" w:cs="Arial"/>
        </w:rPr>
      </w:pPr>
      <w:r w:rsidRPr="00F1264D">
        <w:rPr>
          <w:rFonts w:ascii="Times" w:eastAsia="Microsoft Yi Baiti" w:hAnsi="Times" w:cs="Arial"/>
          <w:b/>
        </w:rPr>
        <w:t>Microarray analysis</w:t>
      </w:r>
    </w:p>
    <w:p w14:paraId="6DE60887" w14:textId="22512849" w:rsidR="00A53C99" w:rsidRPr="00F1264D" w:rsidRDefault="00A53C99" w:rsidP="005005AC">
      <w:pPr>
        <w:spacing w:line="276" w:lineRule="auto"/>
        <w:jc w:val="both"/>
        <w:rPr>
          <w:rFonts w:ascii="Times" w:eastAsia="Microsoft Yi Baiti" w:hAnsi="Times" w:cs="Arial"/>
        </w:rPr>
      </w:pPr>
      <w:r w:rsidRPr="00F1264D">
        <w:rPr>
          <w:rFonts w:ascii="Times" w:eastAsia="Microsoft Yi Baiti" w:hAnsi="Times" w:cs="Arial"/>
        </w:rPr>
        <w:t xml:space="preserve">Our microarray slides contained 18 438 fire ant </w:t>
      </w:r>
      <w:proofErr w:type="spellStart"/>
      <w:r w:rsidRPr="00F1264D">
        <w:rPr>
          <w:rFonts w:ascii="Times" w:eastAsia="Microsoft Yi Baiti" w:hAnsi="Times" w:cs="Arial"/>
        </w:rPr>
        <w:t>cDNAs</w:t>
      </w:r>
      <w:proofErr w:type="spellEnd"/>
      <w:r w:rsidRPr="00F1264D">
        <w:rPr>
          <w:rFonts w:ascii="Times" w:eastAsia="Microsoft Yi Baiti" w:hAnsi="Times" w:cs="Arial"/>
        </w:rPr>
        <w:t xml:space="preserve"> representing 5957 genes, after excluding spots that failed to yield a single PCR product and spots that matched neither RNA sequence data nor any gene sequences in Swiss-</w:t>
      </w:r>
      <w:proofErr w:type="spellStart"/>
      <w:r w:rsidRPr="00F1264D">
        <w:rPr>
          <w:rFonts w:ascii="Times" w:eastAsia="Microsoft Yi Baiti" w:hAnsi="Times" w:cs="Arial"/>
        </w:rPr>
        <w:t>Prot</w:t>
      </w:r>
      <w:proofErr w:type="spellEnd"/>
      <w:r w:rsidRPr="00F1264D">
        <w:rPr>
          <w:rFonts w:ascii="Times" w:eastAsia="Microsoft Yi Baiti" w:hAnsi="Times" w:cs="Arial"/>
        </w:rPr>
        <w:t xml:space="preserve"> and </w:t>
      </w:r>
      <w:proofErr w:type="spellStart"/>
      <w:r w:rsidRPr="00F1264D">
        <w:rPr>
          <w:rFonts w:ascii="Times" w:eastAsia="Microsoft Yi Baiti" w:hAnsi="Times" w:cs="Arial"/>
        </w:rPr>
        <w:t>TrEMBL</w:t>
      </w:r>
      <w:proofErr w:type="spellEnd"/>
      <w:r w:rsidRPr="00F1264D">
        <w:rPr>
          <w:rFonts w:ascii="Times" w:eastAsia="Microsoft Yi Baiti" w:hAnsi="Times" w:cs="Arial"/>
        </w:rPr>
        <w:t xml:space="preserve"> based on BLAST searches (</w:t>
      </w:r>
      <w:r w:rsidRPr="00F1264D">
        <w:rPr>
          <w:rFonts w:ascii="Times" w:eastAsia="Microsoft Yi Baiti" w:hAnsi="Times" w:cs="Arial"/>
          <w:color w:val="31849B"/>
        </w:rPr>
        <w:t>Supplementary information file 1</w:t>
      </w:r>
      <w:r w:rsidRPr="00F1264D">
        <w:rPr>
          <w:rFonts w:ascii="Times" w:eastAsia="Microsoft Yi Baiti" w:hAnsi="Times" w:cs="Arial"/>
        </w:rPr>
        <w:t xml:space="preserve"> and </w:t>
      </w:r>
      <w:r w:rsidRPr="00F1264D">
        <w:rPr>
          <w:rFonts w:ascii="Times" w:eastAsia="Microsoft Yi Baiti" w:hAnsi="Times" w:cs="Arial"/>
          <w:color w:val="31849B"/>
        </w:rPr>
        <w:t>Table S2)</w:t>
      </w:r>
      <w:r w:rsidRPr="00F1264D">
        <w:rPr>
          <w:rFonts w:ascii="Times" w:eastAsia="Microsoft Yi Baiti" w:hAnsi="Times" w:cs="Arial"/>
        </w:rPr>
        <w:t xml:space="preserve">. Of these 5957 genes (45.4% of the predicted fire ant genes), 3082 had multiple clones. </w:t>
      </w:r>
      <w:r w:rsidRPr="00F1264D" w:rsidDel="00C569CB">
        <w:rPr>
          <w:rFonts w:ascii="Times" w:eastAsia="Microsoft Yi Baiti" w:hAnsi="Times" w:cs="Arial"/>
        </w:rPr>
        <w:t>A</w:t>
      </w:r>
      <w:r w:rsidRPr="00F1264D">
        <w:rPr>
          <w:rFonts w:ascii="Times" w:eastAsia="Microsoft Yi Baiti" w:hAnsi="Times" w:cs="Arial"/>
        </w:rPr>
        <w:t xml:space="preserve">ll sample hybridizations were compared to a common reference </w:t>
      </w:r>
      <w:r w:rsidRPr="00F1264D">
        <w:rPr>
          <w:rFonts w:ascii="Times" w:eastAsia="Microsoft Yi Baiti" w:hAnsi="Times" w:cs="Arial"/>
          <w:color w:val="E36C0A"/>
        </w:rPr>
        <w:fldChar w:fldCharType="begin" w:fldLock="1"/>
      </w:r>
      <w:r w:rsidR="00236C99">
        <w:rPr>
          <w:rFonts w:ascii="Times" w:eastAsia="Microsoft Yi Baiti" w:hAnsi="Times" w:cs="Arial"/>
          <w:color w:val="E36C0A"/>
        </w:rPr>
        <w:instrText>ADDIN CSL_CITATION { "citationItems" : [ { "id" : "ITEM-1", "itemData" : { "DOI" : "10.1093/molbev/msq322", "ISSN" : "1537-1719", "PMID" : "21172833", "abstract" : "Ants provide remarkable examples of equivalent genotypes developing into divergent and discrete phenotypes. Diploid eggs can develop either into queens, which specialize in reproduction, or workers, which participate in cooperative tasks such as building the nest, collecting food, and rearing the young. In contrast, the differentiation between males and females generally depends upon whether eggs are fertilized, with fertilized (diploid) eggs giving rise to females and unfertilized (haploid) eggs giving rise to males. To obtain a comprehensive picture of the relative contributions of gender (sex), caste, developmental stage, and species divergence to gene expression evolution, we investigated gene expression patterns in pupal and adult queens, workers, and males of two species of fire ants, Solenopsis invicta and S. richteri. Microarray hybridizations revealed that variation in gene expression profiles is influenced more by developmental stage than by caste membership, sex, or species identity. The second major contributor to variation in gene expression was the combination of sex and caste. Although workers and queens share equivalent diploid nuclear genomes, they have highly distinctive patterns of gene expression in both the pupal and the adult stages, as might be expected given their extraordinary level of phenotypic differentiation. Overall, the difference in the proportion of differentially expressed genes was greater between workers and males than between workers and queens or queens and males, consistent with the fact that workers and males share neither gender nor reproductive capability. Moreover, between-species comparisons revealed that the greatest difference in gene expression patterns occurred in adult workers, a finding consistent with the fact that adult workers most directly experience the distinct external environments characterizing the different habitats occupied by the two species. Thus, much of the evolution of gene expression in ants may occur in the worker caste, despite the fact that these individuals are largely or completely sterile. Analyses of gene expression evolution revealed a combination of positive selection and relaxation of stabilizing selection as important factors driving the evolution of such genes.", "author" : [ { "dropping-particle" : "", "family" : "Ometto", "given" : "Lino", "non-dropping-particle" : "", "parse-names" : false, "suffix" : "" }, { "dropping-particle" : "", "family" : "Shoemaker", "given" : "DeWayne", "non-dropping-particle" : "", "parse-names" : false, "suffix" : "" }, { "dropping-particle" : "", "family" : "Ross", "given" : "Kenneth G", "non-dropping-particle" : "", "parse-names" : false, "suffix" : "" }, { "dropping-particle" : "", "family" : "Keller", "given" : "Laurent", "non-dropping-particle" : "", "parse-names" : false, "suffix" : "" } ], "container-title" : "Molecular biology and evolution", "id" : "ITEM-1", "issue" : "4", "issued" : { "date-parts" : [ [ "2011", "4" ] ] }, "page" : "1381-92", "title" : "Evolution of gene expression in fire ants: the effects of developmental stage, caste, and species.", "type" : "article-journal", "volume" : "28" }, "uris" : [ "http://www.mendeley.com/documents/?uuid=8de2fde4-32a5-4700-9c2a-ea646835527d" ] } ], "mendeley" : { "previouslyFormattedCitation" : "[1]" }, "properties" : { "noteIndex" : 0 }, "schema" : "https://github.com/citation-style-language/schema/raw/master/csl-citation.json" }</w:instrText>
      </w:r>
      <w:r w:rsidRPr="00F1264D">
        <w:rPr>
          <w:rFonts w:ascii="Times" w:eastAsia="Microsoft Yi Baiti" w:hAnsi="Times" w:cs="Arial"/>
          <w:color w:val="E36C0A"/>
        </w:rPr>
        <w:fldChar w:fldCharType="separate"/>
      </w:r>
      <w:r w:rsidR="00236C99" w:rsidRPr="00236C99">
        <w:rPr>
          <w:rFonts w:ascii="Times" w:eastAsia="Microsoft Yi Baiti" w:hAnsi="Times" w:cs="Arial"/>
          <w:noProof/>
          <w:color w:val="E36C0A"/>
        </w:rPr>
        <w:t>[1]</w:t>
      </w:r>
      <w:r w:rsidRPr="00F1264D">
        <w:rPr>
          <w:rFonts w:ascii="Times" w:eastAsia="Microsoft Yi Baiti" w:hAnsi="Times" w:cs="Arial"/>
          <w:color w:val="E36C0A"/>
        </w:rPr>
        <w:fldChar w:fldCharType="end"/>
      </w:r>
      <w:r w:rsidRPr="00F1264D">
        <w:rPr>
          <w:rFonts w:ascii="Times" w:eastAsia="Microsoft Yi Baiti" w:hAnsi="Times" w:cs="Arial"/>
        </w:rPr>
        <w:t xml:space="preserve"> and hybridized on the same batch of microarray slides. Microarray slides were scanned using an Agilent Microarray Scanner, with the median foreground and background spot intensities extracted for the red and green label signals using </w:t>
      </w:r>
      <w:proofErr w:type="spellStart"/>
      <w:r w:rsidRPr="00F1264D">
        <w:rPr>
          <w:rFonts w:ascii="Times" w:eastAsia="Microsoft Yi Baiti" w:hAnsi="Times" w:cs="Arial"/>
        </w:rPr>
        <w:t>GenePix</w:t>
      </w:r>
      <w:proofErr w:type="spellEnd"/>
      <w:r w:rsidRPr="00F1264D">
        <w:rPr>
          <w:rFonts w:ascii="Times" w:eastAsia="Microsoft Yi Baiti" w:hAnsi="Times" w:cs="Arial"/>
        </w:rPr>
        <w:t xml:space="preserve">® Pro software. We performed background subtraction (using the parameter </w:t>
      </w:r>
      <w:proofErr w:type="spellStart"/>
      <w:r w:rsidRPr="00F1264D">
        <w:rPr>
          <w:rFonts w:ascii="Times" w:eastAsia="Microsoft Yi Baiti" w:hAnsi="Times" w:cs="Arial"/>
        </w:rPr>
        <w:t>normexp+offset</w:t>
      </w:r>
      <w:proofErr w:type="spellEnd"/>
      <w:r w:rsidRPr="00F1264D">
        <w:rPr>
          <w:rFonts w:ascii="Times" w:eastAsia="Microsoft Yi Baiti" w:hAnsi="Times" w:cs="Arial"/>
        </w:rPr>
        <w:t xml:space="preserve">=50 </w:t>
      </w:r>
      <w:r w:rsidRPr="00F1264D">
        <w:rPr>
          <w:rFonts w:ascii="Times" w:eastAsia="Microsoft Yi Baiti" w:hAnsi="Times" w:cs="Arial"/>
          <w:color w:val="E36C0A"/>
        </w:rPr>
        <w:fldChar w:fldCharType="begin" w:fldLock="1"/>
      </w:r>
      <w:r w:rsidR="00236C99">
        <w:rPr>
          <w:rFonts w:ascii="Times" w:eastAsia="Microsoft Yi Baiti" w:hAnsi="Times" w:cs="Arial"/>
          <w:color w:val="E36C0A"/>
        </w:rPr>
        <w:instrText>ADDIN CSL_CITATION { "citationItems" : [ { "id" : "ITEM-1", "itemData" : { "DOI" : "10.1093/bioinformatics/btm412", "ISSN" : "1367-4811", "PMID" : "17720982", "abstract" : "Microarray data must be background corrected to remove the effects of non-specific binding or spatial heterogeneity across the array, but this practice typically causes other problems such as negative corrected intensities and high variability of low intensity log-ratios. Different estimators of background, and various model-based processing methods, are compared in this study in search of the best option for differential expression analyses of small microarray experiments.", "author" : [ { "dropping-particle" : "", "family" : "Ritchie", "given" : "Matthew E", "non-dropping-particle" : "", "parse-names" : false, "suffix" : "" }, { "dropping-particle" : "", "family" : "Silver", "given" : "Jeremy", "non-dropping-particle" : "", "parse-names" : false, "suffix" : "" }, { "dropping-particle" : "", "family" : "Oshlack", "given" : "Alicia", "non-dropping-particle" : "", "parse-names" : false, "suffix" : "" }, { "dropping-particle" : "", "family" : "Holmes", "given" : "Melissa", "non-dropping-particle" : "", "parse-names" : false, "suffix" : "" }, { "dropping-particle" : "", "family" : "Diyagama", "given" : "Dileepa", "non-dropping-particle" : "", "parse-names" : false, "suffix" : "" }, { "dropping-particle" : "", "family" : "Holloway", "given" : "Andrew", "non-dropping-particle" : "", "parse-names" : false, "suffix" : "" }, { "dropping-particle" : "", "family" : "Smyth", "given" : "Gordon K", "non-dropping-particle" : "", "parse-names" : false, "suffix" : "" } ], "container-title" : "Bioinformatics", "id" : "ITEM-1", "issue" : "20", "issued" : { "date-parts" : [ [ "2007", "10", "15" ] ] }, "page" : "2700-7", "title" : "A comparison of background correction methods for two-colour microarrays.", "type" : "article-journal", "volume" : "23" }, "uris" : [ "http://www.mendeley.com/documents/?uuid=679247ae-a53e-42af-8191-c1d8f5833d9e" ] } ], "mendeley" : { "previouslyFormattedCitation" : "[2]" }, "properties" : { "noteIndex" : 0 }, "schema" : "https://github.com/citation-style-language/schema/raw/master/csl-citation.json" }</w:instrText>
      </w:r>
      <w:r w:rsidRPr="00F1264D">
        <w:rPr>
          <w:rFonts w:ascii="Times" w:eastAsia="Microsoft Yi Baiti" w:hAnsi="Times" w:cs="Arial"/>
          <w:color w:val="E36C0A"/>
        </w:rPr>
        <w:fldChar w:fldCharType="separate"/>
      </w:r>
      <w:r w:rsidR="00236C99" w:rsidRPr="00236C99">
        <w:rPr>
          <w:rFonts w:ascii="Times" w:eastAsia="Microsoft Yi Baiti" w:hAnsi="Times" w:cs="Arial"/>
          <w:noProof/>
          <w:color w:val="E36C0A"/>
        </w:rPr>
        <w:t>[2]</w:t>
      </w:r>
      <w:r w:rsidRPr="00F1264D">
        <w:rPr>
          <w:rFonts w:ascii="Times" w:eastAsia="Microsoft Yi Baiti" w:hAnsi="Times" w:cs="Arial"/>
          <w:color w:val="E36C0A"/>
        </w:rPr>
        <w:fldChar w:fldCharType="end"/>
      </w:r>
      <w:r w:rsidRPr="005E1D76">
        <w:rPr>
          <w:rFonts w:ascii="Times" w:eastAsia="Microsoft Yi Baiti" w:hAnsi="Times" w:cs="Arial"/>
        </w:rPr>
        <w:t>), transformed the red/green intensity ratios to log</w:t>
      </w:r>
      <w:r w:rsidRPr="005E1D76">
        <w:rPr>
          <w:rFonts w:ascii="Times" w:eastAsia="Microsoft Yi Baiti" w:hAnsi="Times" w:cs="Arial"/>
          <w:vertAlign w:val="subscript"/>
        </w:rPr>
        <w:t>2</w:t>
      </w:r>
      <w:r w:rsidRPr="005E1D76">
        <w:rPr>
          <w:rFonts w:ascii="Times" w:eastAsia="Microsoft Yi Baiti" w:hAnsi="Times" w:cs="Arial"/>
        </w:rPr>
        <w:t xml:space="preserve"> expression data, </w:t>
      </w:r>
      <w:r w:rsidRPr="00F1264D">
        <w:rPr>
          <w:rFonts w:ascii="Times" w:eastAsia="Microsoft Yi Baiti" w:hAnsi="Times" w:cs="Arial"/>
        </w:rPr>
        <w:t xml:space="preserve">and normalized the data with the </w:t>
      </w:r>
      <w:proofErr w:type="spellStart"/>
      <w:r w:rsidRPr="00F1264D">
        <w:rPr>
          <w:rFonts w:ascii="Times" w:eastAsia="Microsoft Yi Baiti" w:hAnsi="Times" w:cs="Arial"/>
        </w:rPr>
        <w:t>limma</w:t>
      </w:r>
      <w:proofErr w:type="spellEnd"/>
      <w:r w:rsidRPr="00F1264D">
        <w:rPr>
          <w:rFonts w:ascii="Times" w:eastAsia="Microsoft Yi Baiti" w:hAnsi="Times" w:cs="Arial"/>
        </w:rPr>
        <w:t xml:space="preserve"> package in R 2.11.1. We performed Print-tip Loess normalization – normalization of the red and green intensities within arrays – as well as between-array normalization across all 90 samples. However, we subsequently removed one slide of a haploid male pupa sample from our analysis because its gene expression profile had no correlation to other haploid male pupae (Pearson’s </w:t>
      </w:r>
      <w:r w:rsidRPr="00F1264D">
        <w:rPr>
          <w:rFonts w:ascii="Times" w:eastAsia="Microsoft Yi Baiti" w:hAnsi="Times" w:cs="Arial"/>
          <w:i/>
        </w:rPr>
        <w:t>r</w:t>
      </w:r>
      <w:r w:rsidRPr="00F1264D">
        <w:rPr>
          <w:rFonts w:ascii="Times" w:eastAsia="Microsoft Yi Baiti" w:hAnsi="Times" w:cs="Arial"/>
        </w:rPr>
        <w:t xml:space="preserve">=-0.04), while the correlation among other haploid males was high (Pearson’s </w:t>
      </w:r>
      <w:r w:rsidRPr="00F1264D">
        <w:rPr>
          <w:rFonts w:ascii="Times" w:eastAsia="Microsoft Yi Baiti" w:hAnsi="Times" w:cs="Arial"/>
          <w:i/>
        </w:rPr>
        <w:t>r</w:t>
      </w:r>
      <w:r w:rsidRPr="00F1264D">
        <w:rPr>
          <w:rFonts w:ascii="Times" w:eastAsia="Microsoft Yi Baiti" w:hAnsi="Times" w:cs="Arial"/>
        </w:rPr>
        <w:t xml:space="preserve"> &gt; 0.84). One potential cause of this outlier is that the pupa was close to death</w:t>
      </w:r>
      <w:r w:rsidRPr="00F1264D">
        <w:rPr>
          <w:rFonts w:ascii="Times" w:eastAsia="Microsoft Yi Baiti" w:hAnsi="Times" w:cs="Arial"/>
          <w:lang w:eastAsia="zh-TW"/>
        </w:rPr>
        <w:t>,</w:t>
      </w:r>
      <w:r w:rsidRPr="00F1264D">
        <w:rPr>
          <w:rFonts w:ascii="Times" w:eastAsia="Microsoft Yi Baiti" w:hAnsi="Times" w:cs="Arial"/>
        </w:rPr>
        <w:t xml:space="preserve"> something we have occasionally observed for samples in a separate </w:t>
      </w:r>
      <w:proofErr w:type="spellStart"/>
      <w:r w:rsidRPr="00F1264D">
        <w:rPr>
          <w:rFonts w:ascii="Times" w:eastAsia="Microsoft Yi Baiti" w:hAnsi="Times" w:cs="Arial"/>
        </w:rPr>
        <w:t>timecourse</w:t>
      </w:r>
      <w:proofErr w:type="spellEnd"/>
      <w:r w:rsidRPr="00F1264D">
        <w:rPr>
          <w:rFonts w:ascii="Times" w:eastAsia="Microsoft Yi Baiti" w:hAnsi="Times" w:cs="Arial"/>
        </w:rPr>
        <w:t xml:space="preserve"> experiment. For statistical analyses, we compared only individuals of the same age-class. We applied empirical Bayes statistics to estimate moderated </w:t>
      </w:r>
      <w:r w:rsidRPr="00F1264D">
        <w:rPr>
          <w:rFonts w:ascii="Times" w:eastAsia="Microsoft Yi Baiti" w:hAnsi="Times" w:cs="Arial"/>
          <w:i/>
        </w:rPr>
        <w:t>t</w:t>
      </w:r>
      <w:r w:rsidRPr="00F1264D">
        <w:rPr>
          <w:rFonts w:ascii="Times" w:eastAsia="Microsoft Yi Baiti" w:hAnsi="Times" w:cs="Arial"/>
        </w:rPr>
        <w:t xml:space="preserve">-statistics for specific pairwise comparisons with the </w:t>
      </w:r>
      <w:proofErr w:type="spellStart"/>
      <w:r w:rsidRPr="00F1264D">
        <w:rPr>
          <w:rFonts w:ascii="Times" w:eastAsia="Microsoft Yi Baiti" w:hAnsi="Times" w:cs="Arial"/>
        </w:rPr>
        <w:t>limma</w:t>
      </w:r>
      <w:proofErr w:type="spellEnd"/>
      <w:r w:rsidRPr="00F1264D">
        <w:rPr>
          <w:rFonts w:ascii="Times" w:eastAsia="Microsoft Yi Baiti" w:hAnsi="Times" w:cs="Arial"/>
        </w:rPr>
        <w:t xml:space="preserve"> package, adopting a false positive discovery rate (FDR) of 1% for all </w:t>
      </w:r>
      <w:r w:rsidRPr="00F1264D">
        <w:rPr>
          <w:rFonts w:ascii="Times" w:eastAsia="Microsoft Yi Baiti" w:hAnsi="Times" w:cs="Arial"/>
          <w:i/>
        </w:rPr>
        <w:t>F</w:t>
      </w:r>
      <w:r w:rsidRPr="00F1264D">
        <w:rPr>
          <w:rFonts w:ascii="Times" w:eastAsia="Microsoft Yi Baiti" w:hAnsi="Times" w:cs="Arial"/>
        </w:rPr>
        <w:t xml:space="preserve"> tests and each pairwise </w:t>
      </w:r>
      <w:r w:rsidRPr="00F1264D">
        <w:rPr>
          <w:rFonts w:ascii="Times" w:eastAsia="Microsoft Yi Baiti" w:hAnsi="Times" w:cs="Arial"/>
          <w:i/>
        </w:rPr>
        <w:t>t</w:t>
      </w:r>
      <w:r w:rsidRPr="00F1264D">
        <w:rPr>
          <w:rFonts w:ascii="Times" w:eastAsia="Microsoft Yi Baiti" w:hAnsi="Times" w:cs="Arial"/>
        </w:rPr>
        <w:t xml:space="preserve"> test. We used statistical cutoff rather than an absolute cutoff because small changes could well be significant and important </w:t>
      </w:r>
    </w:p>
    <w:p w14:paraId="2CE21383" w14:textId="77777777" w:rsidR="00A53C99" w:rsidRPr="00F1264D" w:rsidRDefault="00A53C99" w:rsidP="005005AC">
      <w:pPr>
        <w:spacing w:line="276" w:lineRule="auto"/>
        <w:jc w:val="both"/>
        <w:rPr>
          <w:rFonts w:ascii="Times" w:eastAsia="Microsoft Yi Baiti" w:hAnsi="Times" w:cs="Arial"/>
        </w:rPr>
      </w:pPr>
    </w:p>
    <w:p w14:paraId="781354CA" w14:textId="77777777" w:rsidR="00A53C99" w:rsidRPr="00F1264D" w:rsidRDefault="00A53C99" w:rsidP="005005AC">
      <w:pPr>
        <w:spacing w:line="276" w:lineRule="auto"/>
        <w:jc w:val="both"/>
        <w:rPr>
          <w:rFonts w:ascii="Times" w:eastAsia="Microsoft Yi Baiti" w:hAnsi="Times" w:cs="Arial"/>
        </w:rPr>
      </w:pPr>
      <w:r w:rsidRPr="00F1264D">
        <w:rPr>
          <w:rFonts w:ascii="Times" w:eastAsia="Microsoft Yi Baiti" w:hAnsi="Times" w:cs="Arial"/>
        </w:rPr>
        <w:t>Because most clones of the same gene showed similar expression values (</w:t>
      </w:r>
      <w:r w:rsidRPr="00F1264D">
        <w:rPr>
          <w:rFonts w:ascii="Times" w:eastAsia="Microsoft Yi Baiti" w:hAnsi="Times" w:cs="Arial"/>
          <w:color w:val="31849B"/>
        </w:rPr>
        <w:t>Table S3</w:t>
      </w:r>
      <w:r w:rsidRPr="00F1264D">
        <w:rPr>
          <w:rFonts w:ascii="Times" w:eastAsia="Microsoft Yi Baiti" w:hAnsi="Times" w:cs="Arial"/>
        </w:rPr>
        <w:t xml:space="preserve">), a given gene was considered as differentially expressed if at least one clone corresponding to it was differentially expressed. Differences in expression for the remaining clones may be due to: 1) no DNA on the spotted microarrays; 2) annotation </w:t>
      </w:r>
      <w:r w:rsidRPr="00F1264D">
        <w:rPr>
          <w:rFonts w:ascii="Times" w:eastAsia="Microsoft Yi Baiti" w:hAnsi="Times" w:cs="Arial"/>
        </w:rPr>
        <w:lastRenderedPageBreak/>
        <w:t xml:space="preserve">error and 3) alternative splicing (different clones correspond to different exons of single genes with variable expression patterns). We show only one of the significantly differentially expressed clones for each gene in the heat maps </w:t>
      </w:r>
      <w:r w:rsidRPr="00F1264D">
        <w:rPr>
          <w:rFonts w:eastAsia="Microsoft Yi Baiti" w:cs="Times New Roman"/>
        </w:rPr>
        <w:t>─</w:t>
      </w:r>
      <w:r w:rsidRPr="00F1264D">
        <w:rPr>
          <w:rFonts w:ascii="Times" w:eastAsia="Microsoft Yi Baiti" w:hAnsi="Times" w:cs="Arial"/>
        </w:rPr>
        <w:t xml:space="preserve"> the first clone listed alphabetically by name of the microarray spot ID. The data for all clones are presented in </w:t>
      </w:r>
      <w:r w:rsidRPr="00F1264D">
        <w:rPr>
          <w:rFonts w:ascii="Times" w:eastAsia="Microsoft Yi Baiti" w:hAnsi="Times" w:cs="Arial"/>
          <w:color w:val="31849B"/>
        </w:rPr>
        <w:t>Table S2.</w:t>
      </w:r>
    </w:p>
    <w:p w14:paraId="18A8BF2C" w14:textId="77777777" w:rsidR="00A53C99" w:rsidRPr="00F1264D" w:rsidRDefault="00A53C99" w:rsidP="005005AC">
      <w:pPr>
        <w:spacing w:line="276" w:lineRule="auto"/>
        <w:jc w:val="both"/>
        <w:rPr>
          <w:rFonts w:ascii="Times" w:eastAsia="Microsoft Yi Baiti" w:hAnsi="Times" w:cs="Arial"/>
        </w:rPr>
      </w:pPr>
    </w:p>
    <w:p w14:paraId="1CBAC325" w14:textId="77777777" w:rsidR="00A53C99" w:rsidRPr="00F1264D" w:rsidRDefault="00A53C99" w:rsidP="005005AC">
      <w:pPr>
        <w:spacing w:line="276" w:lineRule="auto"/>
        <w:jc w:val="both"/>
        <w:rPr>
          <w:rFonts w:ascii="Times" w:eastAsia="Microsoft Yi Baiti" w:hAnsi="Times" w:cs="Arial"/>
        </w:rPr>
      </w:pPr>
      <w:r w:rsidRPr="00F1264D">
        <w:rPr>
          <w:rFonts w:ascii="Times" w:eastAsia="Microsoft Yi Baiti" w:hAnsi="Times" w:cs="Arial"/>
        </w:rPr>
        <w:t xml:space="preserve">We defined </w:t>
      </w:r>
      <w:proofErr w:type="spellStart"/>
      <w:r w:rsidRPr="00F1264D">
        <w:rPr>
          <w:rFonts w:ascii="Times" w:eastAsia="Microsoft Yi Baiti" w:hAnsi="Times" w:cs="Arial"/>
        </w:rPr>
        <w:t>ploidy</w:t>
      </w:r>
      <w:proofErr w:type="spellEnd"/>
      <w:r w:rsidRPr="00F1264D">
        <w:rPr>
          <w:rFonts w:ascii="Times" w:eastAsia="Microsoft Yi Baiti" w:hAnsi="Times" w:cs="Arial"/>
        </w:rPr>
        <w:t xml:space="preserve">-specific genes as genes that were significantly differentially expressed between diploid males and haploid males as well as between queens and haploid males (i.e., genes that were up-regulated in haploid males compared to both diploid males and queens or genes that were down-regulated in haploid males compared to both diploid males and queens). Likewise, sex-specific genes were defined as genes up-regulated in queens compared to both diploid and haploid males, or </w:t>
      </w:r>
      <w:proofErr w:type="gramStart"/>
      <w:r w:rsidRPr="00F1264D">
        <w:rPr>
          <w:rFonts w:ascii="Times" w:eastAsia="Microsoft Yi Baiti" w:hAnsi="Times" w:cs="Arial"/>
        </w:rPr>
        <w:t>down-regulated</w:t>
      </w:r>
      <w:proofErr w:type="gramEnd"/>
      <w:r w:rsidRPr="00F1264D">
        <w:rPr>
          <w:rFonts w:ascii="Times" w:eastAsia="Microsoft Yi Baiti" w:hAnsi="Times" w:cs="Arial"/>
        </w:rPr>
        <w:t xml:space="preserve"> in queens compared to both diploid and haploid males. </w:t>
      </w:r>
    </w:p>
    <w:p w14:paraId="43DD12D8" w14:textId="77777777" w:rsidR="00A53C99" w:rsidRPr="00F1264D" w:rsidRDefault="00A53C99" w:rsidP="005005AC">
      <w:pPr>
        <w:spacing w:line="276" w:lineRule="auto"/>
        <w:jc w:val="both"/>
        <w:rPr>
          <w:rFonts w:ascii="Times" w:eastAsia="Microsoft Yi Baiti" w:hAnsi="Times" w:cs="Arial"/>
        </w:rPr>
      </w:pPr>
    </w:p>
    <w:p w14:paraId="1328CF59" w14:textId="77777777" w:rsidR="00A53C99" w:rsidRPr="00F1264D" w:rsidRDefault="00A53C99" w:rsidP="005005AC">
      <w:pPr>
        <w:spacing w:line="276" w:lineRule="auto"/>
        <w:jc w:val="both"/>
        <w:rPr>
          <w:rFonts w:ascii="Times" w:eastAsia="Microsoft Yi Baiti" w:hAnsi="Times" w:cs="Arial"/>
        </w:rPr>
      </w:pPr>
      <w:r w:rsidRPr="00F1264D">
        <w:rPr>
          <w:rFonts w:ascii="Times" w:eastAsia="Microsoft Yi Baiti" w:hAnsi="Times" w:cs="Arial"/>
        </w:rPr>
        <w:t>Because fire ant gene annotations using GO are incomplete, we manually searched for genes present on the microarray that were potentially involved in spermatogenesis and sperm maturation by looking at the descriptions of the 5957 genes for the keywords, “sperm”, “testis”, “accessory” and “dense fiber protein” (associated with sperm tail protein). A total of 12 genes were thus identified. Similarly, we identified 154 candidate genes involved in pheromone production or perception by searching for the keywords, “cuticle”, “</w:t>
      </w:r>
      <w:proofErr w:type="spellStart"/>
      <w:r w:rsidRPr="00F1264D">
        <w:rPr>
          <w:rFonts w:ascii="Times" w:eastAsia="Microsoft Yi Baiti" w:hAnsi="Times" w:cs="Arial"/>
        </w:rPr>
        <w:t>cuticular</w:t>
      </w:r>
      <w:proofErr w:type="spellEnd"/>
      <w:r w:rsidRPr="00F1264D">
        <w:rPr>
          <w:rFonts w:ascii="Times" w:eastAsia="Microsoft Yi Baiti" w:hAnsi="Times" w:cs="Arial"/>
        </w:rPr>
        <w:t>”, “</w:t>
      </w:r>
      <w:proofErr w:type="spellStart"/>
      <w:r w:rsidRPr="00F1264D">
        <w:rPr>
          <w:rFonts w:ascii="Times" w:eastAsia="Microsoft Yi Baiti" w:hAnsi="Times" w:cs="Arial"/>
        </w:rPr>
        <w:t>chito</w:t>
      </w:r>
      <w:proofErr w:type="spellEnd"/>
      <w:r w:rsidRPr="00F1264D">
        <w:rPr>
          <w:rFonts w:ascii="Times" w:eastAsia="Microsoft Yi Baiti" w:hAnsi="Times" w:cs="Arial"/>
        </w:rPr>
        <w:t>”, “chitin”, “chondroitin”, “</w:t>
      </w:r>
      <w:proofErr w:type="spellStart"/>
      <w:r w:rsidRPr="00F1264D">
        <w:rPr>
          <w:rFonts w:ascii="Times" w:eastAsia="Microsoft Yi Baiti" w:hAnsi="Times" w:cs="Arial"/>
        </w:rPr>
        <w:t>peritrophin</w:t>
      </w:r>
      <w:proofErr w:type="spellEnd"/>
      <w:r w:rsidRPr="00F1264D">
        <w:rPr>
          <w:rFonts w:ascii="Times" w:eastAsia="Microsoft Yi Baiti" w:hAnsi="Times" w:cs="Arial"/>
        </w:rPr>
        <w:t>”, “</w:t>
      </w:r>
      <w:proofErr w:type="spellStart"/>
      <w:r w:rsidRPr="00F1264D">
        <w:rPr>
          <w:rFonts w:ascii="Times" w:eastAsia="Microsoft Yi Baiti" w:hAnsi="Times" w:cs="Arial"/>
        </w:rPr>
        <w:t>desaturase</w:t>
      </w:r>
      <w:proofErr w:type="spellEnd"/>
      <w:r w:rsidRPr="00F1264D">
        <w:rPr>
          <w:rFonts w:ascii="Times" w:eastAsia="Microsoft Yi Baiti" w:hAnsi="Times" w:cs="Arial"/>
        </w:rPr>
        <w:t>”, “elongation of very long chain fatty acid”, “fatty”, “cytochrome p450”, “odorant binding protein”, “chemosensory protein”, and “allergen” because such genes are likely to encode proteins that are involved in hydrocarbon (</w:t>
      </w:r>
      <w:proofErr w:type="spellStart"/>
      <w:r w:rsidRPr="00F1264D">
        <w:rPr>
          <w:rFonts w:ascii="Times" w:eastAsia="Microsoft Yi Baiti" w:hAnsi="Times" w:cs="Arial"/>
        </w:rPr>
        <w:t>semiochemical</w:t>
      </w:r>
      <w:proofErr w:type="spellEnd"/>
      <w:r w:rsidRPr="00F1264D">
        <w:rPr>
          <w:rFonts w:ascii="Times" w:eastAsia="Microsoft Yi Baiti" w:hAnsi="Times" w:cs="Arial"/>
        </w:rPr>
        <w:t>) biosynthesis, reside on the cuticle, or are associated with chemical communication in some other way.</w:t>
      </w:r>
    </w:p>
    <w:p w14:paraId="1FA74BDF" w14:textId="77777777" w:rsidR="00A53C99" w:rsidRPr="00F1264D" w:rsidRDefault="00A53C99" w:rsidP="005005AC">
      <w:pPr>
        <w:spacing w:line="276" w:lineRule="auto"/>
        <w:jc w:val="both"/>
        <w:rPr>
          <w:rFonts w:ascii="Times" w:eastAsia="Microsoft Yi Baiti" w:hAnsi="Times" w:cs="Arial"/>
        </w:rPr>
      </w:pPr>
    </w:p>
    <w:p w14:paraId="701668E0" w14:textId="4F8A2E32" w:rsidR="00A53C99" w:rsidRPr="00F1264D" w:rsidRDefault="00A53C99" w:rsidP="005005AC">
      <w:pPr>
        <w:spacing w:line="276" w:lineRule="auto"/>
        <w:jc w:val="both"/>
        <w:rPr>
          <w:rFonts w:ascii="Times" w:eastAsia="Microsoft Yi Baiti" w:hAnsi="Times" w:cs="Arial"/>
        </w:rPr>
      </w:pPr>
      <w:r w:rsidRPr="00F1264D">
        <w:rPr>
          <w:rFonts w:ascii="Times" w:eastAsia="Microsoft Yi Baiti" w:hAnsi="Times" w:cs="Arial"/>
        </w:rPr>
        <w:t xml:space="preserve">We performed hierarchical clustering of the genes (microarray expression levels) and samples (individual ants) based on Pearson correlation of the expression values (expression values of all samples were compared to a common reference) by using the complete linkage clustering method to calculate the distances between groups in MeV v.4.6 </w:t>
      </w:r>
      <w:r w:rsidRPr="00F1264D">
        <w:rPr>
          <w:rFonts w:ascii="Times" w:eastAsia="Microsoft Yi Baiti" w:hAnsi="Times" w:cs="Arial"/>
          <w:color w:val="E36C0A"/>
        </w:rPr>
        <w:fldChar w:fldCharType="begin" w:fldLock="1"/>
      </w:r>
      <w:r w:rsidR="00236C99">
        <w:rPr>
          <w:rFonts w:ascii="Times" w:eastAsia="Microsoft Yi Baiti" w:hAnsi="Times" w:cs="Arial"/>
          <w:color w:val="E36C0A"/>
        </w:rPr>
        <w:instrText>ADDIN CSL_CITATION { "citationItems" : [ { "id" : "ITEM-1", "itemData" : { "DOI" : "10.1016/S0076-6879(06)11009-5", "ISSN" : "0076-6879", "PMID" : "16939790", "abstract" : "Powerful specialized software is essential for managing, quantifying, and ultimately deriving scientific insight from results of a microarray experiment. We have developed a suite of software applications, known as TM4, to support such gene expression studies. The suite consists of open-source tools for data management and reporting, image analysis, normalization and pipeline control, and data mining and visualization. An integrated MIAME-compliant MySQL database is included. This chapter describes each component of the suite and includes a sample analysis walk-through.", "author" : [ { "dropping-particle" : "", "family" : "Saeed", "given" : "Alexander I", "non-dropping-particle" : "", "parse-names" : false, "suffix" : "" }, { "dropping-particle" : "", "family" : "Bhagabati", "given" : "Nirmal K", "non-dropping-particle" : "", "parse-names" : false, "suffix" : "" }, { "dropping-particle" : "", "family" : "Braisted", "given" : "John C", "non-dropping-particle" : "", "parse-names" : false, "suffix" : "" }, { "dropping-particle" : "", "family" : "Liang", "given" : "Wei", "non-dropping-particle" : "", "parse-names" : false, "suffix" : "" }, { "dropping-particle" : "", "family" : "Sharov", "given" : "Vasily", "non-dropping-particle" : "", "parse-names" : false, "suffix" : "" }, { "dropping-particle" : "", "family" : "Howe", "given" : "Eleanor A", "non-dropping-particle" : "", "parse-names" : false, "suffix" : "" }, { "dropping-particle" : "", "family" : "Li", "given" : "Jianwei", "non-dropping-particle" : "", "parse-names" : false, "suffix" : "" }, { "dropping-particle" : "", "family" : "Thiagarajan", "given" : "Mathangi", "non-dropping-particle" : "", "parse-names" : false, "suffix" : "" }, { "dropping-particle" : "", "family" : "White", "given" : "Joseph A", "non-dropping-particle" : "", "parse-names" : false, "suffix" : "" }, { "dropping-particle" : "", "family" : "Quackenbush", "given" : "John", "non-dropping-particle" : "", "parse-names" : false, "suffix" : "" } ], "container-title" : "Methods in enzymology", "id" : "ITEM-1", "issued" : { "date-parts" : [ [ "2006", "1" ] ] }, "page" : "134-93", "title" : "TM4 microarray software suite.", "type" : "article-journal", "volume" : "411" }, "uris" : [ "http://www.mendeley.com/documents/?uuid=f92267e4-231b-4a3c-8612-d2fe4d9a0345" ] } ], "mendeley" : { "previouslyFormattedCitation" : "[3]" }, "properties" : { "noteIndex" : 0 }, "schema" : "https://github.com/citation-style-language/schema/raw/master/csl-citation.json" }</w:instrText>
      </w:r>
      <w:r w:rsidRPr="00F1264D">
        <w:rPr>
          <w:rFonts w:ascii="Times" w:eastAsia="Microsoft Yi Baiti" w:hAnsi="Times" w:cs="Arial"/>
          <w:color w:val="E36C0A"/>
        </w:rPr>
        <w:fldChar w:fldCharType="separate"/>
      </w:r>
      <w:r w:rsidR="00236C99" w:rsidRPr="00236C99">
        <w:rPr>
          <w:rFonts w:ascii="Times" w:eastAsia="Microsoft Yi Baiti" w:hAnsi="Times" w:cs="Arial"/>
          <w:noProof/>
          <w:color w:val="E36C0A"/>
        </w:rPr>
        <w:t>[3]</w:t>
      </w:r>
      <w:r w:rsidRPr="00F1264D">
        <w:rPr>
          <w:rFonts w:ascii="Times" w:eastAsia="Microsoft Yi Baiti" w:hAnsi="Times" w:cs="Arial"/>
          <w:color w:val="E36C0A"/>
        </w:rPr>
        <w:fldChar w:fldCharType="end"/>
      </w:r>
      <w:r w:rsidRPr="00F1264D">
        <w:rPr>
          <w:rFonts w:ascii="Times" w:eastAsia="Microsoft Yi Baiti" w:hAnsi="Times" w:cs="Arial"/>
        </w:rPr>
        <w:t>.</w:t>
      </w:r>
    </w:p>
    <w:p w14:paraId="26C2426D" w14:textId="77777777" w:rsidR="00A53C99" w:rsidRPr="00F1264D" w:rsidRDefault="00A53C99" w:rsidP="005005AC">
      <w:pPr>
        <w:spacing w:line="276" w:lineRule="auto"/>
        <w:jc w:val="both"/>
        <w:rPr>
          <w:rFonts w:ascii="Times" w:eastAsia="Microsoft Yi Baiti" w:hAnsi="Times" w:cs="Arial"/>
          <w:b/>
        </w:rPr>
      </w:pPr>
    </w:p>
    <w:p w14:paraId="057B1C8E" w14:textId="77777777" w:rsidR="00A53C99" w:rsidRPr="00F1264D" w:rsidRDefault="00A53C99" w:rsidP="005005AC">
      <w:pPr>
        <w:spacing w:line="276" w:lineRule="auto"/>
        <w:jc w:val="both"/>
        <w:rPr>
          <w:rFonts w:ascii="Times" w:eastAsia="Microsoft Yi Baiti" w:hAnsi="Times" w:cs="Arial"/>
          <w:b/>
        </w:rPr>
      </w:pPr>
      <w:r w:rsidRPr="00F1264D">
        <w:rPr>
          <w:rFonts w:ascii="Times" w:eastAsia="Microsoft Yi Baiti" w:hAnsi="Times" w:cs="Arial"/>
          <w:b/>
        </w:rPr>
        <w:t>Gene annotation and enrichment test</w:t>
      </w:r>
    </w:p>
    <w:p w14:paraId="5F03159A" w14:textId="607A91CC" w:rsidR="00A53C99" w:rsidRPr="00F1264D" w:rsidRDefault="00A53C99" w:rsidP="005005AC">
      <w:pPr>
        <w:spacing w:line="276" w:lineRule="auto"/>
        <w:jc w:val="both"/>
        <w:rPr>
          <w:rFonts w:ascii="Times" w:eastAsia="Microsoft Yi Baiti" w:hAnsi="Times" w:cs="Arial"/>
        </w:rPr>
      </w:pPr>
      <w:r w:rsidRPr="00F1264D">
        <w:rPr>
          <w:rFonts w:ascii="Times" w:eastAsia="Microsoft Yi Baiti" w:hAnsi="Times" w:cs="Arial"/>
        </w:rPr>
        <w:t xml:space="preserve">We used </w:t>
      </w:r>
      <w:proofErr w:type="spellStart"/>
      <w:r w:rsidRPr="00F1264D">
        <w:rPr>
          <w:rFonts w:ascii="Times" w:eastAsia="Microsoft Yi Baiti" w:hAnsi="Times" w:cs="Arial"/>
        </w:rPr>
        <w:t>BLASTn</w:t>
      </w:r>
      <w:proofErr w:type="spellEnd"/>
      <w:r w:rsidRPr="00F1264D">
        <w:rPr>
          <w:rFonts w:ascii="Times" w:eastAsia="Microsoft Yi Baiti" w:hAnsi="Times" w:cs="Arial"/>
        </w:rPr>
        <w:t xml:space="preserve"> </w:t>
      </w:r>
      <w:r w:rsidRPr="00EA5582">
        <w:rPr>
          <w:rFonts w:ascii="Times" w:eastAsia="Microsoft Yi Baiti" w:hAnsi="Times" w:cs="Arial"/>
          <w:color w:val="E36C0A"/>
        </w:rPr>
        <w:fldChar w:fldCharType="begin" w:fldLock="1"/>
      </w:r>
      <w:r w:rsidR="00236C99">
        <w:rPr>
          <w:rFonts w:ascii="Times" w:eastAsia="Microsoft Yi Baiti" w:hAnsi="Times" w:cs="Arial"/>
          <w:color w:val="E36C0A"/>
        </w:rPr>
        <w:instrText>ADDIN CSL_CITATION { "citationItems" : [ { "id" : "ITEM-1", "itemData" : { "DOI" : "10.1016/S0022-2836(05)80360-2", "ISSN" : "0022-2836", "PMID" : "2231712", "abstract" : "A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"author" : [ { "dropping-particle" : "", "family" : "Altschul", "given" : "S F", "non-dropping-particle" : "", "parse-names" : false, "suffix" : "" }, { "dropping-particle" : "", "family" : "Gish", "given" : "W", "non-dropping-particle" : "", "parse-names" : false, "suffix" : "" }, { "dropping-particle" : "", "family" : "Miller", "given" : "W", "non-dropping-particle" : "", "parse-names" : false, "suffix" : "" }, { "dropping-particle" : "", "family" : "Myers", "given" : "E W", "non-dropping-particle" : "", "parse-names" : false, "suffix" : "" }, { "dropping-particle" : "", "family" : "Lipman", "given" : "D J", "non-dropping-particle" : "", "parse-names" : false, "suffix" : "" } ], "container-title" : "Journal of molecular biology", "id" : "ITEM-1", "issue" : "3", "issued" : { "date-parts" : [ [ "1990", "10", "5" ] ] }, "page" : "403-10", "title" : "Basic local alignment search tool.", "type" : "article-journal", "volume" : "215" }, "uris" : [ "http://www.mendeley.com/documents/?uuid=7a2d23c5-5fb7-43e2-82c3-76e6937f3ff6" ] } ], "mendeley" : { "previouslyFormattedCitation" : "[4]" }, "properties" : { "noteIndex" : 0 }, "schema" : "https://github.com/citation-style-language/schema/raw/master/csl-citation.json" }</w:instrText>
      </w:r>
      <w:r w:rsidRPr="00EA5582">
        <w:rPr>
          <w:rFonts w:ascii="Times" w:eastAsia="Microsoft Yi Baiti" w:hAnsi="Times" w:cs="Arial"/>
          <w:color w:val="E36C0A"/>
        </w:rPr>
        <w:fldChar w:fldCharType="separate"/>
      </w:r>
      <w:r w:rsidR="00236C99" w:rsidRPr="00236C99">
        <w:rPr>
          <w:rFonts w:ascii="Times" w:eastAsia="Microsoft Yi Baiti" w:hAnsi="Times" w:cs="Arial"/>
          <w:noProof/>
          <w:color w:val="E36C0A"/>
        </w:rPr>
        <w:t>[4]</w:t>
      </w:r>
      <w:r w:rsidRPr="00EA5582">
        <w:rPr>
          <w:rFonts w:ascii="Times" w:eastAsia="Microsoft Yi Baiti" w:hAnsi="Times" w:cs="Arial"/>
          <w:color w:val="E36C0A"/>
        </w:rPr>
        <w:fldChar w:fldCharType="end"/>
      </w:r>
      <w:r w:rsidRPr="00F1264D">
        <w:rPr>
          <w:rFonts w:ascii="Times" w:eastAsia="Microsoft Yi Baiti" w:hAnsi="Times" w:cs="Arial"/>
        </w:rPr>
        <w:t xml:space="preserve"> to compare the </w:t>
      </w:r>
      <w:proofErr w:type="spellStart"/>
      <w:r w:rsidRPr="00F1264D">
        <w:rPr>
          <w:rFonts w:ascii="Times" w:eastAsia="Microsoft Yi Baiti" w:hAnsi="Times" w:cs="Arial"/>
        </w:rPr>
        <w:t>cDNA</w:t>
      </w:r>
      <w:proofErr w:type="spellEnd"/>
      <w:r w:rsidRPr="00F1264D">
        <w:rPr>
          <w:rFonts w:ascii="Times" w:eastAsia="Microsoft Yi Baiti" w:hAnsi="Times" w:cs="Arial"/>
        </w:rPr>
        <w:t xml:space="preserve"> sequences in the microarrays against a gene model of </w:t>
      </w:r>
      <w:r w:rsidRPr="00F1264D">
        <w:rPr>
          <w:rFonts w:ascii="Times" w:eastAsia="Microsoft Yi Baiti" w:hAnsi="Times" w:cs="Arial"/>
          <w:i/>
        </w:rPr>
        <w:t xml:space="preserve">S. </w:t>
      </w:r>
      <w:proofErr w:type="spellStart"/>
      <w:r w:rsidRPr="00F1264D">
        <w:rPr>
          <w:rFonts w:ascii="Times" w:eastAsia="Microsoft Yi Baiti" w:hAnsi="Times" w:cs="Arial"/>
          <w:i/>
        </w:rPr>
        <w:t>invicta</w:t>
      </w:r>
      <w:proofErr w:type="spellEnd"/>
      <w:r w:rsidRPr="00F1264D">
        <w:rPr>
          <w:rFonts w:ascii="Times" w:eastAsia="Microsoft Yi Baiti" w:hAnsi="Times" w:cs="Arial"/>
        </w:rPr>
        <w:t xml:space="preserve"> RNA sequence data derived from high-throughput RNA sequencing </w:t>
      </w:r>
      <w:r w:rsidRPr="00F1264D">
        <w:rPr>
          <w:rFonts w:ascii="Times" w:eastAsia="Microsoft Yi Baiti" w:hAnsi="Times" w:cs="Arial"/>
          <w:color w:val="E36C0A"/>
        </w:rPr>
        <w:t>(unpublished)</w:t>
      </w:r>
      <w:r w:rsidRPr="00F1264D">
        <w:rPr>
          <w:rFonts w:ascii="Times" w:eastAsia="Microsoft Yi Baiti" w:hAnsi="Times" w:cs="Arial"/>
        </w:rPr>
        <w:t>, requiring for matches that (</w:t>
      </w:r>
      <w:proofErr w:type="spellStart"/>
      <w:r w:rsidRPr="00F1264D">
        <w:rPr>
          <w:rFonts w:ascii="Times" w:eastAsia="Microsoft Yi Baiti" w:hAnsi="Times" w:cs="Arial"/>
        </w:rPr>
        <w:t>i</w:t>
      </w:r>
      <w:proofErr w:type="spellEnd"/>
      <w:r w:rsidRPr="00F1264D">
        <w:rPr>
          <w:rFonts w:ascii="Times" w:eastAsia="Microsoft Yi Baiti" w:hAnsi="Times" w:cs="Arial"/>
        </w:rPr>
        <w:t>) RNA sequence length be greater than 100bp and greater than 40%</w:t>
      </w:r>
      <w:r w:rsidRPr="00F1264D" w:rsidDel="00C569CB">
        <w:rPr>
          <w:rFonts w:ascii="Times" w:eastAsia="Microsoft Yi Baiti" w:hAnsi="Times" w:cs="Arial"/>
        </w:rPr>
        <w:t xml:space="preserve"> </w:t>
      </w:r>
      <w:r w:rsidRPr="00F1264D">
        <w:rPr>
          <w:rFonts w:ascii="Times" w:eastAsia="Microsoft Yi Baiti" w:hAnsi="Times" w:cs="Arial"/>
        </w:rPr>
        <w:t xml:space="preserve">of </w:t>
      </w:r>
      <w:proofErr w:type="spellStart"/>
      <w:r w:rsidRPr="00F1264D">
        <w:rPr>
          <w:rFonts w:ascii="Times" w:eastAsia="Microsoft Yi Baiti" w:hAnsi="Times" w:cs="Arial"/>
        </w:rPr>
        <w:t>cDNA</w:t>
      </w:r>
      <w:proofErr w:type="spellEnd"/>
      <w:r w:rsidRPr="00F1264D">
        <w:rPr>
          <w:rFonts w:ascii="Times" w:eastAsia="Microsoft Yi Baiti" w:hAnsi="Times" w:cs="Arial"/>
        </w:rPr>
        <w:t xml:space="preserve"> sequence length and (ii) that sequence identity be above 95%. Annotation and GO terms obtained for the RNA transcripts by BLAST2GO </w:t>
      </w:r>
      <w:r w:rsidRPr="00F1264D">
        <w:rPr>
          <w:rFonts w:ascii="Times" w:eastAsia="Microsoft Yi Baiti" w:hAnsi="Times" w:cs="Arial"/>
          <w:color w:val="E36C0A"/>
        </w:rPr>
        <w:fldChar w:fldCharType="begin" w:fldLock="1"/>
      </w:r>
      <w:r w:rsidR="00236C99">
        <w:rPr>
          <w:rFonts w:ascii="Times" w:eastAsia="Microsoft Yi Baiti" w:hAnsi="Times" w:cs="Arial"/>
          <w:color w:val="E36C0A"/>
        </w:rPr>
        <w:instrText>ADDIN CSL_CITATION { "citationItems" : [ { "id" : "ITEM-1", "itemData" : { "DOI" : "10.1093/nar/gkn176", "ISSN" : "1362-4962", "PMID" : "18445632", "abstract" : "Functional genomics technologies have been widely adopted in the biological research of both model and non-model species. An efficient functional annotation of DNA or protein sequences is a major requirement for the successful application of these approaches as functional information on gene products is often the key to the interpretation of experimental results. Therefore, there is an increasing need for bioinformatics resources which are able to cope with large amount of sequence data, produce valuable annotation results and are easily accessible to laboratories where functional genomics projects are being undertaken. We present the Blast2GO suite as an integrated and biologist-oriented solution for the high-throughput and automatic functional annotation of DNA or protein sequences based on the Gene Ontology vocabulary. The most outstanding Blast2GO features are: (i) the combination of various annotation strategies and tools controlling type and intensity of annotation, (ii) the numerous graphical features such as the interactive GO-graph visualization for gene-set function profiling or descriptive charts, (iii) the general sequence management features and (iv) high-throughput capabilities. We used the Blast2GO framework to carry out a detailed analysis of annotation behaviour through homology transfer and its impact in functional genomics research. Our aim is to offer biologists useful information to take into account when addressing the task of functionally characterizing their sequence data.", "author" : [ { "dropping-particle" : "", "family" : "G\u00f6tz", "given" : "Stefan", "non-dropping-particle" : "", "parse-names" : false, "suffix" : "" }, { "dropping-particle" : "", "family" : "Garc\u00eda-G\u00f3mez", "given" : "Juan Miguel", "non-dropping-particle" : "", "parse-names" : false, "suffix" : "" }, { "dropping-particle" : "", "family" : "Terol", "given" : "Javier", "non-dropping-particle" : "", "parse-names" : false, "suffix" : "" }, { "dropping-particle" : "", "family" : "Williams", "given" : "Tim D", "non-dropping-particle" : "", "parse-names" : false, "suffix" : "" }, { "dropping-particle" : "", "family" : "Nagaraj", "given" : "Shivashankar H", "non-dropping-particle" : "", "parse-names" : false, "suffix" : "" }, { "dropping-particle" : "", "family" : "Nueda", "given" : "Mar\u00eda Jos\u00e9", "non-dropping-particle" : "", "parse-names" : false, "suffix" : "" }, { "dropping-particle" : "", "family" : "Robles", "given" : "Montserrat", "non-dropping-particle" : "", "parse-names" : false, "suffix" : "" }, { "dropping-particle" : "", "family" : "Tal\u00f3n", "given" : "Manuel", "non-dropping-particle" : "", "parse-names" : false, "suffix" : "" }, { "dropping-particle" : "", "family" : "Dopazo", "given" : "Joaqu\u00edn", "non-dropping-particle" : "", "parse-names" : false, "suffix" : "" }, { "dropping-particle" : "", "family" : "Conesa", "given" : "Ana", "non-dropping-particle" : "", "parse-names" : false, "suffix" : "" } ], "container-title" : "Nucleic acids research", "id" : "ITEM-1", "issue" : "10", "issued" : { "date-parts" : [ [ "2008", "6", "1" ] ] }, "page" : "3420-35", "title" : "High-throughput functional annotation and data mining with the Blast2GO suite.", "type" : "article-journal", "volume" : "36" }, "uris" : [ "http://www.mendeley.com/documents/?uuid=1fc4dd62-4021-4b70-b277-b0ec6d7b1546" ] } ], "mendeley" : { "previouslyFormattedCitation" : "[5]" }, "properties" : { "noteIndex" : 0 }, "schema" : "https://github.com/citation-style-language/schema/raw/master/csl-citation.json" }</w:instrText>
      </w:r>
      <w:r w:rsidRPr="00F1264D">
        <w:rPr>
          <w:rFonts w:ascii="Times" w:eastAsia="Microsoft Yi Baiti" w:hAnsi="Times" w:cs="Arial"/>
          <w:color w:val="E36C0A"/>
        </w:rPr>
        <w:fldChar w:fldCharType="separate"/>
      </w:r>
      <w:r w:rsidR="00236C99" w:rsidRPr="00236C99">
        <w:rPr>
          <w:rFonts w:ascii="Times" w:eastAsia="Microsoft Yi Baiti" w:hAnsi="Times" w:cs="Arial"/>
          <w:noProof/>
          <w:color w:val="E36C0A"/>
        </w:rPr>
        <w:t>[5]</w:t>
      </w:r>
      <w:r w:rsidRPr="00F1264D">
        <w:rPr>
          <w:rFonts w:ascii="Times" w:eastAsia="Microsoft Yi Baiti" w:hAnsi="Times" w:cs="Arial"/>
          <w:color w:val="E36C0A"/>
        </w:rPr>
        <w:fldChar w:fldCharType="end"/>
      </w:r>
      <w:r w:rsidRPr="00F1264D">
        <w:rPr>
          <w:rFonts w:ascii="Times" w:eastAsia="Microsoft Yi Baiti" w:hAnsi="Times" w:cs="Arial"/>
          <w:color w:val="E36C0A"/>
        </w:rPr>
        <w:t xml:space="preserve"> </w:t>
      </w:r>
      <w:r w:rsidRPr="00F1264D">
        <w:rPr>
          <w:rFonts w:ascii="Times" w:eastAsia="Microsoft Yi Baiti" w:hAnsi="Times" w:cs="Arial"/>
        </w:rPr>
        <w:t xml:space="preserve">were assigned to the </w:t>
      </w:r>
      <w:proofErr w:type="spellStart"/>
      <w:r w:rsidRPr="00F1264D">
        <w:rPr>
          <w:rFonts w:ascii="Times" w:eastAsia="Microsoft Yi Baiti" w:hAnsi="Times" w:cs="Arial"/>
        </w:rPr>
        <w:t>cDNA</w:t>
      </w:r>
      <w:proofErr w:type="spellEnd"/>
      <w:r w:rsidRPr="00F1264D">
        <w:rPr>
          <w:rFonts w:ascii="Times" w:eastAsia="Microsoft Yi Baiti" w:hAnsi="Times" w:cs="Arial"/>
        </w:rPr>
        <w:t xml:space="preserve"> sequences that matched these transcripts.  </w:t>
      </w:r>
      <w:proofErr w:type="spellStart"/>
      <w:proofErr w:type="gramStart"/>
      <w:r w:rsidRPr="00F1264D">
        <w:rPr>
          <w:rFonts w:ascii="Times" w:eastAsia="Microsoft Yi Baiti" w:hAnsi="Times" w:cs="Arial"/>
        </w:rPr>
        <w:t>cDNA</w:t>
      </w:r>
      <w:proofErr w:type="spellEnd"/>
      <w:proofErr w:type="gramEnd"/>
      <w:r w:rsidRPr="00F1264D">
        <w:rPr>
          <w:rFonts w:ascii="Times" w:eastAsia="Microsoft Yi Baiti" w:hAnsi="Times" w:cs="Arial"/>
        </w:rPr>
        <w:t xml:space="preserve"> sequences that failed to match RNA transcripts were </w:t>
      </w:r>
      <w:r w:rsidRPr="00F1264D">
        <w:rPr>
          <w:rFonts w:ascii="Times" w:eastAsia="Microsoft Yi Baiti" w:hAnsi="Times" w:cs="Arial"/>
          <w:lang w:eastAsia="zh-TW"/>
        </w:rPr>
        <w:t xml:space="preserve">compared </w:t>
      </w:r>
      <w:r w:rsidRPr="00F1264D">
        <w:rPr>
          <w:rFonts w:ascii="Times" w:eastAsia="Microsoft Yi Baiti" w:hAnsi="Times" w:cs="Arial"/>
        </w:rPr>
        <w:t xml:space="preserve">against the </w:t>
      </w:r>
      <w:r w:rsidRPr="00F1264D">
        <w:rPr>
          <w:rFonts w:ascii="Times" w:eastAsia="Microsoft Yi Baiti" w:hAnsi="Times" w:cs="Arial"/>
          <w:i/>
          <w:iCs/>
        </w:rPr>
        <w:t xml:space="preserve">S. </w:t>
      </w:r>
      <w:proofErr w:type="spellStart"/>
      <w:r w:rsidRPr="00F1264D">
        <w:rPr>
          <w:rFonts w:ascii="Times" w:eastAsia="Microsoft Yi Baiti" w:hAnsi="Times" w:cs="Arial"/>
          <w:i/>
          <w:iCs/>
        </w:rPr>
        <w:t>invicta</w:t>
      </w:r>
      <w:proofErr w:type="spellEnd"/>
      <w:r w:rsidRPr="00F1264D">
        <w:rPr>
          <w:rFonts w:ascii="Times" w:eastAsia="Microsoft Yi Baiti" w:hAnsi="Times" w:cs="Arial"/>
        </w:rPr>
        <w:t xml:space="preserve"> proteome </w:t>
      </w:r>
      <w:r w:rsidRPr="00F1264D">
        <w:rPr>
          <w:rFonts w:ascii="Times" w:eastAsia="Microsoft Yi Baiti" w:hAnsi="Times" w:cs="Arial"/>
          <w:color w:val="E36C0A"/>
        </w:rPr>
        <w:fldChar w:fldCharType="begin" w:fldLock="1"/>
      </w:r>
      <w:r w:rsidR="00236C99">
        <w:rPr>
          <w:rFonts w:ascii="Times" w:eastAsia="Microsoft Yi Baiti" w:hAnsi="Times" w:cs="Arial"/>
          <w:color w:val="E36C0A"/>
        </w:rPr>
        <w:instrText>ADDIN CSL_CITATION { "citationItems" : [ { "id" : "ITEM-1", "itemData" : { "DOI" : "10.1073/pnas.1009690108", "ISBN" : "1009690108", "ISSN" : "1091-6490", "PMID" : "21282665", "abstract" : "Ants have evolved very complex societies and are key ecosystem members. Some ants, such as the fire ant Solenopsis invicta, are also major pests. Here, we present a draft genome of S. invicta, assembled from Roche 454 and Illumina sequencing reads obtained from a focal haploid male and his brothers. We used comparative genomic methods to obtain insight into the unique features of the S. invicta genome. For example, we found that this genome harbors four adjacent copies of vitellogenin. A phylogenetic analysis revealed that an ancestral vitellogenin gene first underwent a duplication that was followed by possibly independent duplications of each of the daughter vitellogenins. The vitellogenin genes have undergone subfunctionalization with queen- and worker-specific expression, possibly reflecting differential selection acting on the queen and worker castes. Additionally, we identified more than 400 putative olfactory receptors of which at least 297 are intact. This represents the largest repertoire reported so far in insects. S. invicta also harbors an expansion of a specific family of lipid-processing genes, two putative orthologs to the transformer/feminizer sex differentiation gene, a functional DNA methylation system, and a single putative telomerase ortholog. EST data indicate that this S. invicta telomerase ortholog has at least four spliceforms that differ in their use of two sets of mutually exclusive exons. Some of these and other unique aspects of the fire ant genome are likely linked to the complex social behavior of this species.", "author" : [ { "dropping-particle" : "", "family" : "Wurm", "given" : "Yannick", "non-dropping-particle" : "", "parse-names" : false, "suffix" : "" }, { "dropping-particle" : "", "family" : "Wang", "given" : "John", "non-dropping-particle" : "", "parse-names" : false, "suffix" : "" }, { "dropping-particle" : "", "family" : "Riba-Grognuz", "given" : "Oksana", "non-dropping-particle" : "", "parse-names" : false, "suffix" : "" }, { "dropping-particle" : "", "family" : "Corona", "given" : "Miguel", "non-dropping-particle" : "", "parse-names" : false, "suffix" : "" }, { "dropping-particle" : "", "family" : "Nygaard", "given" : "Sanne", "non-dropping-particle" : "", "parse-names" : false, "suffix" : "" }, { "dropping-particle" : "", "family" : "Hunt", "given" : "Brendan G", "non-dropping-particle" : "", "parse-names" : false, "suffix" : "" }, { "dropping-particle" : "", "family" : "Ingram", "given" : "Krista K", "non-dropping-particle" : "", "parse-names" : false, "suffix" : "" }, { "dropping-particle" : "", "family" : "Falquet", "given" : "Laurent", "non-dropping-particle" : "", "parse-names" : false, "suffix" : "" }, { "dropping-particle" : "", "family" : "Nipitwattanaphon", "given" : "Mingkwan", "non-dropping-particle" : "", "parse-names" : false, "suffix" : "" }, { "dropping-particle" : "", "family" : "Gotzek", "given" : "Dietrich", "non-dropping-particle" : "", "parse-names" : false, "suffix" : "" }, { "dropping-particle" : "", "family" : "Dijkstra", "given" : "Michiel B", "non-dropping-particle" : "", "parse-names" : false, "suffix" : "" }, { "dropping-particle" : "", "family" : "Oettler", "given" : "Jan", "non-dropping-particle" : "", "parse-names" : false, "suffix" : "" }, { "dropping-particle" : "", "family" : "Comtesse", "given" : "Fabien", "non-dropping-particle" : "", "parse-names" : false, "suffix" : "" }, { "dropping-particle" : "", "family" : "Shih", "given" : "Cheng-Jen", "non-dropping-particle" : "", "parse-names" : false, "suffix" : "" }, { "dropping-particle" : "", "family" : "Wu", "given" : "Wen-Jer", "non-dropping-particle" : "", "parse-names" : false, "suffix" : "" }, { "dropping-particle" : "", "family" : "Yang", "given" : "Chin-Cheng", "non-dropping-particle" : "", "parse-names" : false, "suffix" : "" }, { "dropping-particle" : "", "family" : "Thomas", "given" : "Jerome", "non-dropping-particle" : "", "parse-names" : false, "suffix" : "" }, { "dropping-particle" : "", "family" : "Beaudoing", "given" : "Emmanuel", "non-dropping-particle" : "", "parse-names" : false, "suffix" : "" }, { "dropping-particle" : "", "family" : "Pradervand", "given" : "Sylvain", "non-dropping-particle" : "", "parse-names" : false, "suffix" : "" }, { "dropping-particle" : "", "family" : "Flegel", "given" : "Volker", "non-dropping-particle" : "", "parse-names" : false, "suffix" : "" }, { "dropping-particle" : "", "family" : "Cook", "given" : "Erin D", "non-dropping-particle" : "", "parse-names" : false, "suffix" : "" }, { "dropping-particle" : "", "family" : "Fabbretti", "given" : "Roberto", "non-dropping-particle" : "", "parse-names" : false, "suffix" : "" }, { "dropping-particle" : "", "family" : "Stockinger", "given" : "Heinz", "non-dropping-particle" : "", "parse-names" : false, "suffix" : "" }, { "dropping-particle" : "", "family" : "Long", "given" : "Li", "non-dropping-particle" : "", "parse-names" : false, "suffix" : "" }, { "dropping-particle" : "", "family" : "Farmerie", "given" : "William G", "non-dropping-particle" : "", "parse-names" : false, "suffix" : "" }, { "dropping-particle" : "", "family" : "Oakey", "given" : "Jane", "non-dropping-particle" : "", "parse-names" : false, "suffix" : "" }, { "dropping-particle" : "", "family" : "Boomsma", "given" : "Jacobus J", "non-dropping-particle" : "", "parse-names" : false, "suffix" : "" }, { "dropping-particle" : "", "family" : "Pamilo", "given" : "Pekka", "non-dropping-particle" : "", "parse-names" : false, "suffix" : "" }, { "dropping-particle" : "V", "family" : "Yi", "given" : "Soojin", "non-dropping-particle" : "", "parse-names" : false, "suffix" : "" }, { "dropping-particle" : "", "family" : "Heinze", "given" : "J\u00fcrgen", "non-dropping-particle" : "", "parse-names" : false, "suffix" : "" }, { "dropping-particle" : "", "family" : "Goodisman", "given" : "Michael a D", "non-dropping-particle" : "", "parse-names" : false, "suffix" : "" }, { "dropping-particle" : "", "family" : "Farinelli", "given" : "Laurent", "non-dropping-particle" : "", "parse-names" : false, "suffix" : "" }, { "dropping-particle" : "", "family" : "Harshman", "given" : "Keith", "non-dropping-particle" : "", "parse-names" : false, "suffix" : "" }, { "dropping-particle" : "", "family" : "Hulo", "given" : "Nicolas", "non-dropping-particle" : "", "parse-names" : false, "suffix" : "" }, { "dropping-particle" : "", "family" : "Cerutti", "given" : "Lorenzo", "non-dropping-particle" : "", "parse-names" : false, "suffix" : "" }, { "dropping-particle" : "", "family" : "Xenarios", "given" : "Ioannis", "non-dropping-particle" : "", "parse-names" : false, "suffix" : "" }, { "dropping-particle" : "", "family" : "Shoemaker", "given" : "Dewayne", "non-dropping-particle" : "", "parse-names" : false, "suffix" : "" }, { "dropping-particle" : "", "family" : "Keller", "given" : "Laurent", "non-dropping-particle" : "", "parse-names" : false, "suffix" : "" } ], "container-title" : "Proceedings of the National Academy of Sciences of the United States of America", "id" : "ITEM-1", "issue" : "14Proceedings of the National Academy of Sciences of the United States of America", "issued" : { "date-parts" : [ [ "2011", "4", "5" ] ] }, "page" : "5679-84", "title" : "The genome of the fire ant Solenopsis invicta.", "type" : "article-journal", "volume" : "108" }, "uris" : [ "http://www.mendeley.com/documents/?uuid=d0b09d85-f141-428e-ad83-d7182e2084f6" ] } ], "mendeley" : { "previouslyFormattedCitation" : "[6]" }, "properties" : { "noteIndex" : 0 }, "schema" : "https://github.com/citation-style-language/schema/raw/master/csl-citation.json" }</w:instrText>
      </w:r>
      <w:r w:rsidRPr="00F1264D">
        <w:rPr>
          <w:rFonts w:ascii="Times" w:eastAsia="Microsoft Yi Baiti" w:hAnsi="Times" w:cs="Arial"/>
          <w:color w:val="E36C0A"/>
        </w:rPr>
        <w:fldChar w:fldCharType="separate"/>
      </w:r>
      <w:r w:rsidR="00236C99" w:rsidRPr="00236C99">
        <w:rPr>
          <w:rFonts w:ascii="Times" w:eastAsia="Microsoft Yi Baiti" w:hAnsi="Times" w:cs="Arial"/>
          <w:noProof/>
          <w:color w:val="E36C0A"/>
        </w:rPr>
        <w:t>[6]</w:t>
      </w:r>
      <w:r w:rsidRPr="00F1264D">
        <w:rPr>
          <w:rFonts w:ascii="Times" w:eastAsia="Microsoft Yi Baiti" w:hAnsi="Times" w:cs="Arial"/>
          <w:color w:val="E36C0A"/>
        </w:rPr>
        <w:fldChar w:fldCharType="end"/>
      </w:r>
      <w:r w:rsidRPr="00F1264D">
        <w:rPr>
          <w:rFonts w:ascii="Times" w:eastAsia="Microsoft Yi Baiti" w:hAnsi="Times" w:cs="Arial"/>
          <w:color w:val="E36C0A"/>
          <w:lang w:eastAsia="zh-TW"/>
        </w:rPr>
        <w:t xml:space="preserve"> </w:t>
      </w:r>
      <w:r w:rsidRPr="00F1264D">
        <w:rPr>
          <w:rFonts w:ascii="Times" w:eastAsia="Microsoft Yi Baiti" w:hAnsi="Times" w:cs="Arial"/>
          <w:lang w:eastAsia="zh-TW"/>
        </w:rPr>
        <w:t xml:space="preserve">using </w:t>
      </w:r>
      <w:proofErr w:type="spellStart"/>
      <w:r w:rsidRPr="00F1264D">
        <w:rPr>
          <w:rFonts w:ascii="Times" w:eastAsia="Microsoft Yi Baiti" w:hAnsi="Times" w:cs="Arial"/>
          <w:lang w:eastAsia="zh-TW"/>
        </w:rPr>
        <w:t>BLASTx</w:t>
      </w:r>
      <w:proofErr w:type="spellEnd"/>
      <w:r w:rsidRPr="00F1264D">
        <w:rPr>
          <w:rFonts w:ascii="Times" w:eastAsia="Microsoft Yi Baiti" w:hAnsi="Times" w:cs="Arial"/>
          <w:lang w:eastAsia="zh-TW"/>
        </w:rPr>
        <w:t xml:space="preserve"> </w:t>
      </w:r>
      <w:r w:rsidRPr="00EA5582">
        <w:rPr>
          <w:rFonts w:ascii="Times" w:eastAsia="Microsoft Yi Baiti" w:hAnsi="Times" w:cs="Arial"/>
          <w:color w:val="E36C0A"/>
        </w:rPr>
        <w:fldChar w:fldCharType="begin" w:fldLock="1"/>
      </w:r>
      <w:r w:rsidR="00236C99">
        <w:rPr>
          <w:rFonts w:ascii="Times" w:eastAsia="Microsoft Yi Baiti" w:hAnsi="Times" w:cs="Arial"/>
          <w:color w:val="E36C0A"/>
        </w:rPr>
        <w:instrText>ADDIN CSL_CITATION { "citationItems" : [ { "id" : "ITEM-1", "itemData" : { "DOI" : "10.1016/S0022-2836(05)80360-2", "ISSN" : "0022-2836", "PMID" : "2231712", "abstract" : "A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"author" : [ { "dropping-particle" : "", "family" : "Altschul", "given" : "S F", "non-dropping-particle" : "", "parse-names" : false, "suffix" : "" }, { "dropping-particle" : "", "family" : "Gish", "given" : "W", "non-dropping-particle" : "", "parse-names" : false, "suffix" : "" }, { "dropping-particle" : "", "family" : "Miller", "given" : "W", "non-dropping-particle" : "", "parse-names" : false, "suffix" : "" }, { "dropping-particle" : "", "family" : "Myers", "given" : "E W", "non-dropping-particle" : "", "parse-names" : false, "suffix" : "" }, { "dropping-particle" : "", "family" : "Lipman", "given" : "D J", "non-dropping-particle" : "", "parse-names" : false, "suffix" : "" } ], "container-title" : "Journal of molecular biology", "id" : "ITEM-1", "issue" : "3", "issued" : { "date-parts" : [ [ "1990", "10", "5" ] ] }, "page" : "403-10", "title" : "Basic local alignment search tool.", "type" : "article-journal", "volume" : "215" }, "uris" : [ "http://www.mendeley.com/documents/?uuid=7a2d23c5-5fb7-43e2-82c3-76e6937f3ff6" ] } ], "mendeley" : { "previouslyFormattedCitation" : "[4]" }, "properties" : { "noteIndex" : 0 }, "schema" : "https://github.com/citation-style-language/schema/raw/master/csl-citation.json" }</w:instrText>
      </w:r>
      <w:r w:rsidRPr="00EA5582">
        <w:rPr>
          <w:rFonts w:ascii="Times" w:eastAsia="Microsoft Yi Baiti" w:hAnsi="Times" w:cs="Arial"/>
          <w:color w:val="E36C0A"/>
        </w:rPr>
        <w:fldChar w:fldCharType="separate"/>
      </w:r>
      <w:r w:rsidR="00236C99" w:rsidRPr="00236C99">
        <w:rPr>
          <w:rFonts w:ascii="Times" w:eastAsia="Microsoft Yi Baiti" w:hAnsi="Times" w:cs="Arial"/>
          <w:noProof/>
          <w:color w:val="E36C0A"/>
        </w:rPr>
        <w:t>[4]</w:t>
      </w:r>
      <w:r w:rsidRPr="00EA5582">
        <w:rPr>
          <w:rFonts w:ascii="Times" w:eastAsia="Microsoft Yi Baiti" w:hAnsi="Times" w:cs="Arial"/>
          <w:color w:val="E36C0A"/>
        </w:rPr>
        <w:fldChar w:fldCharType="end"/>
      </w:r>
      <w:r w:rsidRPr="00F1264D">
        <w:rPr>
          <w:rFonts w:ascii="Times" w:eastAsia="Microsoft Yi Baiti" w:hAnsi="Times" w:cs="Arial"/>
        </w:rPr>
        <w:t xml:space="preserve">, and we retained the annotation and GO terms of the best hits. For the remaining </w:t>
      </w:r>
      <w:proofErr w:type="spellStart"/>
      <w:r w:rsidRPr="00F1264D">
        <w:rPr>
          <w:rFonts w:ascii="Times" w:eastAsia="Microsoft Yi Baiti" w:hAnsi="Times" w:cs="Arial"/>
        </w:rPr>
        <w:t>cDNA</w:t>
      </w:r>
      <w:r w:rsidRPr="00F1264D">
        <w:rPr>
          <w:rFonts w:ascii="Times" w:eastAsia="Microsoft Yi Baiti" w:hAnsi="Times" w:cs="Arial"/>
          <w:lang w:eastAsia="zh-TW"/>
        </w:rPr>
        <w:t>s</w:t>
      </w:r>
      <w:proofErr w:type="spellEnd"/>
      <w:r w:rsidRPr="00F1264D">
        <w:rPr>
          <w:rFonts w:ascii="Times" w:eastAsia="Microsoft Yi Baiti" w:hAnsi="Times" w:cs="Arial"/>
        </w:rPr>
        <w:t xml:space="preserve"> that neither matched RNA transcripts nor the proteome of </w:t>
      </w:r>
      <w:r w:rsidRPr="00F1264D">
        <w:rPr>
          <w:rFonts w:ascii="Times" w:eastAsia="Microsoft Yi Baiti" w:hAnsi="Times" w:cs="Arial"/>
          <w:i/>
          <w:iCs/>
        </w:rPr>
        <w:t xml:space="preserve">S. </w:t>
      </w:r>
      <w:proofErr w:type="spellStart"/>
      <w:r w:rsidRPr="00F1264D">
        <w:rPr>
          <w:rFonts w:ascii="Times" w:eastAsia="Microsoft Yi Baiti" w:hAnsi="Times" w:cs="Arial"/>
          <w:i/>
          <w:iCs/>
        </w:rPr>
        <w:t>invicta</w:t>
      </w:r>
      <w:proofErr w:type="spellEnd"/>
      <w:r w:rsidRPr="00F1264D">
        <w:rPr>
          <w:rFonts w:ascii="Times" w:eastAsia="Microsoft Yi Baiti" w:hAnsi="Times" w:cs="Arial"/>
        </w:rPr>
        <w:t xml:space="preserve"> (e.g., viral genes), we used the annotation and GO terms of the best hits from a direct BLAST search of the Swiss-</w:t>
      </w:r>
      <w:proofErr w:type="spellStart"/>
      <w:r w:rsidRPr="00F1264D">
        <w:rPr>
          <w:rFonts w:ascii="Times" w:eastAsia="Microsoft Yi Baiti" w:hAnsi="Times" w:cs="Arial"/>
        </w:rPr>
        <w:t>Prot</w:t>
      </w:r>
      <w:proofErr w:type="spellEnd"/>
      <w:r w:rsidRPr="00F1264D">
        <w:rPr>
          <w:rFonts w:ascii="Times" w:eastAsia="Microsoft Yi Baiti" w:hAnsi="Times" w:cs="Arial"/>
        </w:rPr>
        <w:t xml:space="preserve"> (reviewed) and </w:t>
      </w:r>
      <w:proofErr w:type="spellStart"/>
      <w:r w:rsidRPr="00F1264D">
        <w:rPr>
          <w:rFonts w:ascii="Times" w:eastAsia="Microsoft Yi Baiti" w:hAnsi="Times" w:cs="Arial"/>
        </w:rPr>
        <w:t>TrEMBL</w:t>
      </w:r>
      <w:proofErr w:type="spellEnd"/>
      <w:r w:rsidRPr="00F1264D">
        <w:rPr>
          <w:rFonts w:ascii="Times" w:eastAsia="Microsoft Yi Baiti" w:hAnsi="Times" w:cs="Arial"/>
        </w:rPr>
        <w:t xml:space="preserve"> (</w:t>
      </w:r>
      <w:proofErr w:type="spellStart"/>
      <w:r w:rsidRPr="00F1264D">
        <w:rPr>
          <w:rFonts w:ascii="Times" w:eastAsia="Microsoft Yi Baiti" w:hAnsi="Times" w:cs="Arial"/>
        </w:rPr>
        <w:t>unreviewed</w:t>
      </w:r>
      <w:proofErr w:type="spellEnd"/>
      <w:r w:rsidRPr="00F1264D">
        <w:rPr>
          <w:rFonts w:ascii="Times" w:eastAsia="Microsoft Yi Baiti" w:hAnsi="Times" w:cs="Arial"/>
        </w:rPr>
        <w:t xml:space="preserve">) databases. Enrichment analyses were done using the </w:t>
      </w:r>
      <w:proofErr w:type="spellStart"/>
      <w:r w:rsidRPr="00F1264D">
        <w:rPr>
          <w:rFonts w:ascii="Times" w:eastAsia="Microsoft Yi Baiti" w:hAnsi="Times" w:cs="Arial"/>
        </w:rPr>
        <w:t>TopGO</w:t>
      </w:r>
      <w:proofErr w:type="spellEnd"/>
      <w:r w:rsidRPr="00F1264D">
        <w:rPr>
          <w:rFonts w:ascii="Times" w:eastAsia="Microsoft Yi Baiti" w:hAnsi="Times" w:cs="Arial"/>
        </w:rPr>
        <w:t xml:space="preserve"> software </w:t>
      </w:r>
      <w:r w:rsidRPr="00F1264D">
        <w:rPr>
          <w:rFonts w:ascii="Times" w:eastAsia="Microsoft Yi Baiti" w:hAnsi="Times" w:cs="Arial"/>
          <w:color w:val="E36C0A"/>
        </w:rPr>
        <w:fldChar w:fldCharType="begin" w:fldLock="1"/>
      </w:r>
      <w:r w:rsidR="00236C99">
        <w:rPr>
          <w:rFonts w:ascii="Times" w:eastAsia="Microsoft Yi Baiti" w:hAnsi="Times" w:cs="Arial"/>
          <w:color w:val="E36C0A"/>
        </w:rPr>
        <w:instrText>ADDIN CSL_CITATION { "citationItems" : [ { "id" : "ITEM-1", "itemData" : { "author" : [ { "dropping-particle" : "", "family" : "Alexa", "given" : "Adrian", "non-dropping-particle" : "", "parse-names" : false, "suffix" : "" }, { "dropping-particle" : "", "family" : "Rahnenf\u00fchrer", "given" : "Jorg", "non-dropping-particle" : "", "parse-names" : false, "suffix" : "" } ], "container-title" : "Bioconductor package version 2.6.0. http://www.bioconductor.org/packages/release/bioc/", "id" : "ITEM-1", "issued" : { "date-parts" : [ [ "2010" ] ] }, "title" : "topGO: Enrichment analysis for Gene Ontology.", "type" : "article-journal" }, "uris" : [ "http://www.mendeley.com/documents/?uuid=330e1a62-0657-4bf2-b331-b0fe4b116941" ] } ], "mendeley" : { "previouslyFormattedCitation" : "[7]" }, "properties" : { "noteIndex" : 0 }, "schema" : "https://github.com/citation-style-language/schema/raw/master/csl-citation.json" }</w:instrText>
      </w:r>
      <w:r w:rsidRPr="00F1264D">
        <w:rPr>
          <w:rFonts w:ascii="Times" w:eastAsia="Microsoft Yi Baiti" w:hAnsi="Times" w:cs="Arial"/>
          <w:color w:val="E36C0A"/>
        </w:rPr>
        <w:fldChar w:fldCharType="separate"/>
      </w:r>
      <w:r w:rsidR="00236C99" w:rsidRPr="00236C99">
        <w:rPr>
          <w:rFonts w:ascii="Times" w:eastAsia="Microsoft Yi Baiti" w:hAnsi="Times" w:cs="Arial"/>
          <w:noProof/>
          <w:color w:val="E36C0A"/>
        </w:rPr>
        <w:t>[7]</w:t>
      </w:r>
      <w:r w:rsidRPr="00F1264D">
        <w:rPr>
          <w:rFonts w:ascii="Times" w:eastAsia="Microsoft Yi Baiti" w:hAnsi="Times" w:cs="Arial"/>
          <w:color w:val="E36C0A"/>
        </w:rPr>
        <w:fldChar w:fldCharType="end"/>
      </w:r>
      <w:r w:rsidRPr="00F1264D">
        <w:rPr>
          <w:rFonts w:ascii="Times" w:eastAsia="Microsoft Yi Baiti" w:hAnsi="Times" w:cs="Arial"/>
        </w:rPr>
        <w:t>.</w:t>
      </w:r>
    </w:p>
    <w:p w14:paraId="1460A09F" w14:textId="77777777" w:rsidR="00A53C99" w:rsidRPr="00F1264D" w:rsidRDefault="00A53C99" w:rsidP="005005AC">
      <w:pPr>
        <w:spacing w:line="276" w:lineRule="auto"/>
        <w:jc w:val="both"/>
        <w:rPr>
          <w:rFonts w:ascii="Times" w:eastAsia="Microsoft Yi Baiti" w:hAnsi="Times" w:cs="Arial"/>
        </w:rPr>
      </w:pPr>
    </w:p>
    <w:p w14:paraId="59FEA7E9" w14:textId="77777777" w:rsidR="00A53C99" w:rsidRPr="00F1264D" w:rsidRDefault="00A53C99" w:rsidP="005005AC">
      <w:pPr>
        <w:spacing w:line="276" w:lineRule="auto"/>
        <w:jc w:val="both"/>
        <w:rPr>
          <w:rFonts w:ascii="Times" w:eastAsia="Microsoft Yi Baiti" w:hAnsi="Times" w:cs="Arial"/>
          <w:b/>
          <w:szCs w:val="24"/>
        </w:rPr>
      </w:pPr>
      <w:r w:rsidRPr="00F1264D">
        <w:rPr>
          <w:rFonts w:ascii="Times" w:eastAsia="Microsoft Yi Baiti" w:hAnsi="Times" w:cs="Arial"/>
          <w:b/>
          <w:szCs w:val="24"/>
        </w:rPr>
        <w:t>Real-Time Quantitative Reverse Transcription PCR (</w:t>
      </w:r>
      <w:proofErr w:type="spellStart"/>
      <w:r w:rsidRPr="00F1264D">
        <w:rPr>
          <w:rFonts w:ascii="Times" w:eastAsia="Microsoft Yi Baiti" w:hAnsi="Times" w:cs="Arial"/>
          <w:b/>
          <w:szCs w:val="24"/>
        </w:rPr>
        <w:t>qRT</w:t>
      </w:r>
      <w:proofErr w:type="spellEnd"/>
      <w:r w:rsidRPr="00F1264D">
        <w:rPr>
          <w:rFonts w:ascii="Times" w:eastAsia="Microsoft Yi Baiti" w:hAnsi="Times" w:cs="Arial"/>
          <w:b/>
          <w:szCs w:val="24"/>
        </w:rPr>
        <w:t>-PCR)</w:t>
      </w:r>
    </w:p>
    <w:p w14:paraId="197C7FAC" w14:textId="77777777" w:rsidR="00A53C99" w:rsidRPr="00F1264D" w:rsidRDefault="00A53C99" w:rsidP="005005AC">
      <w:pPr>
        <w:pStyle w:val="Grillemoyenne11"/>
        <w:tabs>
          <w:tab w:val="clear" w:pos="0"/>
        </w:tabs>
        <w:jc w:val="both"/>
        <w:rPr>
          <w:rFonts w:ascii="Times" w:eastAsia="Microsoft Yi Baiti" w:hAnsi="Times" w:cs="Arial"/>
          <w:sz w:val="24"/>
          <w:szCs w:val="24"/>
        </w:rPr>
      </w:pPr>
      <w:r w:rsidRPr="00F1264D">
        <w:rPr>
          <w:rFonts w:ascii="Times" w:eastAsia="Microsoft Yi Baiti" w:hAnsi="Times" w:cs="Arial"/>
          <w:sz w:val="24"/>
          <w:szCs w:val="24"/>
        </w:rPr>
        <w:t xml:space="preserve">We assayed the expression differences for Exons 4, 5, 6, and 7, as well as the exon splice junction between Exons 4 and 6, of the </w:t>
      </w:r>
      <w:proofErr w:type="spellStart"/>
      <w:r w:rsidRPr="00F1264D">
        <w:rPr>
          <w:rFonts w:ascii="Times" w:eastAsia="Microsoft Yi Baiti" w:hAnsi="Times" w:cs="Arial"/>
          <w:i/>
          <w:iCs/>
          <w:sz w:val="24"/>
          <w:szCs w:val="24"/>
        </w:rPr>
        <w:t>doublesex</w:t>
      </w:r>
      <w:proofErr w:type="spellEnd"/>
      <w:r w:rsidRPr="00F1264D">
        <w:rPr>
          <w:rFonts w:ascii="Times" w:eastAsia="Microsoft Yi Baiti" w:hAnsi="Times" w:cs="Arial"/>
          <w:i/>
          <w:iCs/>
          <w:sz w:val="24"/>
          <w:szCs w:val="24"/>
        </w:rPr>
        <w:t xml:space="preserve"> </w:t>
      </w:r>
      <w:r w:rsidRPr="00F1264D">
        <w:rPr>
          <w:rFonts w:ascii="Times" w:eastAsia="Microsoft Yi Baiti" w:hAnsi="Times" w:cs="Arial"/>
          <w:iCs/>
          <w:sz w:val="24"/>
          <w:szCs w:val="24"/>
        </w:rPr>
        <w:t>(</w:t>
      </w:r>
      <w:proofErr w:type="spellStart"/>
      <w:r w:rsidRPr="00F1264D">
        <w:rPr>
          <w:rFonts w:ascii="Times" w:eastAsia="Microsoft Yi Baiti" w:hAnsi="Times" w:cs="Arial"/>
          <w:i/>
          <w:iCs/>
          <w:sz w:val="24"/>
          <w:szCs w:val="24"/>
        </w:rPr>
        <w:t>dsx</w:t>
      </w:r>
      <w:proofErr w:type="spellEnd"/>
      <w:r w:rsidRPr="00F1264D">
        <w:rPr>
          <w:rFonts w:ascii="Times" w:eastAsia="Microsoft Yi Baiti" w:hAnsi="Times" w:cs="Arial"/>
          <w:iCs/>
          <w:sz w:val="24"/>
          <w:szCs w:val="24"/>
        </w:rPr>
        <w:t>)</w:t>
      </w:r>
      <w:r w:rsidRPr="00F1264D">
        <w:rPr>
          <w:rFonts w:ascii="Times" w:eastAsia="Microsoft Yi Baiti" w:hAnsi="Times" w:cs="Arial"/>
          <w:sz w:val="24"/>
          <w:szCs w:val="24"/>
        </w:rPr>
        <w:t xml:space="preserve"> gene in eight individuals of each </w:t>
      </w:r>
      <w:proofErr w:type="spellStart"/>
      <w:r w:rsidRPr="00F1264D">
        <w:rPr>
          <w:rFonts w:ascii="Times" w:eastAsia="Microsoft Yi Baiti" w:hAnsi="Times" w:cs="Arial"/>
          <w:sz w:val="24"/>
          <w:szCs w:val="24"/>
        </w:rPr>
        <w:t>ploidy</w:t>
      </w:r>
      <w:proofErr w:type="spellEnd"/>
      <w:r w:rsidRPr="00F1264D">
        <w:rPr>
          <w:rFonts w:ascii="Times" w:eastAsia="Microsoft Yi Baiti" w:hAnsi="Times" w:cs="Arial"/>
          <w:sz w:val="24"/>
          <w:szCs w:val="24"/>
        </w:rPr>
        <w:t xml:space="preserve">/sex at each developmental </w:t>
      </w:r>
      <w:proofErr w:type="spellStart"/>
      <w:r w:rsidRPr="00F1264D">
        <w:rPr>
          <w:rFonts w:ascii="Times" w:eastAsia="Microsoft Yi Baiti" w:hAnsi="Times" w:cs="Arial"/>
          <w:sz w:val="24"/>
          <w:szCs w:val="24"/>
        </w:rPr>
        <w:t>timepoint</w:t>
      </w:r>
      <w:proofErr w:type="spellEnd"/>
      <w:r w:rsidRPr="00F1264D">
        <w:rPr>
          <w:rFonts w:ascii="Times" w:eastAsia="Microsoft Yi Baiti" w:hAnsi="Times" w:cs="Arial"/>
          <w:sz w:val="24"/>
          <w:szCs w:val="24"/>
        </w:rPr>
        <w:t xml:space="preserve"> (72 individuals) with </w:t>
      </w:r>
      <w:proofErr w:type="spellStart"/>
      <w:r w:rsidRPr="00F1264D">
        <w:rPr>
          <w:rFonts w:ascii="Times" w:eastAsia="Microsoft Yi Baiti" w:hAnsi="Times" w:cs="Arial"/>
          <w:sz w:val="24"/>
          <w:szCs w:val="24"/>
        </w:rPr>
        <w:t>qRT</w:t>
      </w:r>
      <w:proofErr w:type="spellEnd"/>
      <w:r w:rsidRPr="00F1264D">
        <w:rPr>
          <w:rFonts w:ascii="Times" w:eastAsia="Microsoft Yi Baiti" w:hAnsi="Times" w:cs="Arial"/>
          <w:sz w:val="24"/>
          <w:szCs w:val="24"/>
        </w:rPr>
        <w:t xml:space="preserve">-PCR. Half of these samples (four individuals for each </w:t>
      </w:r>
      <w:proofErr w:type="spellStart"/>
      <w:r w:rsidRPr="00F1264D">
        <w:rPr>
          <w:rFonts w:ascii="Times" w:eastAsia="Microsoft Yi Baiti" w:hAnsi="Times" w:cs="Arial"/>
          <w:sz w:val="24"/>
          <w:szCs w:val="24"/>
        </w:rPr>
        <w:t>ploidy</w:t>
      </w:r>
      <w:proofErr w:type="spellEnd"/>
      <w:r w:rsidRPr="00F1264D">
        <w:rPr>
          <w:rFonts w:ascii="Times" w:eastAsia="Microsoft Yi Baiti" w:hAnsi="Times" w:cs="Arial"/>
          <w:sz w:val="24"/>
          <w:szCs w:val="24"/>
        </w:rPr>
        <w:t xml:space="preserve">/sex and </w:t>
      </w:r>
      <w:proofErr w:type="spellStart"/>
      <w:r w:rsidRPr="00F1264D">
        <w:rPr>
          <w:rFonts w:ascii="Times" w:eastAsia="Microsoft Yi Baiti" w:hAnsi="Times" w:cs="Arial"/>
          <w:sz w:val="24"/>
          <w:szCs w:val="24"/>
        </w:rPr>
        <w:t>timepoint</w:t>
      </w:r>
      <w:proofErr w:type="spellEnd"/>
      <w:r w:rsidRPr="00F1264D">
        <w:rPr>
          <w:rFonts w:ascii="Times" w:eastAsia="Microsoft Yi Baiti" w:hAnsi="Times" w:cs="Arial"/>
          <w:sz w:val="24"/>
          <w:szCs w:val="24"/>
        </w:rPr>
        <w:t xml:space="preserve"> combination) were samples used in our microarray experiment and the other half were independent samples not used in the microarray experiment. We discarded eight individuals whose reverse transcription reactions were poor, so that the analyses were done on the following 64 samples: nine diploid male pupae, six haploid male pupae, eight queen pupae, four 1-day-old diploid male adults, six 1-day-old haploid male adults, eight 1-day-old adult queens, eight 11-day-old diploid male adults, seven 11-day-old haploid male adults, and eight 11-day-old adult queens.</w:t>
      </w:r>
    </w:p>
    <w:p w14:paraId="583A9DC8" w14:textId="77777777" w:rsidR="00A53C99" w:rsidRPr="00F1264D" w:rsidRDefault="00A53C99" w:rsidP="005005AC">
      <w:pPr>
        <w:pStyle w:val="Grillemoyenne11"/>
        <w:tabs>
          <w:tab w:val="clear" w:pos="0"/>
        </w:tabs>
        <w:jc w:val="both"/>
        <w:rPr>
          <w:rFonts w:ascii="Times" w:eastAsia="Microsoft Yi Baiti" w:hAnsi="Times" w:cs="Arial"/>
          <w:sz w:val="24"/>
          <w:szCs w:val="24"/>
        </w:rPr>
      </w:pPr>
    </w:p>
    <w:p w14:paraId="5BC3F99D" w14:textId="77777777" w:rsidR="00A53C99" w:rsidRPr="00F1264D" w:rsidRDefault="00A53C99" w:rsidP="005005AC">
      <w:pPr>
        <w:pStyle w:val="Grillemoyenne11"/>
        <w:tabs>
          <w:tab w:val="clear" w:pos="0"/>
        </w:tabs>
        <w:jc w:val="both"/>
        <w:rPr>
          <w:rFonts w:ascii="Times" w:eastAsia="Microsoft Yi Baiti" w:hAnsi="Times" w:cs="Arial"/>
          <w:sz w:val="24"/>
          <w:szCs w:val="24"/>
        </w:rPr>
      </w:pPr>
      <w:r w:rsidRPr="00F1264D">
        <w:rPr>
          <w:rFonts w:ascii="Times" w:eastAsia="Microsoft Yi Baiti" w:hAnsi="Times" w:cs="Arial"/>
          <w:sz w:val="24"/>
          <w:szCs w:val="24"/>
        </w:rPr>
        <w:t xml:space="preserve">We used </w:t>
      </w:r>
      <w:proofErr w:type="spellStart"/>
      <w:r w:rsidRPr="00F1264D">
        <w:rPr>
          <w:rFonts w:ascii="Times" w:eastAsia="Microsoft Yi Baiti" w:hAnsi="Times" w:cs="Arial"/>
          <w:sz w:val="24"/>
          <w:szCs w:val="24"/>
        </w:rPr>
        <w:t>TaqMan</w:t>
      </w:r>
      <w:proofErr w:type="spellEnd"/>
      <w:r w:rsidRPr="00F1264D">
        <w:rPr>
          <w:rFonts w:ascii="Times" w:eastAsia="Microsoft Yi Baiti" w:hAnsi="Times" w:cs="Arial"/>
          <w:sz w:val="24"/>
          <w:szCs w:val="24"/>
        </w:rPr>
        <w:t xml:space="preserve"> Reverse Transcription Reagents (Life Technologies) to synthesize </w:t>
      </w:r>
      <w:proofErr w:type="spellStart"/>
      <w:r w:rsidRPr="00F1264D">
        <w:rPr>
          <w:rFonts w:ascii="Times" w:eastAsia="Microsoft Yi Baiti" w:hAnsi="Times" w:cs="Arial"/>
          <w:sz w:val="24"/>
          <w:szCs w:val="24"/>
        </w:rPr>
        <w:t>cDNA</w:t>
      </w:r>
      <w:proofErr w:type="spellEnd"/>
      <w:r w:rsidRPr="00F1264D">
        <w:rPr>
          <w:rFonts w:ascii="Times" w:eastAsia="Microsoft Yi Baiti" w:hAnsi="Times" w:cs="Arial"/>
          <w:sz w:val="24"/>
          <w:szCs w:val="24"/>
        </w:rPr>
        <w:t xml:space="preserve"> from 1 µg of the total RNA of each individual with the following reagents: 5µl of 10</w:t>
      </w:r>
      <w:r w:rsidRPr="00F1264D">
        <w:rPr>
          <w:rFonts w:ascii="Times" w:eastAsia="Microsoft Yi Baiti" w:hAnsi="Times" w:cs="Arial"/>
          <w:sz w:val="24"/>
          <w:szCs w:val="24"/>
        </w:rPr>
        <w:sym w:font="Symbol" w:char="F0B4"/>
      </w:r>
      <w:r w:rsidRPr="00F1264D">
        <w:rPr>
          <w:rFonts w:ascii="Times" w:eastAsia="Microsoft Yi Baiti" w:hAnsi="Times" w:cs="Arial"/>
          <w:sz w:val="24"/>
          <w:szCs w:val="24"/>
        </w:rPr>
        <w:t xml:space="preserve"> RT buffer, 2.5µl of 50 </w:t>
      </w:r>
      <w:proofErr w:type="spellStart"/>
      <w:r w:rsidRPr="00F1264D">
        <w:rPr>
          <w:rFonts w:ascii="Times" w:eastAsia="Microsoft Yi Baiti" w:hAnsi="Times" w:cs="Arial"/>
          <w:sz w:val="24"/>
          <w:szCs w:val="24"/>
        </w:rPr>
        <w:t>mM</w:t>
      </w:r>
      <w:proofErr w:type="spellEnd"/>
      <w:r w:rsidRPr="00F1264D">
        <w:rPr>
          <w:rFonts w:ascii="Times" w:eastAsia="Microsoft Yi Baiti" w:hAnsi="Times" w:cs="Arial"/>
          <w:sz w:val="24"/>
          <w:szCs w:val="24"/>
        </w:rPr>
        <w:t xml:space="preserve"> random </w:t>
      </w:r>
      <w:proofErr w:type="spellStart"/>
      <w:r w:rsidRPr="00F1264D">
        <w:rPr>
          <w:rFonts w:ascii="Times" w:eastAsia="Microsoft Yi Baiti" w:hAnsi="Times" w:cs="Arial"/>
          <w:sz w:val="24"/>
          <w:szCs w:val="24"/>
        </w:rPr>
        <w:t>hexamers</w:t>
      </w:r>
      <w:proofErr w:type="spellEnd"/>
      <w:r w:rsidRPr="00F1264D">
        <w:rPr>
          <w:rFonts w:ascii="Times" w:eastAsia="Microsoft Yi Baiti" w:hAnsi="Times" w:cs="Arial"/>
          <w:sz w:val="24"/>
          <w:szCs w:val="24"/>
        </w:rPr>
        <w:t xml:space="preserve">, 1µl of 25 </w:t>
      </w:r>
      <w:proofErr w:type="spellStart"/>
      <w:r w:rsidRPr="00F1264D">
        <w:rPr>
          <w:rFonts w:ascii="Times" w:eastAsia="Microsoft Yi Baiti" w:hAnsi="Times" w:cs="Arial"/>
          <w:sz w:val="24"/>
          <w:szCs w:val="24"/>
        </w:rPr>
        <w:t>mM</w:t>
      </w:r>
      <w:proofErr w:type="spellEnd"/>
      <w:r w:rsidRPr="00F1264D">
        <w:rPr>
          <w:rFonts w:ascii="Times" w:eastAsia="Microsoft Yi Baiti" w:hAnsi="Times" w:cs="Arial"/>
          <w:sz w:val="24"/>
          <w:szCs w:val="24"/>
        </w:rPr>
        <w:t xml:space="preserve"> </w:t>
      </w:r>
      <w:proofErr w:type="spellStart"/>
      <w:r w:rsidRPr="00F1264D">
        <w:rPr>
          <w:rFonts w:ascii="Times" w:eastAsia="Microsoft Yi Baiti" w:hAnsi="Times" w:cs="Arial"/>
          <w:sz w:val="24"/>
          <w:szCs w:val="24"/>
        </w:rPr>
        <w:t>dNTPs</w:t>
      </w:r>
      <w:proofErr w:type="spellEnd"/>
      <w:r w:rsidRPr="00F1264D">
        <w:rPr>
          <w:rFonts w:ascii="Times" w:eastAsia="Microsoft Yi Baiti" w:hAnsi="Times" w:cs="Arial"/>
          <w:sz w:val="24"/>
          <w:szCs w:val="24"/>
        </w:rPr>
        <w:t xml:space="preserve">, 1µl of 25 </w:t>
      </w:r>
      <w:proofErr w:type="spellStart"/>
      <w:r w:rsidRPr="00F1264D">
        <w:rPr>
          <w:rFonts w:ascii="Times" w:eastAsia="Microsoft Yi Baiti" w:hAnsi="Times" w:cs="Arial"/>
          <w:sz w:val="24"/>
          <w:szCs w:val="24"/>
        </w:rPr>
        <w:t>nM</w:t>
      </w:r>
      <w:proofErr w:type="spellEnd"/>
      <w:r w:rsidRPr="00F1264D">
        <w:rPr>
          <w:rFonts w:ascii="Times" w:eastAsia="Microsoft Yi Baiti" w:hAnsi="Times" w:cs="Arial"/>
          <w:sz w:val="24"/>
          <w:szCs w:val="24"/>
        </w:rPr>
        <w:t xml:space="preserve"> </w:t>
      </w:r>
      <w:proofErr w:type="spellStart"/>
      <w:r w:rsidRPr="00F1264D">
        <w:rPr>
          <w:rFonts w:ascii="Times" w:eastAsia="Microsoft Yi Baiti" w:hAnsi="Times" w:cs="Arial"/>
          <w:sz w:val="24"/>
          <w:szCs w:val="24"/>
        </w:rPr>
        <w:t>RNase</w:t>
      </w:r>
      <w:proofErr w:type="spellEnd"/>
      <w:r w:rsidRPr="00F1264D">
        <w:rPr>
          <w:rFonts w:ascii="Times" w:eastAsia="Microsoft Yi Baiti" w:hAnsi="Times" w:cs="Arial"/>
          <w:sz w:val="24"/>
          <w:szCs w:val="24"/>
        </w:rPr>
        <w:t xml:space="preserve"> inhibitor, 1µl of reverse transcriptase (200 U), and water to a final volume of 50µl. This mixture was incubated at 48°C for 30 min and then heat inactivated at 9 °C for 5 min. After the reverse transcription reaction, we added 30µl of 10 </w:t>
      </w:r>
      <w:proofErr w:type="spellStart"/>
      <w:r w:rsidRPr="00F1264D">
        <w:rPr>
          <w:rFonts w:ascii="Times" w:eastAsia="Microsoft Yi Baiti" w:hAnsi="Times" w:cs="Arial"/>
          <w:sz w:val="24"/>
          <w:szCs w:val="24"/>
        </w:rPr>
        <w:t>mM</w:t>
      </w:r>
      <w:proofErr w:type="spellEnd"/>
      <w:r w:rsidRPr="00F1264D">
        <w:rPr>
          <w:rFonts w:ascii="Times" w:eastAsia="Microsoft Yi Baiti" w:hAnsi="Times" w:cs="Arial"/>
          <w:sz w:val="24"/>
          <w:szCs w:val="24"/>
        </w:rPr>
        <w:t xml:space="preserve"> </w:t>
      </w:r>
      <w:proofErr w:type="spellStart"/>
      <w:r w:rsidRPr="00F1264D">
        <w:rPr>
          <w:rFonts w:ascii="Times" w:eastAsia="Microsoft Yi Baiti" w:hAnsi="Times" w:cs="Arial"/>
          <w:sz w:val="24"/>
          <w:szCs w:val="24"/>
        </w:rPr>
        <w:t>Tris</w:t>
      </w:r>
      <w:proofErr w:type="spellEnd"/>
      <w:r w:rsidRPr="00F1264D">
        <w:rPr>
          <w:rFonts w:ascii="Times" w:eastAsia="Microsoft Yi Baiti" w:hAnsi="Times" w:cs="Arial"/>
          <w:sz w:val="24"/>
          <w:szCs w:val="24"/>
        </w:rPr>
        <w:t xml:space="preserve"> to adjust the volume to 80µl. A 4-fold dilution of these </w:t>
      </w:r>
      <w:proofErr w:type="spellStart"/>
      <w:r w:rsidRPr="00F1264D">
        <w:rPr>
          <w:rFonts w:ascii="Times" w:eastAsia="Microsoft Yi Baiti" w:hAnsi="Times" w:cs="Arial"/>
          <w:sz w:val="24"/>
          <w:szCs w:val="24"/>
        </w:rPr>
        <w:t>cDNA</w:t>
      </w:r>
      <w:proofErr w:type="spellEnd"/>
      <w:r w:rsidRPr="00F1264D">
        <w:rPr>
          <w:rFonts w:ascii="Times" w:eastAsia="Microsoft Yi Baiti" w:hAnsi="Times" w:cs="Arial"/>
          <w:sz w:val="24"/>
          <w:szCs w:val="24"/>
        </w:rPr>
        <w:t xml:space="preserve"> samples was used for the quantitative PCR. </w:t>
      </w:r>
    </w:p>
    <w:p w14:paraId="084BF4D3" w14:textId="77777777" w:rsidR="00A53C99" w:rsidRPr="00F1264D" w:rsidRDefault="00A53C99" w:rsidP="005005AC">
      <w:pPr>
        <w:pStyle w:val="Grillemoyenne11"/>
        <w:tabs>
          <w:tab w:val="clear" w:pos="0"/>
        </w:tabs>
        <w:jc w:val="both"/>
        <w:rPr>
          <w:rFonts w:ascii="Times" w:eastAsia="Microsoft Yi Baiti" w:hAnsi="Times" w:cs="Arial"/>
          <w:sz w:val="24"/>
          <w:szCs w:val="24"/>
        </w:rPr>
      </w:pPr>
    </w:p>
    <w:p w14:paraId="64FBEEA2" w14:textId="77777777" w:rsidR="00A53C99" w:rsidRPr="00F1264D" w:rsidRDefault="00A53C99" w:rsidP="005005AC">
      <w:pPr>
        <w:pStyle w:val="Grillemoyenne11"/>
        <w:jc w:val="both"/>
        <w:rPr>
          <w:rFonts w:ascii="Times" w:eastAsia="Microsoft Yi Baiti" w:hAnsi="Times" w:cs="Arial"/>
          <w:sz w:val="24"/>
          <w:szCs w:val="24"/>
        </w:rPr>
      </w:pPr>
      <w:r w:rsidRPr="00F1264D">
        <w:rPr>
          <w:rFonts w:ascii="Times" w:eastAsia="Microsoft Yi Baiti" w:hAnsi="Times" w:cs="Arial"/>
          <w:sz w:val="24"/>
          <w:szCs w:val="24"/>
        </w:rPr>
        <w:t xml:space="preserve">The </w:t>
      </w:r>
      <w:proofErr w:type="spellStart"/>
      <w:r w:rsidRPr="00F1264D">
        <w:rPr>
          <w:rFonts w:ascii="Times" w:eastAsia="Microsoft Yi Baiti" w:hAnsi="Times" w:cs="Arial"/>
          <w:sz w:val="24"/>
          <w:szCs w:val="24"/>
        </w:rPr>
        <w:t>qRT</w:t>
      </w:r>
      <w:proofErr w:type="spellEnd"/>
      <w:r w:rsidRPr="00F1264D">
        <w:rPr>
          <w:rFonts w:ascii="Times" w:eastAsia="Microsoft Yi Baiti" w:hAnsi="Times" w:cs="Arial"/>
          <w:sz w:val="24"/>
          <w:szCs w:val="24"/>
        </w:rPr>
        <w:t xml:space="preserve">-PCR amplification mixtures were made by combining 2µl of diluted </w:t>
      </w:r>
      <w:proofErr w:type="spellStart"/>
      <w:r w:rsidRPr="00F1264D">
        <w:rPr>
          <w:rFonts w:ascii="Times" w:eastAsia="Microsoft Yi Baiti" w:hAnsi="Times" w:cs="Arial"/>
          <w:sz w:val="24"/>
          <w:szCs w:val="24"/>
        </w:rPr>
        <w:t>cDNA</w:t>
      </w:r>
      <w:proofErr w:type="spellEnd"/>
      <w:r w:rsidRPr="00F1264D">
        <w:rPr>
          <w:rFonts w:ascii="Times" w:eastAsia="Microsoft Yi Baiti" w:hAnsi="Times" w:cs="Arial"/>
          <w:sz w:val="24"/>
          <w:szCs w:val="24"/>
        </w:rPr>
        <w:t xml:space="preserve"> with 5µl of Power SYBR Green PCR Master Mix (Applied </w:t>
      </w:r>
      <w:proofErr w:type="spellStart"/>
      <w:r w:rsidRPr="00F1264D">
        <w:rPr>
          <w:rFonts w:ascii="Times" w:eastAsia="Microsoft Yi Baiti" w:hAnsi="Times" w:cs="Arial"/>
          <w:sz w:val="24"/>
          <w:szCs w:val="24"/>
        </w:rPr>
        <w:t>Biosystems</w:t>
      </w:r>
      <w:proofErr w:type="spellEnd"/>
      <w:r w:rsidRPr="00F1264D">
        <w:rPr>
          <w:rFonts w:ascii="Times" w:eastAsia="Microsoft Yi Baiti" w:hAnsi="Times" w:cs="Arial"/>
          <w:sz w:val="24"/>
          <w:szCs w:val="24"/>
        </w:rPr>
        <w:t xml:space="preserve">), 300nM of </w:t>
      </w:r>
      <w:r w:rsidRPr="00F1264D">
        <w:rPr>
          <w:rFonts w:ascii="Times" w:eastAsia="Microsoft Yi Baiti" w:hAnsi="Times" w:cs="Arial"/>
          <w:sz w:val="24"/>
          <w:szCs w:val="24"/>
          <w:lang w:eastAsia="zh-TW"/>
        </w:rPr>
        <w:t xml:space="preserve">each </w:t>
      </w:r>
      <w:r w:rsidRPr="00F1264D">
        <w:rPr>
          <w:rFonts w:ascii="Times" w:eastAsia="Microsoft Yi Baiti" w:hAnsi="Times" w:cs="Arial"/>
          <w:sz w:val="24"/>
          <w:szCs w:val="24"/>
        </w:rPr>
        <w:t>gene-specific forward and reverse primer (</w:t>
      </w:r>
      <w:r w:rsidRPr="00F1264D">
        <w:rPr>
          <w:rFonts w:ascii="Times" w:eastAsia="Microsoft Yi Baiti" w:hAnsi="Times" w:cs="Arial"/>
          <w:color w:val="31849B"/>
          <w:sz w:val="24"/>
          <w:szCs w:val="24"/>
        </w:rPr>
        <w:t>Table S4</w:t>
      </w:r>
      <w:r w:rsidRPr="00F1264D">
        <w:rPr>
          <w:rFonts w:ascii="Times" w:eastAsia="Microsoft Yi Baiti" w:hAnsi="Times" w:cs="Arial"/>
          <w:sz w:val="24"/>
          <w:szCs w:val="24"/>
        </w:rPr>
        <w:t>) and water to a final volume of 10µl. Reactions were run in triplicate on an ABI PRISM 7900HT Sequence Detector</w:t>
      </w:r>
      <w:r>
        <w:rPr>
          <w:rFonts w:ascii="Times" w:eastAsia="Microsoft Yi Baiti" w:hAnsi="Times" w:cs="Arial"/>
          <w:sz w:val="24"/>
          <w:szCs w:val="24"/>
        </w:rPr>
        <w:t>.</w:t>
      </w:r>
    </w:p>
    <w:p w14:paraId="2FFEAE98" w14:textId="77777777" w:rsidR="00A53C99" w:rsidRPr="00F1264D" w:rsidRDefault="00A53C99" w:rsidP="005005AC">
      <w:pPr>
        <w:pStyle w:val="Grillemoyenne11"/>
        <w:jc w:val="both"/>
        <w:rPr>
          <w:rFonts w:ascii="Times" w:eastAsia="Microsoft Yi Baiti" w:hAnsi="Times" w:cs="Arial"/>
          <w:sz w:val="24"/>
          <w:szCs w:val="24"/>
        </w:rPr>
      </w:pPr>
    </w:p>
    <w:p w14:paraId="587CCCB7" w14:textId="0D5C370E" w:rsidR="00A53C99" w:rsidRPr="00F1264D" w:rsidRDefault="00A53C99" w:rsidP="005005AC">
      <w:pPr>
        <w:pStyle w:val="Grillemoyenne11"/>
        <w:jc w:val="both"/>
        <w:rPr>
          <w:rFonts w:ascii="Times" w:eastAsia="Microsoft Yi Baiti" w:hAnsi="Times" w:cs="Arial"/>
          <w:sz w:val="24"/>
          <w:szCs w:val="24"/>
        </w:rPr>
      </w:pPr>
      <w:r w:rsidRPr="00F1264D">
        <w:rPr>
          <w:rFonts w:ascii="Times" w:eastAsia="Microsoft Yi Baiti" w:hAnsi="Times" w:cs="Arial"/>
          <w:sz w:val="24"/>
          <w:szCs w:val="24"/>
        </w:rPr>
        <w:t xml:space="preserve">Results from Sequence Detection Systems software (Applied </w:t>
      </w:r>
      <w:proofErr w:type="spellStart"/>
      <w:r w:rsidRPr="00F1264D">
        <w:rPr>
          <w:rFonts w:ascii="Times" w:eastAsia="Microsoft Yi Baiti" w:hAnsi="Times" w:cs="Arial"/>
          <w:sz w:val="24"/>
          <w:szCs w:val="24"/>
        </w:rPr>
        <w:t>Biosystems</w:t>
      </w:r>
      <w:proofErr w:type="spellEnd"/>
      <w:r w:rsidRPr="00F1264D">
        <w:rPr>
          <w:rFonts w:ascii="Times" w:eastAsia="Microsoft Yi Baiti" w:hAnsi="Times" w:cs="Arial"/>
          <w:sz w:val="24"/>
          <w:szCs w:val="24"/>
        </w:rPr>
        <w:t xml:space="preserve">; fluorescence intensity default threshold set at 0.2) were exported as tab-delimited files into </w:t>
      </w:r>
      <w:proofErr w:type="spellStart"/>
      <w:r w:rsidRPr="00F1264D">
        <w:rPr>
          <w:rFonts w:ascii="Times" w:eastAsia="Microsoft Yi Baiti" w:hAnsi="Times" w:cs="Arial"/>
          <w:sz w:val="24"/>
          <w:szCs w:val="24"/>
        </w:rPr>
        <w:t>qBasePLUS</w:t>
      </w:r>
      <w:proofErr w:type="spellEnd"/>
      <w:r w:rsidRPr="00F1264D">
        <w:rPr>
          <w:rFonts w:ascii="Times" w:eastAsia="Microsoft Yi Baiti" w:hAnsi="Times" w:cs="Arial"/>
          <w:sz w:val="24"/>
          <w:szCs w:val="24"/>
        </w:rPr>
        <w:t xml:space="preserve"> </w:t>
      </w:r>
      <w:r w:rsidRPr="00F1264D">
        <w:rPr>
          <w:rFonts w:ascii="Times" w:eastAsia="Microsoft Yi Baiti" w:hAnsi="Times" w:cs="Arial"/>
          <w:color w:val="E36C0A"/>
          <w:sz w:val="24"/>
          <w:szCs w:val="24"/>
        </w:rPr>
        <w:fldChar w:fldCharType="begin" w:fldLock="1"/>
      </w:r>
      <w:r w:rsidR="00236C99">
        <w:rPr>
          <w:rFonts w:ascii="Times" w:eastAsia="Microsoft Yi Baiti" w:hAnsi="Times" w:cs="Arial"/>
          <w:color w:val="E36C0A"/>
          <w:sz w:val="24"/>
          <w:szCs w:val="24"/>
        </w:rPr>
        <w:instrText>ADDIN CSL_CITATION { "citationItems" : [ { "id" : "ITEM-1", "itemData" : { "DOI" : "10.1186/gb-2007-8-2-r19", "ISSN" : "1465-6914", "PMID" : "17291332", "abstract" : "Although quantitative PCR (qPCR) is becoming the method of choice for expression profiling of selected genes, accurate and straightforward processing of the raw measurements remains a major hurdle. Here we outline advanced and universally applicable models for relative quantification and inter-run calibration with proper error propagation along the entire calculation track. These models and algorithms are implemented in qBase, a free program for the management and automated analysis of qPCR data.", "author" : [ { "dropping-particle" : "", "family" : "Hellemans", "given" : "Jan", "non-dropping-particle" : "", "parse-names" : false, "suffix" : "" }, { "dropping-particle" : "", "family" : "Mortier", "given" : "Geert", "non-dropping-particle" : "", "parse-names" : false, "suffix" : "" }, { "dropping-particle" : "", "family" : "Paepe", "given" : "Anne", "non-dropping-particle" : "De", "parse-names" : false, "suffix" : "" }, { "dropping-particle" : "", "family" : "Speleman", "given" : "Frank", "non-dropping-particle" : "", "parse-names" : false, "suffix" : "" }, { "dropping-particle" : "", "family" : "Vandesompele", "given" : "Jo", "non-dropping-particle" : "", "parse-names" : false, "suffix" : "" } ], "container-title" : "Genome biology", "id" : "ITEM-1", "issue" : "2", "issued" : { "date-parts" : [ [ "2007", "1" ] ] }, "page" : "R19", "title" : "qBase relative quantification framework and software for management and automated analysis of real-time quantitative PCR data.", "type" : "article-journal", "volume" : "8" }, "uris" : [ "http://www.mendeley.com/documents/?uuid=530234b3-c010-408c-bdaa-1e962d8699a6" ] } ], "mendeley" : { "previouslyFormattedCitation" : "[8]" }, "properties" : { "noteIndex" : 0 }, "schema" : "https://github.com/citation-style-language/schema/raw/master/csl-citation.json" }</w:instrText>
      </w:r>
      <w:r w:rsidRPr="00F1264D">
        <w:rPr>
          <w:rFonts w:ascii="Times" w:eastAsia="Microsoft Yi Baiti" w:hAnsi="Times" w:cs="Arial"/>
          <w:color w:val="E36C0A"/>
          <w:sz w:val="24"/>
          <w:szCs w:val="24"/>
        </w:rPr>
        <w:fldChar w:fldCharType="separate"/>
      </w:r>
      <w:r w:rsidR="00236C99" w:rsidRPr="00236C99">
        <w:rPr>
          <w:rFonts w:ascii="Times" w:eastAsia="Microsoft Yi Baiti" w:hAnsi="Times" w:cs="Arial"/>
          <w:noProof/>
          <w:color w:val="E36C0A"/>
          <w:sz w:val="24"/>
          <w:szCs w:val="24"/>
        </w:rPr>
        <w:t>[8]</w:t>
      </w:r>
      <w:r w:rsidRPr="00F1264D">
        <w:rPr>
          <w:rFonts w:ascii="Times" w:eastAsia="Microsoft Yi Baiti" w:hAnsi="Times" w:cs="Arial"/>
          <w:color w:val="E36C0A"/>
          <w:sz w:val="24"/>
          <w:szCs w:val="24"/>
        </w:rPr>
        <w:fldChar w:fldCharType="end"/>
      </w:r>
      <w:r w:rsidRPr="00F1264D">
        <w:rPr>
          <w:rFonts w:ascii="Times" w:eastAsia="Microsoft Yi Baiti" w:hAnsi="Times" w:cs="Arial"/>
          <w:sz w:val="24"/>
          <w:szCs w:val="24"/>
        </w:rPr>
        <w:t xml:space="preserve"> for subsequent analysis. The 64 amplified RNA samples were analyzed for the </w:t>
      </w:r>
      <w:proofErr w:type="spellStart"/>
      <w:r w:rsidRPr="00F1264D">
        <w:rPr>
          <w:rFonts w:ascii="Times" w:eastAsia="Microsoft Yi Baiti" w:hAnsi="Times" w:cs="Arial"/>
          <w:i/>
          <w:sz w:val="24"/>
          <w:szCs w:val="24"/>
        </w:rPr>
        <w:t>dsx</w:t>
      </w:r>
      <w:proofErr w:type="spellEnd"/>
      <w:r w:rsidRPr="00F1264D">
        <w:rPr>
          <w:rFonts w:ascii="Times" w:eastAsia="Microsoft Yi Baiti" w:hAnsi="Times" w:cs="Arial"/>
          <w:sz w:val="24"/>
          <w:szCs w:val="24"/>
        </w:rPr>
        <w:t xml:space="preserve"> exons and 3 control genes (</w:t>
      </w:r>
      <w:r w:rsidRPr="00F1264D">
        <w:rPr>
          <w:rFonts w:ascii="Times" w:eastAsia="Microsoft Yi Baiti" w:hAnsi="Times" w:cs="Arial"/>
          <w:i/>
          <w:sz w:val="24"/>
          <w:szCs w:val="24"/>
        </w:rPr>
        <w:t>GAPDH</w:t>
      </w:r>
      <w:r w:rsidRPr="00F1264D">
        <w:rPr>
          <w:rFonts w:ascii="Times" w:eastAsia="Microsoft Yi Baiti" w:hAnsi="Times" w:cs="Arial"/>
          <w:sz w:val="24"/>
          <w:szCs w:val="24"/>
        </w:rPr>
        <w:t xml:space="preserve">, </w:t>
      </w:r>
      <w:r w:rsidRPr="00F1264D">
        <w:rPr>
          <w:rFonts w:ascii="Times" w:eastAsia="Microsoft Yi Baiti" w:hAnsi="Times" w:cs="Arial"/>
          <w:i/>
          <w:iCs/>
          <w:sz w:val="24"/>
          <w:szCs w:val="24"/>
        </w:rPr>
        <w:t>RpL37</w:t>
      </w:r>
      <w:r w:rsidRPr="00F1264D">
        <w:rPr>
          <w:rFonts w:ascii="Times" w:eastAsia="Microsoft Yi Baiti" w:hAnsi="Times" w:cs="Arial"/>
          <w:sz w:val="24"/>
          <w:szCs w:val="24"/>
        </w:rPr>
        <w:t xml:space="preserve"> and </w:t>
      </w:r>
      <w:r w:rsidRPr="00F1264D">
        <w:rPr>
          <w:rFonts w:ascii="Times" w:eastAsia="Microsoft Yi Baiti" w:hAnsi="Times" w:cs="Arial"/>
          <w:i/>
          <w:sz w:val="24"/>
          <w:szCs w:val="24"/>
        </w:rPr>
        <w:t>RpS9</w:t>
      </w:r>
      <w:r w:rsidRPr="00F1264D">
        <w:rPr>
          <w:rFonts w:ascii="Times" w:eastAsia="Microsoft Yi Baiti" w:hAnsi="Times" w:cs="Arial"/>
          <w:sz w:val="24"/>
          <w:szCs w:val="24"/>
        </w:rPr>
        <w:t xml:space="preserve">). Outliers within each set of reaction triplicates were filtered (max </w:t>
      </w:r>
      <w:proofErr w:type="spellStart"/>
      <w:r w:rsidRPr="00F1264D">
        <w:rPr>
          <w:rFonts w:ascii="Times" w:eastAsia="Microsoft Yi Baiti" w:hAnsi="Times" w:cs="Arial"/>
          <w:sz w:val="24"/>
          <w:szCs w:val="24"/>
        </w:rPr>
        <w:t>dCt</w:t>
      </w:r>
      <w:proofErr w:type="spellEnd"/>
      <w:r w:rsidRPr="00F1264D">
        <w:rPr>
          <w:rFonts w:ascii="Times" w:eastAsia="Microsoft Yi Baiti" w:hAnsi="Times" w:cs="Arial"/>
          <w:sz w:val="24"/>
          <w:szCs w:val="24"/>
        </w:rPr>
        <w:t xml:space="preserve">=0.5) and relative gene expression levels were calculated with PCR efficiency correction and reference gene normalization to the control genes. Statistical analyses (ANOVA) of relative gene expression levels and production of box and whisker plots were performed in R </w:t>
      </w:r>
      <w:r w:rsidRPr="00EA5582">
        <w:rPr>
          <w:rFonts w:ascii="Times" w:eastAsia="Microsoft Yi Baiti" w:hAnsi="Times" w:cs="Arial"/>
          <w:color w:val="E36C0A"/>
          <w:sz w:val="24"/>
          <w:szCs w:val="24"/>
        </w:rPr>
        <w:fldChar w:fldCharType="begin" w:fldLock="1"/>
      </w:r>
      <w:r w:rsidR="00236C99">
        <w:rPr>
          <w:rFonts w:ascii="Times" w:eastAsia="Microsoft Yi Baiti" w:hAnsi="Times" w:cs="Arial"/>
          <w:color w:val="E36C0A"/>
          <w:sz w:val="24"/>
          <w:szCs w:val="24"/>
        </w:rPr>
        <w:instrText>ADDIN CSL_CITATION { "citationItems" : [ { "id" : "ITEM-1", "itemData" : { "author" : [ { "dropping-particle" : "", "family" : "R Development Core Team", "given" : "", "non-dropping-particle" : "", "parse-names" : false, "suffix" : "" } ], "container-title" : "R Foundation for Statistical Computing, Vienna, Austria.", "id" : "ITEM-1", "issued" : { "date-parts" : [ [ "2010" ] ] }, "note" : "{ISBN} 3-900051-07-0", "publisher" : "R Foundation for Statistical Computing, Vienna, Austria.", "publisher-place" : "Vienna, Austria.", "title" : "R: A language and environment for statistical computing", "type" : "article-journal" }, "uris" : [ "http://www.mendeley.com/documents/?uuid=6c655e0a-00e6-4a98-aa8d-7184c3cd8f5a" ] } ], "mendeley" : { "previouslyFormattedCitation" : "[9]" }, "properties" : { "noteIndex" : 0 }, "schema" : "https://github.com/citation-style-language/schema/raw/master/csl-citation.json" }</w:instrText>
      </w:r>
      <w:r w:rsidRPr="00EA5582">
        <w:rPr>
          <w:rFonts w:ascii="Times" w:eastAsia="Microsoft Yi Baiti" w:hAnsi="Times" w:cs="Arial"/>
          <w:color w:val="E36C0A"/>
          <w:sz w:val="24"/>
          <w:szCs w:val="24"/>
        </w:rPr>
        <w:fldChar w:fldCharType="separate"/>
      </w:r>
      <w:r w:rsidR="00236C99" w:rsidRPr="00236C99">
        <w:rPr>
          <w:rFonts w:ascii="Times" w:eastAsia="Microsoft Yi Baiti" w:hAnsi="Times" w:cs="Arial"/>
          <w:noProof/>
          <w:color w:val="E36C0A"/>
          <w:sz w:val="24"/>
          <w:szCs w:val="24"/>
        </w:rPr>
        <w:t>[9]</w:t>
      </w:r>
      <w:r w:rsidRPr="00EA5582">
        <w:rPr>
          <w:rFonts w:ascii="Times" w:eastAsia="Microsoft Yi Baiti" w:hAnsi="Times" w:cs="Arial"/>
          <w:color w:val="E36C0A"/>
          <w:sz w:val="24"/>
          <w:szCs w:val="24"/>
        </w:rPr>
        <w:fldChar w:fldCharType="end"/>
      </w:r>
      <w:r w:rsidRPr="00F1264D">
        <w:rPr>
          <w:rFonts w:ascii="Times" w:eastAsia="Microsoft Yi Baiti" w:hAnsi="Times" w:cs="Arial"/>
          <w:sz w:val="24"/>
          <w:szCs w:val="24"/>
        </w:rPr>
        <w:t>.</w:t>
      </w:r>
    </w:p>
    <w:p w14:paraId="46C67DF8" w14:textId="77777777" w:rsidR="008146E1" w:rsidRDefault="008146E1" w:rsidP="005005AC">
      <w:pPr>
        <w:spacing w:line="276" w:lineRule="auto"/>
      </w:pPr>
    </w:p>
    <w:p w14:paraId="29D5EA7C" w14:textId="77777777" w:rsidR="00C9616A" w:rsidRDefault="00C9616A" w:rsidP="00236C99">
      <w:pPr>
        <w:rPr>
          <w:b/>
        </w:rPr>
      </w:pPr>
    </w:p>
    <w:p w14:paraId="47DB65BD" w14:textId="576B2C3C" w:rsidR="00D73981" w:rsidRPr="00D73981" w:rsidRDefault="00D73981" w:rsidP="00236C99">
      <w:pPr>
        <w:rPr>
          <w:b/>
        </w:rPr>
      </w:pPr>
      <w:bookmarkStart w:id="0" w:name="_GoBack"/>
      <w:bookmarkEnd w:id="0"/>
      <w:r w:rsidRPr="00D73981">
        <w:rPr>
          <w:b/>
        </w:rPr>
        <w:t>References</w:t>
      </w:r>
      <w:r w:rsidR="00F64ED9">
        <w:rPr>
          <w:b/>
        </w:rPr>
        <w:t xml:space="preserve"> for Supplementary Methods</w:t>
      </w:r>
    </w:p>
    <w:p w14:paraId="4AE45A44" w14:textId="47469E63" w:rsidR="00236C99" w:rsidRPr="00236C99" w:rsidRDefault="00D73981">
      <w:pPr>
        <w:pStyle w:val="NormalWeb"/>
        <w:ind w:left="640" w:hanging="640"/>
        <w:divId w:val="632831399"/>
        <w:rPr>
          <w:rFonts w:ascii="Times New Roman" w:hAnsi="Times New Roman"/>
          <w:noProof/>
          <w:sz w:val="24"/>
        </w:rPr>
      </w:pPr>
      <w:r>
        <w:fldChar w:fldCharType="begin" w:fldLock="1"/>
      </w:r>
      <w:r>
        <w:instrText xml:space="preserve">ADDIN Mendeley Bibliography CSL_BIBLIOGRAPHY </w:instrText>
      </w:r>
      <w:r>
        <w:fldChar w:fldCharType="separate"/>
      </w:r>
      <w:r w:rsidR="00236C99">
        <w:rPr>
          <w:rFonts w:ascii="Times New Roman" w:hAnsi="Times New Roman"/>
          <w:noProof/>
          <w:sz w:val="24"/>
        </w:rPr>
        <w:t>1</w:t>
      </w:r>
      <w:r w:rsidR="00236C99" w:rsidRPr="00236C99">
        <w:rPr>
          <w:rFonts w:ascii="Times New Roman" w:hAnsi="Times New Roman"/>
          <w:noProof/>
          <w:sz w:val="24"/>
        </w:rPr>
        <w:tab/>
        <w:t xml:space="preserve">Ometto L, Shoemaker D, Ross KG &amp; Keller L. 2011 Evolution of gene expression in fire ants: the effects of developmental stage, caste, and species. </w:t>
      </w:r>
      <w:r w:rsidR="00236C99" w:rsidRPr="00236C99">
        <w:rPr>
          <w:rFonts w:ascii="Times New Roman" w:hAnsi="Times New Roman"/>
          <w:i/>
          <w:iCs/>
          <w:noProof/>
          <w:sz w:val="24"/>
        </w:rPr>
        <w:t>Mol. Biol. Evol.</w:t>
      </w:r>
      <w:r w:rsidR="00236C99" w:rsidRPr="00236C99">
        <w:rPr>
          <w:rFonts w:ascii="Times New Roman" w:hAnsi="Times New Roman"/>
          <w:noProof/>
          <w:sz w:val="24"/>
        </w:rPr>
        <w:t xml:space="preserve"> </w:t>
      </w:r>
      <w:r w:rsidR="00236C99" w:rsidRPr="00236C99">
        <w:rPr>
          <w:rFonts w:ascii="Times New Roman" w:hAnsi="Times New Roman"/>
          <w:b/>
          <w:bCs/>
          <w:noProof/>
          <w:sz w:val="24"/>
        </w:rPr>
        <w:t>28</w:t>
      </w:r>
      <w:r w:rsidR="00236C99" w:rsidRPr="00236C99">
        <w:rPr>
          <w:rFonts w:ascii="Times New Roman" w:hAnsi="Times New Roman"/>
          <w:noProof/>
          <w:sz w:val="24"/>
        </w:rPr>
        <w:t>, 1381–92. (doi:10.1093/molbev/msq322)</w:t>
      </w:r>
    </w:p>
    <w:p w14:paraId="3567C409" w14:textId="09E7E18C" w:rsidR="00236C99" w:rsidRPr="00236C99" w:rsidRDefault="00236C99">
      <w:pPr>
        <w:pStyle w:val="NormalWeb"/>
        <w:ind w:left="640" w:hanging="640"/>
        <w:divId w:val="632831399"/>
        <w:rPr>
          <w:rFonts w:ascii="Times New Roman" w:hAnsi="Times New Roman"/>
          <w:noProof/>
          <w:sz w:val="24"/>
        </w:rPr>
      </w:pPr>
      <w:r>
        <w:rPr>
          <w:rFonts w:ascii="Times New Roman" w:hAnsi="Times New Roman"/>
          <w:noProof/>
          <w:sz w:val="24"/>
        </w:rPr>
        <w:t>2</w:t>
      </w:r>
      <w:r w:rsidRPr="00236C99">
        <w:rPr>
          <w:rFonts w:ascii="Times New Roman" w:hAnsi="Times New Roman"/>
          <w:noProof/>
          <w:sz w:val="24"/>
        </w:rPr>
        <w:tab/>
        <w:t xml:space="preserve">Ritchie ME, Silver J, Oshlack A, Holmes M, Diyagama D, Holloway A &amp; Smyth GK. 2007 A comparison of background correction methods for two-colour microarrays. </w:t>
      </w:r>
      <w:r w:rsidRPr="00236C99">
        <w:rPr>
          <w:rFonts w:ascii="Times New Roman" w:hAnsi="Times New Roman"/>
          <w:i/>
          <w:iCs/>
          <w:noProof/>
          <w:sz w:val="24"/>
        </w:rPr>
        <w:t>Bioinformatics</w:t>
      </w:r>
      <w:r w:rsidRPr="00236C99">
        <w:rPr>
          <w:rFonts w:ascii="Times New Roman" w:hAnsi="Times New Roman"/>
          <w:noProof/>
          <w:sz w:val="24"/>
        </w:rPr>
        <w:t xml:space="preserve"> </w:t>
      </w:r>
      <w:r w:rsidRPr="00236C99">
        <w:rPr>
          <w:rFonts w:ascii="Times New Roman" w:hAnsi="Times New Roman"/>
          <w:b/>
          <w:bCs/>
          <w:noProof/>
          <w:sz w:val="24"/>
        </w:rPr>
        <w:t>23</w:t>
      </w:r>
      <w:r w:rsidRPr="00236C99">
        <w:rPr>
          <w:rFonts w:ascii="Times New Roman" w:hAnsi="Times New Roman"/>
          <w:noProof/>
          <w:sz w:val="24"/>
        </w:rPr>
        <w:t>, 2700–7. (doi:10.1093/bioinformatics/btm412)</w:t>
      </w:r>
    </w:p>
    <w:p w14:paraId="68D8653C" w14:textId="4F227F39" w:rsidR="00236C99" w:rsidRPr="00236C99" w:rsidRDefault="00236C99">
      <w:pPr>
        <w:pStyle w:val="NormalWeb"/>
        <w:ind w:left="640" w:hanging="640"/>
        <w:divId w:val="632831399"/>
        <w:rPr>
          <w:rFonts w:ascii="Times New Roman" w:hAnsi="Times New Roman"/>
          <w:noProof/>
          <w:sz w:val="24"/>
        </w:rPr>
      </w:pPr>
      <w:r>
        <w:rPr>
          <w:rFonts w:ascii="Times New Roman" w:hAnsi="Times New Roman"/>
          <w:noProof/>
          <w:sz w:val="24"/>
        </w:rPr>
        <w:t>3</w:t>
      </w:r>
      <w:r w:rsidRPr="00236C99">
        <w:rPr>
          <w:rFonts w:ascii="Times New Roman" w:hAnsi="Times New Roman"/>
          <w:noProof/>
          <w:sz w:val="24"/>
        </w:rPr>
        <w:tab/>
        <w:t xml:space="preserve">Saeed AI et al. 2006 TM4 microarray software suite. </w:t>
      </w:r>
      <w:r w:rsidRPr="00236C99">
        <w:rPr>
          <w:rFonts w:ascii="Times New Roman" w:hAnsi="Times New Roman"/>
          <w:i/>
          <w:iCs/>
          <w:noProof/>
          <w:sz w:val="24"/>
        </w:rPr>
        <w:t>Methods Enzymol.</w:t>
      </w:r>
      <w:r w:rsidRPr="00236C99">
        <w:rPr>
          <w:rFonts w:ascii="Times New Roman" w:hAnsi="Times New Roman"/>
          <w:noProof/>
          <w:sz w:val="24"/>
        </w:rPr>
        <w:t xml:space="preserve"> </w:t>
      </w:r>
      <w:r w:rsidRPr="00236C99">
        <w:rPr>
          <w:rFonts w:ascii="Times New Roman" w:hAnsi="Times New Roman"/>
          <w:b/>
          <w:bCs/>
          <w:noProof/>
          <w:sz w:val="24"/>
        </w:rPr>
        <w:t>411</w:t>
      </w:r>
      <w:r w:rsidRPr="00236C99">
        <w:rPr>
          <w:rFonts w:ascii="Times New Roman" w:hAnsi="Times New Roman"/>
          <w:noProof/>
          <w:sz w:val="24"/>
        </w:rPr>
        <w:t>, 134–93. (doi:10.1016/S0076-6879(06)11009-5)</w:t>
      </w:r>
    </w:p>
    <w:p w14:paraId="50B09213" w14:textId="7872A4B8" w:rsidR="00236C99" w:rsidRPr="00236C99" w:rsidRDefault="00236C99">
      <w:pPr>
        <w:pStyle w:val="NormalWeb"/>
        <w:ind w:left="640" w:hanging="640"/>
        <w:divId w:val="632831399"/>
        <w:rPr>
          <w:rFonts w:ascii="Times New Roman" w:hAnsi="Times New Roman"/>
          <w:noProof/>
          <w:sz w:val="24"/>
        </w:rPr>
      </w:pPr>
      <w:r>
        <w:rPr>
          <w:rFonts w:ascii="Times New Roman" w:hAnsi="Times New Roman"/>
          <w:noProof/>
          <w:sz w:val="24"/>
        </w:rPr>
        <w:t>4</w:t>
      </w:r>
      <w:r w:rsidRPr="00236C99">
        <w:rPr>
          <w:rFonts w:ascii="Times New Roman" w:hAnsi="Times New Roman"/>
          <w:noProof/>
          <w:sz w:val="24"/>
        </w:rPr>
        <w:tab/>
        <w:t xml:space="preserve">Altschul SF, Gish W, Miller W, Myers EW &amp; Lipman DJ. 1990 Basic local alignment search tool. </w:t>
      </w:r>
      <w:r w:rsidRPr="00236C99">
        <w:rPr>
          <w:rFonts w:ascii="Times New Roman" w:hAnsi="Times New Roman"/>
          <w:i/>
          <w:iCs/>
          <w:noProof/>
          <w:sz w:val="24"/>
        </w:rPr>
        <w:t>J. Mol. Biol.</w:t>
      </w:r>
      <w:r w:rsidRPr="00236C99">
        <w:rPr>
          <w:rFonts w:ascii="Times New Roman" w:hAnsi="Times New Roman"/>
          <w:noProof/>
          <w:sz w:val="24"/>
        </w:rPr>
        <w:t xml:space="preserve"> </w:t>
      </w:r>
      <w:r w:rsidRPr="00236C99">
        <w:rPr>
          <w:rFonts w:ascii="Times New Roman" w:hAnsi="Times New Roman"/>
          <w:b/>
          <w:bCs/>
          <w:noProof/>
          <w:sz w:val="24"/>
        </w:rPr>
        <w:t>215</w:t>
      </w:r>
      <w:r w:rsidRPr="00236C99">
        <w:rPr>
          <w:rFonts w:ascii="Times New Roman" w:hAnsi="Times New Roman"/>
          <w:noProof/>
          <w:sz w:val="24"/>
        </w:rPr>
        <w:t>, 403–10. (doi:10.1016/S0022-2836(05)80360-2)</w:t>
      </w:r>
    </w:p>
    <w:p w14:paraId="20E0D698" w14:textId="0F644CBB" w:rsidR="00236C99" w:rsidRPr="00236C99" w:rsidRDefault="00236C99">
      <w:pPr>
        <w:pStyle w:val="NormalWeb"/>
        <w:ind w:left="640" w:hanging="640"/>
        <w:divId w:val="632831399"/>
        <w:rPr>
          <w:rFonts w:ascii="Times New Roman" w:hAnsi="Times New Roman"/>
          <w:noProof/>
          <w:sz w:val="24"/>
        </w:rPr>
      </w:pPr>
      <w:r>
        <w:rPr>
          <w:rFonts w:ascii="Times New Roman" w:hAnsi="Times New Roman"/>
          <w:noProof/>
          <w:sz w:val="24"/>
        </w:rPr>
        <w:t>5</w:t>
      </w:r>
      <w:r w:rsidRPr="00236C99">
        <w:rPr>
          <w:rFonts w:ascii="Times New Roman" w:hAnsi="Times New Roman"/>
          <w:noProof/>
          <w:sz w:val="24"/>
        </w:rPr>
        <w:tab/>
        <w:t xml:space="preserve">Götz S et al. 2008 High-throughput functional annotation and data mining with the Blast2GO suite. </w:t>
      </w:r>
      <w:r w:rsidRPr="00236C99">
        <w:rPr>
          <w:rFonts w:ascii="Times New Roman" w:hAnsi="Times New Roman"/>
          <w:i/>
          <w:iCs/>
          <w:noProof/>
          <w:sz w:val="24"/>
        </w:rPr>
        <w:t>Nucleic Acids Res.</w:t>
      </w:r>
      <w:r w:rsidRPr="00236C99">
        <w:rPr>
          <w:rFonts w:ascii="Times New Roman" w:hAnsi="Times New Roman"/>
          <w:noProof/>
          <w:sz w:val="24"/>
        </w:rPr>
        <w:t xml:space="preserve"> </w:t>
      </w:r>
      <w:r w:rsidRPr="00236C99">
        <w:rPr>
          <w:rFonts w:ascii="Times New Roman" w:hAnsi="Times New Roman"/>
          <w:b/>
          <w:bCs/>
          <w:noProof/>
          <w:sz w:val="24"/>
        </w:rPr>
        <w:t>36</w:t>
      </w:r>
      <w:r w:rsidRPr="00236C99">
        <w:rPr>
          <w:rFonts w:ascii="Times New Roman" w:hAnsi="Times New Roman"/>
          <w:noProof/>
          <w:sz w:val="24"/>
        </w:rPr>
        <w:t>, 3420–35. (doi:10.1093/nar/gkn176)</w:t>
      </w:r>
    </w:p>
    <w:p w14:paraId="6C954A13" w14:textId="5B3F030C" w:rsidR="00236C99" w:rsidRPr="00236C99" w:rsidRDefault="00236C99">
      <w:pPr>
        <w:pStyle w:val="NormalWeb"/>
        <w:ind w:left="640" w:hanging="640"/>
        <w:divId w:val="632831399"/>
        <w:rPr>
          <w:rFonts w:ascii="Times New Roman" w:hAnsi="Times New Roman"/>
          <w:noProof/>
          <w:sz w:val="24"/>
        </w:rPr>
      </w:pPr>
      <w:r>
        <w:rPr>
          <w:rFonts w:ascii="Times New Roman" w:hAnsi="Times New Roman"/>
          <w:noProof/>
          <w:sz w:val="24"/>
        </w:rPr>
        <w:t>6</w:t>
      </w:r>
      <w:r w:rsidRPr="00236C99">
        <w:rPr>
          <w:rFonts w:ascii="Times New Roman" w:hAnsi="Times New Roman"/>
          <w:noProof/>
          <w:sz w:val="24"/>
        </w:rPr>
        <w:tab/>
        <w:t xml:space="preserve">Wurm Y et al. 2011 The genome of the fire ant </w:t>
      </w:r>
      <w:r w:rsidRPr="00236C99">
        <w:rPr>
          <w:rFonts w:ascii="Times New Roman" w:hAnsi="Times New Roman"/>
          <w:i/>
          <w:noProof/>
          <w:sz w:val="24"/>
        </w:rPr>
        <w:t>Solenopsis invicta</w:t>
      </w:r>
      <w:r w:rsidRPr="00236C99">
        <w:rPr>
          <w:rFonts w:ascii="Times New Roman" w:hAnsi="Times New Roman"/>
          <w:noProof/>
          <w:sz w:val="24"/>
        </w:rPr>
        <w:t xml:space="preserve">. </w:t>
      </w:r>
      <w:r w:rsidRPr="00236C99">
        <w:rPr>
          <w:rFonts w:ascii="Times New Roman" w:hAnsi="Times New Roman"/>
          <w:i/>
          <w:iCs/>
          <w:noProof/>
          <w:sz w:val="24"/>
        </w:rPr>
        <w:t>Proc. Natl. Acad. Sci. U. S. A.</w:t>
      </w:r>
      <w:r w:rsidRPr="00236C99">
        <w:rPr>
          <w:rFonts w:ascii="Times New Roman" w:hAnsi="Times New Roman"/>
          <w:noProof/>
          <w:sz w:val="24"/>
        </w:rPr>
        <w:t xml:space="preserve"> </w:t>
      </w:r>
      <w:r w:rsidRPr="00236C99">
        <w:rPr>
          <w:rFonts w:ascii="Times New Roman" w:hAnsi="Times New Roman"/>
          <w:b/>
          <w:bCs/>
          <w:noProof/>
          <w:sz w:val="24"/>
        </w:rPr>
        <w:t>108</w:t>
      </w:r>
      <w:r w:rsidRPr="00236C99">
        <w:rPr>
          <w:rFonts w:ascii="Times New Roman" w:hAnsi="Times New Roman"/>
          <w:noProof/>
          <w:sz w:val="24"/>
        </w:rPr>
        <w:t>, 5679–84. (doi:10.1073/pnas.1009690108)</w:t>
      </w:r>
    </w:p>
    <w:p w14:paraId="3647B855" w14:textId="03F4711B" w:rsidR="00236C99" w:rsidRPr="00236C99" w:rsidRDefault="00236C99">
      <w:pPr>
        <w:pStyle w:val="NormalWeb"/>
        <w:ind w:left="640" w:hanging="640"/>
        <w:divId w:val="632831399"/>
        <w:rPr>
          <w:rFonts w:ascii="Times New Roman" w:hAnsi="Times New Roman"/>
          <w:noProof/>
          <w:sz w:val="24"/>
        </w:rPr>
      </w:pPr>
      <w:r>
        <w:rPr>
          <w:rFonts w:ascii="Times New Roman" w:hAnsi="Times New Roman"/>
          <w:noProof/>
          <w:sz w:val="24"/>
        </w:rPr>
        <w:t>7</w:t>
      </w:r>
      <w:r w:rsidRPr="00236C99">
        <w:rPr>
          <w:rFonts w:ascii="Times New Roman" w:hAnsi="Times New Roman"/>
          <w:noProof/>
          <w:sz w:val="24"/>
        </w:rPr>
        <w:tab/>
        <w:t xml:space="preserve">Alexa A &amp; Rahnenführer J. 2010 topGO: Enrichment analysis for Gene Ontology. </w:t>
      </w:r>
      <w:r w:rsidRPr="00236C99">
        <w:rPr>
          <w:rFonts w:ascii="Times New Roman" w:hAnsi="Times New Roman"/>
          <w:i/>
          <w:iCs/>
          <w:noProof/>
          <w:sz w:val="24"/>
        </w:rPr>
        <w:t>Bioconductor Packag. version 2.6.0. http//www.bioconductor.org/packages/release/bioc/</w:t>
      </w:r>
      <w:r w:rsidRPr="00236C99">
        <w:rPr>
          <w:rFonts w:ascii="Times New Roman" w:hAnsi="Times New Roman"/>
          <w:noProof/>
          <w:sz w:val="24"/>
        </w:rPr>
        <w:t xml:space="preserve"> </w:t>
      </w:r>
    </w:p>
    <w:p w14:paraId="7877716A" w14:textId="4F7BEBB2" w:rsidR="00236C99" w:rsidRPr="00236C99" w:rsidRDefault="00236C99">
      <w:pPr>
        <w:pStyle w:val="NormalWeb"/>
        <w:ind w:left="640" w:hanging="640"/>
        <w:divId w:val="632831399"/>
        <w:rPr>
          <w:rFonts w:ascii="Times New Roman" w:hAnsi="Times New Roman"/>
          <w:noProof/>
          <w:sz w:val="24"/>
        </w:rPr>
      </w:pPr>
      <w:r>
        <w:rPr>
          <w:rFonts w:ascii="Times New Roman" w:hAnsi="Times New Roman"/>
          <w:noProof/>
          <w:sz w:val="24"/>
        </w:rPr>
        <w:t>8</w:t>
      </w:r>
      <w:r w:rsidRPr="00236C99">
        <w:rPr>
          <w:rFonts w:ascii="Times New Roman" w:hAnsi="Times New Roman"/>
          <w:noProof/>
          <w:sz w:val="24"/>
        </w:rPr>
        <w:tab/>
        <w:t xml:space="preserve">Hellemans J, Mortier G, De Paepe A, Speleman F &amp; Vandesompele J. 2007 qBase relative quantification framework and software for management and automated analysis of real-time quantitative PCR data. </w:t>
      </w:r>
      <w:r w:rsidRPr="00236C99">
        <w:rPr>
          <w:rFonts w:ascii="Times New Roman" w:hAnsi="Times New Roman"/>
          <w:i/>
          <w:iCs/>
          <w:noProof/>
          <w:sz w:val="24"/>
        </w:rPr>
        <w:t>Genome Biol.</w:t>
      </w:r>
      <w:r w:rsidRPr="00236C99">
        <w:rPr>
          <w:rFonts w:ascii="Times New Roman" w:hAnsi="Times New Roman"/>
          <w:noProof/>
          <w:sz w:val="24"/>
        </w:rPr>
        <w:t xml:space="preserve"> </w:t>
      </w:r>
      <w:r w:rsidRPr="00236C99">
        <w:rPr>
          <w:rFonts w:ascii="Times New Roman" w:hAnsi="Times New Roman"/>
          <w:b/>
          <w:bCs/>
          <w:noProof/>
          <w:sz w:val="24"/>
        </w:rPr>
        <w:t>8</w:t>
      </w:r>
      <w:r w:rsidRPr="00236C99">
        <w:rPr>
          <w:rFonts w:ascii="Times New Roman" w:hAnsi="Times New Roman"/>
          <w:noProof/>
          <w:sz w:val="24"/>
        </w:rPr>
        <w:t>, R19. (doi:10.1186/gb-2007-8-2-r19)</w:t>
      </w:r>
    </w:p>
    <w:p w14:paraId="1946D5DD" w14:textId="13C50E06" w:rsidR="00236C99" w:rsidRPr="00236C99" w:rsidRDefault="00236C99">
      <w:pPr>
        <w:pStyle w:val="NormalWeb"/>
        <w:ind w:left="640" w:hanging="640"/>
        <w:divId w:val="632831399"/>
        <w:rPr>
          <w:rFonts w:ascii="Times New Roman" w:hAnsi="Times New Roman"/>
          <w:noProof/>
          <w:sz w:val="24"/>
        </w:rPr>
      </w:pPr>
      <w:r>
        <w:rPr>
          <w:rFonts w:ascii="Times New Roman" w:hAnsi="Times New Roman"/>
          <w:noProof/>
          <w:sz w:val="24"/>
        </w:rPr>
        <w:t>9</w:t>
      </w:r>
      <w:r w:rsidRPr="00236C99">
        <w:rPr>
          <w:rFonts w:ascii="Times New Roman" w:hAnsi="Times New Roman"/>
          <w:noProof/>
          <w:sz w:val="24"/>
        </w:rPr>
        <w:tab/>
        <w:t xml:space="preserve">R Development Core Team. 2010 R: A language and environment for statistical computing. </w:t>
      </w:r>
      <w:r w:rsidRPr="00236C99">
        <w:rPr>
          <w:rFonts w:ascii="Times New Roman" w:hAnsi="Times New Roman"/>
          <w:i/>
          <w:iCs/>
          <w:noProof/>
          <w:sz w:val="24"/>
        </w:rPr>
        <w:t>R Found. Stat. Comput. Vienna, Austria.</w:t>
      </w:r>
      <w:r w:rsidRPr="00236C99">
        <w:rPr>
          <w:rFonts w:ascii="Times New Roman" w:hAnsi="Times New Roman"/>
          <w:noProof/>
          <w:sz w:val="24"/>
        </w:rPr>
        <w:t xml:space="preserve"> </w:t>
      </w:r>
    </w:p>
    <w:p w14:paraId="59BCA728" w14:textId="5095FCA0" w:rsidR="00D73981" w:rsidRPr="00A53C99" w:rsidRDefault="00D73981" w:rsidP="00236C99">
      <w:pPr>
        <w:pStyle w:val="NormalWeb"/>
        <w:ind w:left="640" w:hanging="640"/>
        <w:divId w:val="1035498541"/>
      </w:pPr>
      <w:r>
        <w:fldChar w:fldCharType="end"/>
      </w:r>
    </w:p>
    <w:sectPr w:rsidR="00D73981" w:rsidRPr="00A53C99" w:rsidSect="00F83CD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ngsana New">
    <w:panose1 w:val="020B0300020202020204"/>
    <w:charset w:val="00"/>
    <w:family w:val="auto"/>
    <w:pitch w:val="variable"/>
    <w:sig w:usb0="A10002FF" w:usb1="5000204A" w:usb2="00000020" w:usb3="00000000" w:csb0="00010097" w:csb1="00000000"/>
  </w:font>
  <w:font w:name="Verdana">
    <w:panose1 w:val="020B0604030504040204"/>
    <w:charset w:val="00"/>
    <w:family w:val="auto"/>
    <w:pitch w:val="variable"/>
    <w:sig w:usb0="A10006FF" w:usb1="4000205B" w:usb2="00000010" w:usb3="00000000" w:csb0="0000019F" w:csb1="00000000"/>
  </w:font>
  <w:font w:name="PMingLiU">
    <w:altName w:val="新細明體"/>
    <w:charset w:val="88"/>
    <w:family w:val="roman"/>
    <w:pitch w:val="variable"/>
    <w:sig w:usb0="A00002FF" w:usb1="28CFFCFA" w:usb2="00000016" w:usb3="00000000" w:csb0="00100001" w:csb1="00000000"/>
  </w:font>
  <w:font w:name="Helv">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icrosoft Yi Baiti">
    <w:panose1 w:val="03000500000000000000"/>
    <w:charset w:val="00"/>
    <w:family w:val="auto"/>
    <w:pitch w:val="variable"/>
    <w:sig w:usb0="80000003" w:usb1="00010402" w:usb2="00080002" w:usb3="00000000" w:csb0="00000001"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C99"/>
    <w:rsid w:val="00236C99"/>
    <w:rsid w:val="005005AC"/>
    <w:rsid w:val="008146E1"/>
    <w:rsid w:val="00A53C99"/>
    <w:rsid w:val="00C9616A"/>
    <w:rsid w:val="00D73981"/>
    <w:rsid w:val="00F64ED9"/>
    <w:rsid w:val="00F83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F773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C99"/>
    <w:rPr>
      <w:rFonts w:ascii="Times New Roman" w:eastAsia="Times New Roman" w:hAnsi="Times New Roman" w:cs="Angsana New"/>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illemoyenne11">
    <w:name w:val="Grille moyenne 11"/>
    <w:basedOn w:val="Normal"/>
    <w:uiPriority w:val="99"/>
    <w:unhideWhenUsed/>
    <w:rsid w:val="00A53C99"/>
    <w:pPr>
      <w:keepNext/>
      <w:tabs>
        <w:tab w:val="num" w:pos="0"/>
      </w:tabs>
      <w:spacing w:line="276" w:lineRule="auto"/>
      <w:contextualSpacing/>
      <w:outlineLvl w:val="0"/>
    </w:pPr>
    <w:rPr>
      <w:rFonts w:ascii="Verdana" w:eastAsia="PMingLiU" w:hAnsi="Verdana" w:cs="Helv"/>
      <w:sz w:val="22"/>
      <w:lang w:bidi="th-TH"/>
    </w:rPr>
  </w:style>
  <w:style w:type="paragraph" w:styleId="NormalWeb">
    <w:name w:val="Normal (Web)"/>
    <w:basedOn w:val="Normal"/>
    <w:uiPriority w:val="99"/>
    <w:unhideWhenUsed/>
    <w:rsid w:val="00D73981"/>
    <w:pPr>
      <w:spacing w:before="100" w:beforeAutospacing="1" w:after="100" w:afterAutospacing="1"/>
    </w:pPr>
    <w:rPr>
      <w:rFonts w:ascii="Times" w:eastAsiaTheme="minorEastAsia"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C99"/>
    <w:rPr>
      <w:rFonts w:ascii="Times New Roman" w:eastAsia="Times New Roman" w:hAnsi="Times New Roman" w:cs="Angsana New"/>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illemoyenne11">
    <w:name w:val="Grille moyenne 11"/>
    <w:basedOn w:val="Normal"/>
    <w:uiPriority w:val="99"/>
    <w:unhideWhenUsed/>
    <w:rsid w:val="00A53C99"/>
    <w:pPr>
      <w:keepNext/>
      <w:tabs>
        <w:tab w:val="num" w:pos="0"/>
      </w:tabs>
      <w:spacing w:line="276" w:lineRule="auto"/>
      <w:contextualSpacing/>
      <w:outlineLvl w:val="0"/>
    </w:pPr>
    <w:rPr>
      <w:rFonts w:ascii="Verdana" w:eastAsia="PMingLiU" w:hAnsi="Verdana" w:cs="Helv"/>
      <w:sz w:val="22"/>
      <w:lang w:bidi="th-TH"/>
    </w:rPr>
  </w:style>
  <w:style w:type="paragraph" w:styleId="NormalWeb">
    <w:name w:val="Normal (Web)"/>
    <w:basedOn w:val="Normal"/>
    <w:uiPriority w:val="99"/>
    <w:unhideWhenUsed/>
    <w:rsid w:val="00D73981"/>
    <w:pPr>
      <w:spacing w:before="100" w:beforeAutospacing="1" w:after="100" w:afterAutospacing="1"/>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992700">
      <w:bodyDiv w:val="1"/>
      <w:marLeft w:val="0"/>
      <w:marRight w:val="0"/>
      <w:marTop w:val="0"/>
      <w:marBottom w:val="0"/>
      <w:divBdr>
        <w:top w:val="none" w:sz="0" w:space="0" w:color="auto"/>
        <w:left w:val="none" w:sz="0" w:space="0" w:color="auto"/>
        <w:bottom w:val="none" w:sz="0" w:space="0" w:color="auto"/>
        <w:right w:val="none" w:sz="0" w:space="0" w:color="auto"/>
      </w:divBdr>
      <w:divsChild>
        <w:div w:id="1125586051">
          <w:marLeft w:val="0"/>
          <w:marRight w:val="0"/>
          <w:marTop w:val="0"/>
          <w:marBottom w:val="0"/>
          <w:divBdr>
            <w:top w:val="none" w:sz="0" w:space="0" w:color="auto"/>
            <w:left w:val="none" w:sz="0" w:space="0" w:color="auto"/>
            <w:bottom w:val="none" w:sz="0" w:space="0" w:color="auto"/>
            <w:right w:val="none" w:sz="0" w:space="0" w:color="auto"/>
          </w:divBdr>
          <w:divsChild>
            <w:div w:id="1496071100">
              <w:marLeft w:val="0"/>
              <w:marRight w:val="0"/>
              <w:marTop w:val="0"/>
              <w:marBottom w:val="0"/>
              <w:divBdr>
                <w:top w:val="none" w:sz="0" w:space="0" w:color="auto"/>
                <w:left w:val="none" w:sz="0" w:space="0" w:color="auto"/>
                <w:bottom w:val="none" w:sz="0" w:space="0" w:color="auto"/>
                <w:right w:val="none" w:sz="0" w:space="0" w:color="auto"/>
              </w:divBdr>
              <w:divsChild>
                <w:div w:id="1899440569">
                  <w:marLeft w:val="0"/>
                  <w:marRight w:val="0"/>
                  <w:marTop w:val="0"/>
                  <w:marBottom w:val="0"/>
                  <w:divBdr>
                    <w:top w:val="none" w:sz="0" w:space="0" w:color="auto"/>
                    <w:left w:val="none" w:sz="0" w:space="0" w:color="auto"/>
                    <w:bottom w:val="none" w:sz="0" w:space="0" w:color="auto"/>
                    <w:right w:val="none" w:sz="0" w:space="0" w:color="auto"/>
                  </w:divBdr>
                  <w:divsChild>
                    <w:div w:id="730467819">
                      <w:marLeft w:val="0"/>
                      <w:marRight w:val="0"/>
                      <w:marTop w:val="0"/>
                      <w:marBottom w:val="0"/>
                      <w:divBdr>
                        <w:top w:val="none" w:sz="0" w:space="0" w:color="auto"/>
                        <w:left w:val="none" w:sz="0" w:space="0" w:color="auto"/>
                        <w:bottom w:val="none" w:sz="0" w:space="0" w:color="auto"/>
                        <w:right w:val="none" w:sz="0" w:space="0" w:color="auto"/>
                      </w:divBdr>
                      <w:divsChild>
                        <w:div w:id="1035498541">
                          <w:marLeft w:val="0"/>
                          <w:marRight w:val="0"/>
                          <w:marTop w:val="0"/>
                          <w:marBottom w:val="0"/>
                          <w:divBdr>
                            <w:top w:val="none" w:sz="0" w:space="0" w:color="auto"/>
                            <w:left w:val="none" w:sz="0" w:space="0" w:color="auto"/>
                            <w:bottom w:val="none" w:sz="0" w:space="0" w:color="auto"/>
                            <w:right w:val="none" w:sz="0" w:space="0" w:color="auto"/>
                          </w:divBdr>
                          <w:divsChild>
                            <w:div w:id="6328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41F76-3E98-8A48-AB8D-FCF4725C1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6358</Words>
  <Characters>36242</Characters>
  <Application>Microsoft Macintosh Word</Application>
  <DocSecurity>0</DocSecurity>
  <Lines>302</Lines>
  <Paragraphs>85</Paragraphs>
  <ScaleCrop>false</ScaleCrop>
  <Company/>
  <LinksUpToDate>false</LinksUpToDate>
  <CharactersWithSpaces>42515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Mingkwan Nipitwattanaphon</dc:creator>
  <cp:keywords/>
  <dc:description/>
  <cp:lastModifiedBy>Mingkwan Nipitwattanaphon</cp:lastModifiedBy>
  <cp:revision>6</cp:revision>
  <dcterms:created xsi:type="dcterms:W3CDTF">2014-09-26T13:46:00Z</dcterms:created>
  <dcterms:modified xsi:type="dcterms:W3CDTF">2014-09-29T02:47:00Z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mingkwann@gmail.com@www.mendeley.com</vt:lpwstr>
  </property>
  <property fmtid="{D5CDD505-2E9C-101B-9397-08002B2CF9AE}" pid="4" name="Mendeley Citation Style_1">
    <vt:lpwstr>http://csl.mendeley.com/styles/6760283/proceedings-of-the-royal-society-b</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http://csl.mendeley.com/styles/6760283/cell-numeric-2</vt:lpwstr>
  </property>
  <property fmtid="{D5CDD505-2E9C-101B-9397-08002B2CF9AE}" pid="8" name="Mendeley Recent Style Name 1_1">
    <vt:lpwstr>Cell Journals (numeric) - Chitsanu Khurewathanakul</vt:lpwstr>
  </property>
  <property fmtid="{D5CDD505-2E9C-101B-9397-08002B2CF9AE}" pid="9" name="Mendeley Recent Style Id 2_1">
    <vt:lpwstr>http://www.zotero.org/styles/elsevier-harvard</vt:lpwstr>
  </property>
  <property fmtid="{D5CDD505-2E9C-101B-9397-08002B2CF9AE}" pid="10" name="Mendeley Recent Style Name 2_1">
    <vt:lpwstr>Elsevier Harvard (with titles)</vt:lpwstr>
  </property>
  <property fmtid="{D5CDD505-2E9C-101B-9397-08002B2CF9AE}" pid="11" name="Mendeley Recent Style Id 3_1">
    <vt:lpwstr>http://www.zotero.org/styles/elsevier-harvard2</vt:lpwstr>
  </property>
  <property fmtid="{D5CDD505-2E9C-101B-9397-08002B2CF9AE}" pid="12" name="Mendeley Recent Style Name 3_1">
    <vt:lpwstr>Elsevier Harvard 2</vt:lpwstr>
  </property>
  <property fmtid="{D5CDD505-2E9C-101B-9397-08002B2CF9AE}" pid="13" name="Mendeley Recent Style Id 4_1">
    <vt:lpwstr>http://www.zotero.org/styles/elsevier-vancouver</vt:lpwstr>
  </property>
  <property fmtid="{D5CDD505-2E9C-101B-9397-08002B2CF9AE}" pid="14" name="Mendeley Recent Style Name 4_1">
    <vt:lpwstr>Elsevier Vancouver</vt:lpwstr>
  </property>
  <property fmtid="{D5CDD505-2E9C-101B-9397-08002B2CF9AE}" pid="15" name="Mendeley Recent Style Id 5_1">
    <vt:lpwstr>http://www.zotero.org/styles/genome-biology</vt:lpwstr>
  </property>
  <property fmtid="{D5CDD505-2E9C-101B-9397-08002B2CF9AE}" pid="16" name="Mendeley Recent Style Name 5_1">
    <vt:lpwstr>Genome Biology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http://www.zotero.org/styles/molecular-ecology</vt:lpwstr>
  </property>
  <property fmtid="{D5CDD505-2E9C-101B-9397-08002B2CF9AE}" pid="20" name="Mendeley Recent Style Name 7_1">
    <vt:lpwstr>Molecular Ecology</vt:lpwstr>
  </property>
  <property fmtid="{D5CDD505-2E9C-101B-9397-08002B2CF9AE}" pid="21" name="Mendeley Recent Style Id 8_1">
    <vt:lpwstr>http://csl.mendeley.com/styles/6760283/proceedings-of-the-royal-society-b</vt:lpwstr>
  </property>
  <property fmtid="{D5CDD505-2E9C-101B-9397-08002B2CF9AE}" pid="22" name="Mendeley Recent Style Name 8_1">
    <vt:lpwstr>Proceedings of the Royal Society B - Chitsanu Khurewathanakul</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