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国泰安自研产品定价工作指引V2.0</w:t>
      </w: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tbl>
      <w:tblPr>
        <w:tblStyle w:val="13"/>
        <w:tblpPr w:leftFromText="180" w:rightFromText="180" w:vertAnchor="text" w:horzAnchor="margin" w:tblpXSpec="center" w:tblpY="-15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文件名称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国泰安自研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产品定价工作指引Ｖ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共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8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文件编号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编制人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陈友成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审阅人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陈玫竹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编制部门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产品管理与定价部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陈工孟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签发日期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2016年11月15日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32"/>
          <w:szCs w:val="40"/>
        </w:rPr>
        <w:br w:type="page"/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目 录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pStyle w:val="7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ascii="微软雅黑" w:hAnsi="微软雅黑" w:eastAsia="微软雅黑" w:cs="微软雅黑"/>
          <w:b w:val="0"/>
          <w:bCs w:val="0"/>
          <w:sz w:val="22"/>
          <w:szCs w:val="22"/>
        </w:rPr>
        <w:instrText xml:space="preserve"> TOC \o "1-3" \h \z \u </w:instrText>
      </w:r>
      <w:r>
        <w:rPr>
          <w:rFonts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fldChar w:fldCharType="begin"/>
      </w:r>
      <w:r>
        <w:instrText xml:space="preserve"> HYPERLINK \l "_Toc466980112"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1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制订目的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_Toc466980112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7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"_Toc466980113"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2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适用范围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_Toc466980113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7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"_Toc466980114"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3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组织机构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_Toc466980114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"_Toc466980115"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3.1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组织架构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_Toc466980115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"_Toc466980116"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3.2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职责说明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_Toc466980116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7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"_Toc466980117"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4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定价原则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_Toc466980117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7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"_Toc466980118"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5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定价时间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_Toc466980118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7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"_Toc466980119"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6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定价流程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_Toc466980119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7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"_Toc466980120"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2"/>
          <w:szCs w:val="22"/>
        </w:rPr>
        <w:t xml:space="preserve">7 </w:t>
      </w:r>
      <w:r>
        <w:rPr>
          <w:rStyle w:val="12"/>
          <w:rFonts w:hint="eastAsia" w:ascii="微软雅黑" w:hAnsi="微软雅黑" w:eastAsia="微软雅黑"/>
          <w:sz w:val="22"/>
          <w:szCs w:val="22"/>
        </w:rPr>
        <w:t>相关附件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_Toc466980120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22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32"/>
          <w:szCs w:val="40"/>
        </w:rPr>
        <w:br w:type="page"/>
      </w:r>
    </w:p>
    <w:p>
      <w:pPr>
        <w:pStyle w:val="2"/>
        <w:spacing w:before="0" w:after="0" w:line="360" w:lineRule="auto"/>
        <w:rPr>
          <w:rFonts w:ascii="微软雅黑" w:hAnsi="微软雅黑" w:eastAsia="微软雅黑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850" w:gutter="0"/>
          <w:cols w:space="425" w:num="1"/>
          <w:docGrid w:type="lines" w:linePitch="312" w:charSpace="0"/>
        </w:sectPr>
      </w:pPr>
      <w:bookmarkStart w:id="0" w:name="_Toc466980112"/>
    </w:p>
    <w:p>
      <w:pPr>
        <w:pStyle w:val="2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 制订目的</w:t>
      </w:r>
      <w:bookmarkEnd w:id="0"/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为规范集团自研产品定价和定价评审流程，保证定价过程的合理、有序，定价决策的科学规范，同时提高自研产品定价工作的质量和决策效率，产品管理与定价部特制定本工作指引，以指导集团自研产品定价工作的开展。</w:t>
      </w:r>
    </w:p>
    <w:p>
      <w:pPr>
        <w:spacing w:line="360" w:lineRule="auto"/>
        <w:ind w:firstLine="440" w:firstLineChars="200"/>
        <w:rPr>
          <w:rFonts w:ascii="微软雅黑" w:hAnsi="微软雅黑" w:eastAsia="微软雅黑"/>
          <w:bCs/>
          <w:sz w:val="22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1" w:name="_Toc466980113"/>
      <w:r>
        <w:rPr>
          <w:rFonts w:hint="eastAsia" w:ascii="微软雅黑" w:hAnsi="微软雅黑" w:eastAsia="微软雅黑"/>
          <w:b/>
          <w:sz w:val="28"/>
          <w:szCs w:val="28"/>
        </w:rPr>
        <w:t>2 适用范围</w:t>
      </w:r>
      <w:bookmarkEnd w:id="1"/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本指引适用于集团所有自研产品，包括：</w:t>
      </w:r>
    </w:p>
    <w:p>
      <w:pPr>
        <w:pStyle w:val="18"/>
        <w:numPr>
          <w:ilvl w:val="0"/>
          <w:numId w:val="1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新申请立项的自研产品；</w:t>
      </w:r>
    </w:p>
    <w:p>
      <w:pPr>
        <w:pStyle w:val="18"/>
        <w:numPr>
          <w:ilvl w:val="0"/>
          <w:numId w:val="1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拟上市发布尚未定价的自研产品；</w:t>
      </w:r>
    </w:p>
    <w:p>
      <w:pPr>
        <w:pStyle w:val="18"/>
        <w:numPr>
          <w:ilvl w:val="0"/>
          <w:numId w:val="1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因产品升级、销售对象或销售策略变化需重新调整定价的现有自研产品。</w:t>
      </w:r>
    </w:p>
    <w:p>
      <w:pPr>
        <w:pStyle w:val="18"/>
        <w:spacing w:line="360" w:lineRule="auto"/>
        <w:ind w:left="1200" w:firstLine="0" w:firstLineChars="0"/>
        <w:rPr>
          <w:rFonts w:ascii="微软雅黑" w:hAnsi="微软雅黑" w:eastAsia="微软雅黑"/>
          <w:bCs/>
          <w:sz w:val="22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2" w:name="_Toc466980114"/>
      <w:r>
        <w:rPr>
          <w:rFonts w:hint="eastAsia" w:ascii="微软雅黑" w:hAnsi="微软雅黑" w:eastAsia="微软雅黑"/>
          <w:b/>
          <w:sz w:val="28"/>
          <w:szCs w:val="28"/>
        </w:rPr>
        <w:t>3 组织机构</w:t>
      </w:r>
      <w:bookmarkEnd w:id="2"/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集团成立专门的“产品定价评审委员会”负责对所有自研产品进行定价评审工作，评审通过后报董事长批准后生效。</w:t>
      </w:r>
    </w:p>
    <w:p>
      <w:pPr>
        <w:pStyle w:val="3"/>
        <w:rPr>
          <w:rFonts w:ascii="微软雅黑" w:hAnsi="微软雅黑" w:eastAsia="微软雅黑"/>
          <w:sz w:val="24"/>
        </w:rPr>
      </w:pPr>
      <w:bookmarkStart w:id="3" w:name="_Toc466980115"/>
      <w:r>
        <w:rPr>
          <w:rFonts w:hint="eastAsia" w:ascii="微软雅黑" w:hAnsi="微软雅黑" w:eastAsia="微软雅黑"/>
          <w:sz w:val="24"/>
        </w:rPr>
        <w:t>3.1 组织架构</w:t>
      </w:r>
      <w:bookmarkEnd w:id="3"/>
    </w:p>
    <w:p>
      <w:pPr>
        <w:pStyle w:val="18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产品定价评审委员会</w:t>
      </w:r>
      <w:r>
        <w:rPr>
          <w:rFonts w:hint="eastAsia" w:ascii="微软雅黑" w:hAnsi="微软雅黑" w:eastAsia="微软雅黑"/>
          <w:b/>
          <w:bCs/>
          <w:sz w:val="22"/>
        </w:rPr>
        <w:t>顾问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陈工孟、高宁、陈振田、王春雷</w:t>
      </w:r>
    </w:p>
    <w:p>
      <w:pPr>
        <w:pStyle w:val="18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产品定价评审委员会</w:t>
      </w:r>
      <w:r>
        <w:rPr>
          <w:rFonts w:hint="eastAsia" w:ascii="微软雅黑" w:hAnsi="微软雅黑" w:eastAsia="微软雅黑"/>
          <w:b/>
          <w:bCs/>
          <w:sz w:val="22"/>
        </w:rPr>
        <w:t>常委</w:t>
      </w:r>
    </w:p>
    <w:p>
      <w:pPr>
        <w:pStyle w:val="18"/>
        <w:spacing w:line="520" w:lineRule="exact"/>
        <w:ind w:left="420" w:firstLine="0"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丁艳、李红洲、王永贵、黄文、杨阳、黎敏、冯诚</w:t>
      </w:r>
    </w:p>
    <w:p>
      <w:pPr>
        <w:pStyle w:val="18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产品定价评审委员会</w:t>
      </w:r>
      <w:r>
        <w:rPr>
          <w:rFonts w:hint="eastAsia" w:ascii="微软雅黑" w:hAnsi="微软雅黑" w:eastAsia="微软雅黑"/>
          <w:b/>
          <w:bCs/>
          <w:sz w:val="22"/>
        </w:rPr>
        <w:t>委员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产品管理委员会：黄惠青、喻西香、房巧红、魏辰、宋洁、张超、周科龙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营销管理委员会：邱进毅、郭左平、李显意、庞伟、张振龙、许宝玉、李亚桐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产品管理与定价部：陈玫竹</w:t>
      </w:r>
    </w:p>
    <w:p>
      <w:pPr>
        <w:pStyle w:val="18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</w:t>
      </w:r>
      <w:r>
        <w:rPr>
          <w:rFonts w:hint="eastAsia" w:ascii="微软雅黑" w:hAnsi="微软雅黑" w:eastAsia="微软雅黑"/>
          <w:b/>
          <w:bCs/>
          <w:sz w:val="22"/>
        </w:rPr>
        <w:t>责任部门</w:t>
      </w:r>
    </w:p>
    <w:p>
      <w:pPr>
        <w:pStyle w:val="18"/>
        <w:spacing w:line="520" w:lineRule="exact"/>
        <w:ind w:left="420" w:firstLine="0"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产品管理与定价部</w:t>
      </w:r>
    </w:p>
    <w:p>
      <w:pPr>
        <w:pStyle w:val="3"/>
        <w:rPr>
          <w:rFonts w:ascii="微软雅黑" w:hAnsi="微软雅黑" w:eastAsia="微软雅黑"/>
          <w:sz w:val="24"/>
        </w:rPr>
      </w:pPr>
      <w:bookmarkStart w:id="4" w:name="_Toc466980116"/>
      <w:r>
        <w:rPr>
          <w:rFonts w:hint="eastAsia" w:ascii="微软雅黑" w:hAnsi="微软雅黑" w:eastAsia="微软雅黑"/>
          <w:sz w:val="24"/>
        </w:rPr>
        <w:t>3.2 职责说明</w:t>
      </w:r>
      <w:bookmarkEnd w:id="4"/>
    </w:p>
    <w:tbl>
      <w:tblPr>
        <w:tblStyle w:val="1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26" w:type="dxa"/>
            <w:tcBorders>
              <w:top w:val="thinThickSmallGap" w:color="auto" w:sz="24" w:space="0"/>
              <w:left w:val="nil"/>
              <w:bottom w:val="thickThinSmallGap" w:color="auto" w:sz="2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角  色</w:t>
            </w:r>
          </w:p>
        </w:tc>
        <w:tc>
          <w:tcPr>
            <w:tcW w:w="7716" w:type="dxa"/>
            <w:tcBorders>
              <w:top w:val="thinThickSmallGap" w:color="auto" w:sz="24" w:space="0"/>
              <w:bottom w:val="thickThinSmallGap" w:color="auto" w:sz="24" w:space="0"/>
              <w:righ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thickThinSmallGap" w:color="auto" w:sz="24" w:space="0"/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董事长</w:t>
            </w:r>
          </w:p>
        </w:tc>
        <w:tc>
          <w:tcPr>
            <w:tcW w:w="7716" w:type="dxa"/>
            <w:tcBorders>
              <w:top w:val="thickThinSmallGap" w:color="auto" w:sz="24" w:space="0"/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对公司所有自研产品定价进行终审，审核通过后签字对外发布。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顾  问</w:t>
            </w:r>
          </w:p>
        </w:tc>
        <w:tc>
          <w:tcPr>
            <w:tcW w:w="7716" w:type="dxa"/>
            <w:tcBorders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对公司自研产品定价进行战略指导，提出合理化建议。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常  委</w:t>
            </w:r>
          </w:p>
        </w:tc>
        <w:tc>
          <w:tcPr>
            <w:tcW w:w="7716" w:type="dxa"/>
            <w:tcBorders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对自研产品定价结果进行复审，从公司整体风险及后续发展等角度判定产品定价结果是否通过。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委  员</w:t>
            </w:r>
          </w:p>
        </w:tc>
        <w:tc>
          <w:tcPr>
            <w:tcW w:w="7716" w:type="dxa"/>
            <w:tcBorders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根据公司整体战略/自身服务的市场，所在的研发团队，从公司产品成本，竞争对手的产品价格，公司的销售策略，科学的定价模式等方面，对公司自研产品的定价提出建议，并对参与评审的自研产品定价结果做初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bottom w:val="thickThinSmallGap" w:color="auto" w:sz="2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责任部门</w:t>
            </w:r>
          </w:p>
        </w:tc>
        <w:tc>
          <w:tcPr>
            <w:tcW w:w="7716" w:type="dxa"/>
            <w:tcBorders>
              <w:bottom w:val="thickThinSmallGap" w:color="auto" w:sz="24" w:space="0"/>
              <w:right w:val="nil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受理产品定价申请，对拟调整定价的老产品进行调整原因审核；</w:t>
            </w:r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根据拟定价的产品类型，召集合适的定价委员组织定价评审会议，并将经评审常委复核后的定价信息提交给董事长批复；</w:t>
            </w:r>
            <w:bookmarkStart w:id="9" w:name="_GoBack"/>
            <w:bookmarkEnd w:id="9"/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将董事长批复后的产品定价信息录入CRM系统，并正式对营销体系发布；</w:t>
            </w:r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定价发布三个月后进行回溯其市场销量和成交价情况，判断是否调整定价；</w:t>
            </w:r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定期（每年1月和7月）根据市场反馈集中组织定价调整工作。</w:t>
            </w:r>
          </w:p>
        </w:tc>
      </w:tr>
    </w:tbl>
    <w:p>
      <w:pPr>
        <w:pStyle w:val="18"/>
        <w:spacing w:line="360" w:lineRule="auto"/>
        <w:ind w:left="420" w:firstLine="0" w:firstLineChars="0"/>
        <w:rPr>
          <w:rFonts w:ascii="微软雅黑" w:hAnsi="微软雅黑" w:eastAsia="微软雅黑"/>
          <w:bCs/>
          <w:sz w:val="22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5" w:name="_Toc466980117"/>
      <w:r>
        <w:rPr>
          <w:rFonts w:hint="eastAsia" w:ascii="微软雅黑" w:hAnsi="微软雅黑" w:eastAsia="微软雅黑"/>
          <w:b/>
          <w:sz w:val="28"/>
          <w:szCs w:val="28"/>
        </w:rPr>
        <w:t>4 定价原则</w:t>
      </w:r>
      <w:bookmarkEnd w:id="5"/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自研产品定价应综合考虑以下三种因素，在保证卖得出去的前提下，追求利润最大化：</w:t>
      </w:r>
    </w:p>
    <w:p>
      <w:pPr>
        <w:pStyle w:val="23"/>
        <w:numPr>
          <w:ilvl w:val="0"/>
          <w:numId w:val="4"/>
        </w:numPr>
        <w:spacing w:line="520" w:lineRule="exact"/>
        <w:ind w:firstLineChars="0"/>
        <w:rPr>
          <w:rFonts w:ascii="微软雅黑" w:hAnsi="微软雅黑" w:eastAsia="微软雅黑" w:cs="宋体"/>
          <w:color w:val="000000"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2"/>
          <w:szCs w:val="22"/>
        </w:rPr>
        <w:t>成本因素：可综合考虑开发成本、预计推广成本、预计实施成本等</w:t>
      </w:r>
    </w:p>
    <w:p>
      <w:pPr>
        <w:pStyle w:val="23"/>
        <w:numPr>
          <w:ilvl w:val="0"/>
          <w:numId w:val="4"/>
        </w:numPr>
        <w:spacing w:line="520" w:lineRule="exact"/>
        <w:ind w:firstLineChars="0"/>
        <w:rPr>
          <w:rFonts w:ascii="微软雅黑" w:hAnsi="微软雅黑" w:eastAsia="微软雅黑" w:cs="宋体"/>
          <w:color w:val="000000"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2"/>
          <w:szCs w:val="22"/>
        </w:rPr>
        <w:t>市场因素：可综合考虑市场容量、3年内GTA预计市场比重、竞品价格（市场价，成交价）、成本回收周期（非硬件）、预期利润率、市场需要迫切度等</w:t>
      </w:r>
    </w:p>
    <w:p>
      <w:pPr>
        <w:pStyle w:val="23"/>
        <w:numPr>
          <w:ilvl w:val="0"/>
          <w:numId w:val="4"/>
        </w:numPr>
        <w:spacing w:line="520" w:lineRule="exact"/>
        <w:ind w:firstLineChars="0"/>
        <w:rPr>
          <w:rFonts w:ascii="微软雅黑" w:hAnsi="微软雅黑" w:eastAsia="微软雅黑" w:cs="宋体"/>
          <w:color w:val="000000"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2"/>
          <w:szCs w:val="22"/>
        </w:rPr>
        <w:t>项目因素：可综合考虑客户可接受的价格区间、已签约项目数量、意向项目数量等</w:t>
      </w:r>
    </w:p>
    <w:tbl>
      <w:tblPr>
        <w:tblStyle w:val="1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thinThickSmallGap" w:color="auto" w:sz="24" w:space="0"/>
              <w:left w:val="nil"/>
              <w:bottom w:val="thickThinSmallGap" w:color="auto" w:sz="2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产品类型</w:t>
            </w:r>
          </w:p>
        </w:tc>
        <w:tc>
          <w:tcPr>
            <w:tcW w:w="7654" w:type="dxa"/>
            <w:tcBorders>
              <w:top w:val="thinThickSmallGap" w:color="auto" w:sz="24" w:space="0"/>
              <w:left w:val="single" w:color="auto" w:sz="4" w:space="0"/>
              <w:bottom w:val="thickThinSmallGap" w:color="auto" w:sz="24" w:space="0"/>
              <w:right w:val="nil"/>
            </w:tcBorders>
          </w:tcPr>
          <w:p>
            <w:pPr>
              <w:spacing w:line="520" w:lineRule="exact"/>
              <w:ind w:firstLine="442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定价评审因素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thickThinSmallGap" w:color="auto" w:sz="2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自研软件</w:t>
            </w:r>
          </w:p>
        </w:tc>
        <w:tc>
          <w:tcPr>
            <w:tcW w:w="7654" w:type="dxa"/>
            <w:tcBorders>
              <w:top w:val="thickThinSmallGap" w:color="auto" w:sz="2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18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产品总成本（研发、安装部署、人力、插件、实施运维等成本）</w:t>
            </w:r>
          </w:p>
          <w:p>
            <w:pPr>
              <w:pStyle w:val="18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软件本身的价值（是否抓住客户痛点？全部/部分解决客户痛点？解决后给客户带来的价值收获是什么？）</w:t>
            </w:r>
          </w:p>
          <w:p>
            <w:pPr>
              <w:pStyle w:val="18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同类产品市场价格（竞品公司价格）</w:t>
            </w:r>
          </w:p>
          <w:p>
            <w:pPr>
              <w:pStyle w:val="18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产品的稀缺性和市场容量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自研硬件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520" w:lineRule="exact"/>
              <w:ind w:firstLine="44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利润最大化，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产品定价=产品总成本/（1-预期毛利率）</w:t>
            </w:r>
            <w:r>
              <w:rPr>
                <w:rFonts w:hint="eastAsia" w:ascii="微软雅黑" w:hAnsi="微软雅黑" w:eastAsia="微软雅黑"/>
                <w:sz w:val="22"/>
              </w:rPr>
              <w:t>。成本包括材料费、管理费、折旧费、实施人工成本、税费等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nil"/>
              <w:bottom w:val="thickThinSmallGap" w:color="auto" w:sz="2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自研资源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thickThinSmallGap" w:color="auto" w:sz="24" w:space="0"/>
              <w:right w:val="nil"/>
            </w:tcBorders>
          </w:tcPr>
          <w:p>
            <w:pPr>
              <w:spacing w:line="520" w:lineRule="exact"/>
              <w:ind w:firstLine="44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对于自研的资源类产品，可分为两大类：</w:t>
            </w:r>
          </w:p>
          <w:p>
            <w:pPr>
              <w:pStyle w:val="18"/>
              <w:numPr>
                <w:ilvl w:val="0"/>
                <w:numId w:val="6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教学资源类（课件、ppt、教案等常规教学资源，整合为主，稍微加工即可售卖）</w:t>
            </w:r>
          </w:p>
          <w:p>
            <w:pPr>
              <w:pStyle w:val="18"/>
              <w:numPr>
                <w:ilvl w:val="0"/>
                <w:numId w:val="6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创新型资源类（资源情景化、互动性强、非常符合职业教育特点的资源）</w:t>
            </w:r>
          </w:p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  <w:u w:val="single"/>
              </w:rPr>
              <w:t>建议</w:t>
            </w:r>
            <w:r>
              <w:rPr>
                <w:rFonts w:hint="eastAsia" w:ascii="微软雅黑" w:hAnsi="微软雅黑" w:eastAsia="微软雅黑"/>
                <w:sz w:val="22"/>
              </w:rPr>
              <w:t>：根据资源的难易程度、专业性强度、市场稀缺性等综合考虑定价</w:t>
            </w:r>
          </w:p>
        </w:tc>
      </w:tr>
    </w:tbl>
    <w:p>
      <w:pPr>
        <w:spacing w:line="360" w:lineRule="auto"/>
        <w:ind w:firstLine="480" w:firstLineChars="200"/>
        <w:rPr>
          <w:rFonts w:ascii="微软雅黑" w:hAnsi="微软雅黑" w:eastAsia="微软雅黑"/>
          <w:bCs/>
          <w:sz w:val="24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6" w:name="_Toc466980118"/>
      <w:r>
        <w:rPr>
          <w:rFonts w:hint="eastAsia" w:ascii="微软雅黑" w:hAnsi="微软雅黑" w:eastAsia="微软雅黑"/>
          <w:b/>
          <w:sz w:val="28"/>
          <w:szCs w:val="28"/>
        </w:rPr>
        <w:t>5 定价时间</w:t>
      </w:r>
      <w:bookmarkEnd w:id="6"/>
    </w:p>
    <w:p>
      <w:pPr>
        <w:pStyle w:val="18"/>
        <w:numPr>
          <w:ilvl w:val="0"/>
          <w:numId w:val="7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新申请立项的自研产品</w:t>
      </w:r>
    </w:p>
    <w:p>
      <w:pPr>
        <w:spacing w:line="520" w:lineRule="exact"/>
        <w:ind w:left="48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与产品立项论证会同时召开，具体时间根据研发管理中心组织产品立项论证的时间而定</w:t>
      </w:r>
    </w:p>
    <w:p>
      <w:pPr>
        <w:pStyle w:val="18"/>
        <w:numPr>
          <w:ilvl w:val="0"/>
          <w:numId w:val="7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拟上市发布尚未定价的自研产品；因产品升级、销售对象或销售策略变化需重新调整定价的现有自研产品</w:t>
      </w:r>
    </w:p>
    <w:p>
      <w:pPr>
        <w:spacing w:line="520" w:lineRule="exact"/>
        <w:ind w:left="420" w:leftChars="2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每月5日前收集需定价的自研产品信息，每月10日（节假日顺延）组织召开定价评审会议，特殊情况另行处理。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b/>
          <w:sz w:val="28"/>
          <w:szCs w:val="28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7" w:name="_Toc466980119"/>
      <w:r>
        <w:rPr>
          <w:rFonts w:hint="eastAsia" w:ascii="微软雅黑" w:hAnsi="微软雅黑" w:eastAsia="微软雅黑"/>
          <w:b/>
          <w:sz w:val="28"/>
          <w:szCs w:val="28"/>
        </w:rPr>
        <w:t>6 定价流程</w:t>
      </w:r>
      <w:bookmarkEnd w:id="7"/>
    </w:p>
    <w:p>
      <w:pPr>
        <w:spacing w:line="360" w:lineRule="auto"/>
        <w:rPr>
          <w:rFonts w:hint="eastAsia"/>
        </w:rPr>
      </w:pPr>
      <w:r>
        <w:object>
          <v:shape id="_x0000_i1025" o:spt="75" type="#_x0000_t75" style="height:516.75pt;width:450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rPr>
          <w:rFonts w:ascii="微软雅黑" w:hAnsi="微软雅黑" w:eastAsia="微软雅黑"/>
          <w:b/>
          <w:sz w:val="28"/>
          <w:szCs w:val="28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8" w:name="_Toc466980120"/>
      <w:r>
        <w:rPr>
          <w:rFonts w:hint="eastAsia" w:ascii="微软雅黑" w:hAnsi="微软雅黑" w:eastAsia="微软雅黑"/>
          <w:b/>
          <w:sz w:val="28"/>
          <w:szCs w:val="28"/>
        </w:rPr>
        <w:t>7 相关附件</w:t>
      </w:r>
      <w:bookmarkEnd w:id="8"/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附件一：自研产品定价评审汇报ppt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附件二：自研产品定价</w:t>
      </w:r>
      <w:r>
        <w:rPr>
          <w:rFonts w:hint="eastAsia" w:ascii="微软雅黑" w:hAnsi="微软雅黑" w:eastAsia="微软雅黑"/>
          <w:sz w:val="22"/>
          <w:szCs w:val="28"/>
          <w:lang w:eastAsia="zh-CN"/>
        </w:rPr>
        <w:t>审批</w:t>
      </w:r>
      <w:r>
        <w:rPr>
          <w:rFonts w:hint="eastAsia" w:ascii="微软雅黑" w:hAnsi="微软雅黑" w:eastAsia="微软雅黑"/>
          <w:sz w:val="22"/>
          <w:szCs w:val="28"/>
        </w:rPr>
        <w:t>表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附件三：自研产品定价信息表</w:t>
      </w:r>
    </w:p>
    <w:sectPr>
      <w:footerReference r:id="rId5" w:type="default"/>
      <w:pgSz w:w="11906" w:h="16838"/>
      <w:pgMar w:top="1440" w:right="1418" w:bottom="1440" w:left="1418" w:header="851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2040240"/>
    </w:sdtPr>
    <w:sdtContent>
      <w:sdt>
        <w:sdtPr>
          <w:id w:val="-1550684175"/>
        </w:sdtPr>
        <w:sdtContent>
          <w:p>
            <w:pPr>
              <w:pStyle w:val="5"/>
              <w:tabs>
                <w:tab w:val="center" w:pos="4535"/>
                <w:tab w:val="left" w:pos="5835"/>
              </w:tabs>
              <w:spacing w:line="360" w:lineRule="auto"/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</w:p>
          <w:p>
            <w:pPr>
              <w:pStyle w:val="5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2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2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99893594"/>
    </w:sdtPr>
    <w:sdtContent>
      <w:sdt>
        <w:sdtPr>
          <w:id w:val="-1723972477"/>
        </w:sdtPr>
        <w:sdtContent>
          <w:p>
            <w:pPr>
              <w:pStyle w:val="5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hAnsi="微软雅黑" w:eastAsia="微软雅黑"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–第</w:t>
            </w:r>
            <w:r>
              <w:rPr>
                <w:rStyle w:val="11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fldChar w:fldCharType="begin"/>
            </w:r>
            <w:r>
              <w:rPr>
                <w:rStyle w:val="11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instrText xml:space="preserve"> PAGE </w:instrText>
            </w:r>
            <w:r>
              <w:rPr>
                <w:rStyle w:val="11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fldChar w:fldCharType="separate"/>
            </w:r>
            <w:r>
              <w:rPr>
                <w:rStyle w:val="11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1</w:t>
            </w:r>
            <w:r>
              <w:rPr>
                <w:rStyle w:val="11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fldChar w:fldCharType="end"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页–</w:t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</w:p>
          <w:p>
            <w:pPr>
              <w:pStyle w:val="5"/>
              <w:spacing w:line="360" w:lineRule="auto"/>
              <w:jc w:val="center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2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2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ascii="新宋体" w:hAnsi="新宋体" w:eastAsia="新宋体"/>
        <w:color w:val="63B96C" w:themeColor="background1" w:themeShade="A6"/>
        <w:szCs w:val="21"/>
      </w:rPr>
    </w:pPr>
    <w:r>
      <w:rPr>
        <w:color w:val="63B96C" w:themeColor="background1" w:themeShade="A6"/>
      </w:rPr>
      <w:drawing>
        <wp:inline distT="0" distB="0" distL="0" distR="0">
          <wp:extent cx="873125" cy="207010"/>
          <wp:effectExtent l="0" t="0" r="3175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651" cy="21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新宋体" w:hAnsi="新宋体" w:eastAsia="新宋体"/>
        <w:color w:val="63B96C" w:themeColor="background1" w:themeShade="A6"/>
        <w:szCs w:val="21"/>
      </w:rPr>
      <w:t xml:space="preserve">                                                            </w:t>
    </w:r>
    <w:r>
      <w:rPr>
        <w:rFonts w:hint="eastAsia" w:ascii="微软雅黑" w:hAnsi="微软雅黑" w:eastAsia="微软雅黑"/>
        <w:color w:val="63B96C" w:themeColor="background1" w:themeShade="A6"/>
        <w:sz w:val="15"/>
        <w:szCs w:val="15"/>
      </w:rPr>
      <w:t>深圳国泰安教育技术股份有限公司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2054"/>
    <w:multiLevelType w:val="multilevel"/>
    <w:tmpl w:val="2D28205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8CC785F"/>
    <w:multiLevelType w:val="multilevel"/>
    <w:tmpl w:val="48CC785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36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55049"/>
    <w:multiLevelType w:val="multilevel"/>
    <w:tmpl w:val="5075504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58A3B"/>
    <w:multiLevelType w:val="singleLevel"/>
    <w:tmpl w:val="58058A3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82933D2"/>
    <w:multiLevelType w:val="multilevel"/>
    <w:tmpl w:val="682933D2"/>
    <w:lvl w:ilvl="0" w:tentative="0">
      <w:start w:val="1"/>
      <w:numFmt w:val="bullet"/>
      <w:lvlText w:val="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7795C"/>
    <w:multiLevelType w:val="multilevel"/>
    <w:tmpl w:val="6FC7795C"/>
    <w:lvl w:ilvl="0" w:tentative="0">
      <w:start w:val="1"/>
      <w:numFmt w:val="bullet"/>
      <w:lvlText w:val=""/>
      <w:lvlJc w:val="left"/>
      <w:pPr>
        <w:ind w:left="120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7A559AD"/>
    <w:multiLevelType w:val="multilevel"/>
    <w:tmpl w:val="77A559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BF"/>
    <w:rsid w:val="000110C0"/>
    <w:rsid w:val="00043913"/>
    <w:rsid w:val="00045D50"/>
    <w:rsid w:val="0005122B"/>
    <w:rsid w:val="00053269"/>
    <w:rsid w:val="00072E57"/>
    <w:rsid w:val="000A3234"/>
    <w:rsid w:val="000A6CB3"/>
    <w:rsid w:val="000C242E"/>
    <w:rsid w:val="001104BA"/>
    <w:rsid w:val="0013575A"/>
    <w:rsid w:val="00146DD0"/>
    <w:rsid w:val="00170496"/>
    <w:rsid w:val="001833ED"/>
    <w:rsid w:val="00187EBF"/>
    <w:rsid w:val="001A2F3A"/>
    <w:rsid w:val="001C0713"/>
    <w:rsid w:val="001D0D8D"/>
    <w:rsid w:val="00273E49"/>
    <w:rsid w:val="002821D3"/>
    <w:rsid w:val="0028707A"/>
    <w:rsid w:val="002A2C03"/>
    <w:rsid w:val="002A59A6"/>
    <w:rsid w:val="002C29D3"/>
    <w:rsid w:val="002E594E"/>
    <w:rsid w:val="00302236"/>
    <w:rsid w:val="003106C0"/>
    <w:rsid w:val="0031550E"/>
    <w:rsid w:val="003159E5"/>
    <w:rsid w:val="00324C51"/>
    <w:rsid w:val="003322DF"/>
    <w:rsid w:val="0037377C"/>
    <w:rsid w:val="0037498C"/>
    <w:rsid w:val="00391F0F"/>
    <w:rsid w:val="003953BF"/>
    <w:rsid w:val="00397A1D"/>
    <w:rsid w:val="003A27A0"/>
    <w:rsid w:val="003C6571"/>
    <w:rsid w:val="003C7FD5"/>
    <w:rsid w:val="003E6783"/>
    <w:rsid w:val="003E6985"/>
    <w:rsid w:val="00407670"/>
    <w:rsid w:val="00424E6B"/>
    <w:rsid w:val="00446843"/>
    <w:rsid w:val="004517CA"/>
    <w:rsid w:val="004857E5"/>
    <w:rsid w:val="00495FDF"/>
    <w:rsid w:val="004B6086"/>
    <w:rsid w:val="004C3BC9"/>
    <w:rsid w:val="004E25D3"/>
    <w:rsid w:val="004E329F"/>
    <w:rsid w:val="004E5755"/>
    <w:rsid w:val="004F52EC"/>
    <w:rsid w:val="005240F7"/>
    <w:rsid w:val="005376B4"/>
    <w:rsid w:val="005726CE"/>
    <w:rsid w:val="0057739F"/>
    <w:rsid w:val="00586F67"/>
    <w:rsid w:val="00633399"/>
    <w:rsid w:val="00633853"/>
    <w:rsid w:val="00635AF3"/>
    <w:rsid w:val="006514C6"/>
    <w:rsid w:val="00681DBD"/>
    <w:rsid w:val="006A16C4"/>
    <w:rsid w:val="006A4CEB"/>
    <w:rsid w:val="006E7C97"/>
    <w:rsid w:val="006F4187"/>
    <w:rsid w:val="00702B26"/>
    <w:rsid w:val="00726616"/>
    <w:rsid w:val="00735D4C"/>
    <w:rsid w:val="007403CC"/>
    <w:rsid w:val="00743D94"/>
    <w:rsid w:val="007A70E8"/>
    <w:rsid w:val="007B55E1"/>
    <w:rsid w:val="007E20EA"/>
    <w:rsid w:val="0080005A"/>
    <w:rsid w:val="008528D7"/>
    <w:rsid w:val="00853AC9"/>
    <w:rsid w:val="00867655"/>
    <w:rsid w:val="00873985"/>
    <w:rsid w:val="00880F19"/>
    <w:rsid w:val="00884A07"/>
    <w:rsid w:val="008B349F"/>
    <w:rsid w:val="008C38D3"/>
    <w:rsid w:val="00924E2B"/>
    <w:rsid w:val="00941C5A"/>
    <w:rsid w:val="009930AC"/>
    <w:rsid w:val="009A1859"/>
    <w:rsid w:val="009C2DF6"/>
    <w:rsid w:val="009C4603"/>
    <w:rsid w:val="009C66B7"/>
    <w:rsid w:val="009D5A43"/>
    <w:rsid w:val="009F7B94"/>
    <w:rsid w:val="00A12114"/>
    <w:rsid w:val="00A210A4"/>
    <w:rsid w:val="00A52A9B"/>
    <w:rsid w:val="00A76C03"/>
    <w:rsid w:val="00A82E97"/>
    <w:rsid w:val="00A90FAF"/>
    <w:rsid w:val="00AA1966"/>
    <w:rsid w:val="00AA666A"/>
    <w:rsid w:val="00AB2BC9"/>
    <w:rsid w:val="00AB7D15"/>
    <w:rsid w:val="00AD40E0"/>
    <w:rsid w:val="00B015CD"/>
    <w:rsid w:val="00B15EAF"/>
    <w:rsid w:val="00B2166D"/>
    <w:rsid w:val="00B2719A"/>
    <w:rsid w:val="00B42D6A"/>
    <w:rsid w:val="00B528A5"/>
    <w:rsid w:val="00B6452B"/>
    <w:rsid w:val="00B64890"/>
    <w:rsid w:val="00B65490"/>
    <w:rsid w:val="00B769D9"/>
    <w:rsid w:val="00B81EE8"/>
    <w:rsid w:val="00B86274"/>
    <w:rsid w:val="00B96611"/>
    <w:rsid w:val="00BB70CA"/>
    <w:rsid w:val="00BC2B4B"/>
    <w:rsid w:val="00BC6D8F"/>
    <w:rsid w:val="00BE7680"/>
    <w:rsid w:val="00BF027B"/>
    <w:rsid w:val="00BF68E2"/>
    <w:rsid w:val="00C04194"/>
    <w:rsid w:val="00C2484C"/>
    <w:rsid w:val="00C45D2F"/>
    <w:rsid w:val="00C47EF3"/>
    <w:rsid w:val="00C6013F"/>
    <w:rsid w:val="00C71560"/>
    <w:rsid w:val="00CC1EF3"/>
    <w:rsid w:val="00CC75BB"/>
    <w:rsid w:val="00CD2578"/>
    <w:rsid w:val="00CE7C99"/>
    <w:rsid w:val="00D007B8"/>
    <w:rsid w:val="00D03581"/>
    <w:rsid w:val="00D12487"/>
    <w:rsid w:val="00D67C23"/>
    <w:rsid w:val="00DA5C1F"/>
    <w:rsid w:val="00DC7B53"/>
    <w:rsid w:val="00DD168D"/>
    <w:rsid w:val="00DE56A4"/>
    <w:rsid w:val="00E1394E"/>
    <w:rsid w:val="00E33460"/>
    <w:rsid w:val="00E5663C"/>
    <w:rsid w:val="00E754ED"/>
    <w:rsid w:val="00ED080C"/>
    <w:rsid w:val="00ED21C0"/>
    <w:rsid w:val="00EF1EED"/>
    <w:rsid w:val="00F1683B"/>
    <w:rsid w:val="00F64DE1"/>
    <w:rsid w:val="00FA202F"/>
    <w:rsid w:val="00FA65D5"/>
    <w:rsid w:val="00FA7F2F"/>
    <w:rsid w:val="21B40F36"/>
    <w:rsid w:val="3CA63E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8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ind w:firstLine="200" w:firstLineChars="200"/>
      <w:jc w:val="left"/>
    </w:pPr>
    <w:rPr>
      <w:rFonts w:ascii="宋体" w:hAnsi="宋体" w:eastAsia="微软雅黑" w:cs="宋体"/>
      <w:kern w:val="0"/>
      <w:sz w:val="24"/>
      <w:szCs w:val="24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Grid Accent 1"/>
    <w:basedOn w:val="13"/>
    <w:qFormat/>
    <w:uiPriority w:val="62"/>
    <w:rPr>
      <w:rFonts w:ascii="Times New Roman" w:hAnsi="Times New Roman" w:eastAsia="宋体" w:cs="Times New Roman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16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批注框文本 Char"/>
    <w:basedOn w:val="10"/>
    <w:link w:val="4"/>
    <w:semiHidden/>
    <w:qFormat/>
    <w:uiPriority w:val="99"/>
    <w:rPr>
      <w:sz w:val="18"/>
      <w:szCs w:val="18"/>
    </w:rPr>
  </w:style>
  <w:style w:type="paragraph" w:customStyle="1" w:styleId="20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1">
    <w:name w:val="正文2"/>
    <w:basedOn w:val="1"/>
    <w:link w:val="22"/>
    <w:qFormat/>
    <w:uiPriority w:val="0"/>
    <w:pPr>
      <w:jc w:val="left"/>
    </w:pPr>
    <w:rPr>
      <w:rFonts w:ascii="Times New Roman" w:hAnsi="Times New Roman" w:eastAsia="微软雅黑" w:cs="Times New Roman"/>
      <w:sz w:val="24"/>
      <w:szCs w:val="24"/>
    </w:rPr>
  </w:style>
  <w:style w:type="character" w:customStyle="1" w:styleId="22">
    <w:name w:val="正文2 Char"/>
    <w:basedOn w:val="10"/>
    <w:link w:val="21"/>
    <w:qFormat/>
    <w:uiPriority w:val="0"/>
    <w:rPr>
      <w:rFonts w:ascii="Times New Roman" w:hAnsi="Times New Roman" w:eastAsia="微软雅黑" w:cs="Times New Roman"/>
      <w:sz w:val="24"/>
      <w:szCs w:val="24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4">
    <w:name w:val="GTA正文-1"/>
    <w:basedOn w:val="1"/>
    <w:link w:val="25"/>
    <w:qFormat/>
    <w:uiPriority w:val="0"/>
    <w:pPr>
      <w:spacing w:beforeLines="50" w:afterLines="50"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5">
    <w:name w:val="GTA正文-1 Char"/>
    <w:basedOn w:val="10"/>
    <w:link w:val="2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10"/>
    <w:link w:val="26"/>
    <w:qFormat/>
    <w:uiPriority w:val="1"/>
    <w:rPr>
      <w:kern w:val="0"/>
      <w:sz w:val="22"/>
    </w:rPr>
  </w:style>
  <w:style w:type="paragraph" w:customStyle="1" w:styleId="2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0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1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0DB40-FC84-4830-80E0-289BC81BBB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GTA</Company>
  <Pages>6</Pages>
  <Words>361</Words>
  <Characters>2059</Characters>
  <Lines>17</Lines>
  <Paragraphs>4</Paragraphs>
  <ScaleCrop>false</ScaleCrop>
  <LinksUpToDate>false</LinksUpToDate>
  <CharactersWithSpaces>2416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2016-11-15T08:16:00Z</dcterms:created>
  <dc:creator>gta</dc:creator>
  <cp:lastModifiedBy>youcheng.chen</cp:lastModifiedBy>
  <dcterms:modified xsi:type="dcterms:W3CDTF">2016-12-19T10:19:26Z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