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eastAsia" w:ascii="微软雅黑" w:hAnsi="微软雅黑" w:eastAsia="微软雅黑"/>
          <w:b/>
          <w:sz w:val="32"/>
          <w:szCs w:val="21"/>
          <w:highlight w:val="none"/>
        </w:rPr>
      </w:pPr>
      <w:r>
        <w:rPr>
          <w:rFonts w:hint="eastAsia" w:ascii="微软雅黑" w:hAnsi="微软雅黑" w:eastAsia="微软雅黑"/>
          <w:b/>
          <w:sz w:val="32"/>
          <w:szCs w:val="21"/>
          <w:highlight w:val="none"/>
        </w:rPr>
        <w:t>GTA产品定价策略&amp;指导原则</w:t>
      </w:r>
    </w:p>
    <w:p>
      <w:pPr>
        <w:spacing w:line="400" w:lineRule="exact"/>
        <w:jc w:val="center"/>
        <w:rPr>
          <w:rFonts w:hint="eastAsia" w:ascii="微软雅黑" w:hAnsi="微软雅黑" w:eastAsia="微软雅黑"/>
          <w:b/>
          <w:sz w:val="32"/>
          <w:szCs w:val="21"/>
          <w:highlight w:val="none"/>
        </w:rPr>
      </w:pPr>
      <w:bookmarkStart w:id="0" w:name="_GoBack"/>
      <w:bookmarkEnd w:id="0"/>
    </w:p>
    <w:p>
      <w:pPr>
        <w:pStyle w:val="8"/>
        <w:numPr>
          <w:numId w:val="0"/>
        </w:numPr>
        <w:spacing w:line="400" w:lineRule="exact"/>
        <w:ind w:leftChars="0"/>
        <w:outlineLvl w:val="0"/>
        <w:rPr>
          <w:rFonts w:ascii="微软雅黑" w:hAnsi="微软雅黑" w:eastAsia="微软雅黑"/>
          <w:b/>
          <w:sz w:val="24"/>
          <w:szCs w:val="21"/>
          <w:highlight w:val="none"/>
        </w:rPr>
      </w:pPr>
      <w:r>
        <w:rPr>
          <w:rFonts w:hint="eastAsia" w:ascii="微软雅黑" w:hAnsi="微软雅黑" w:eastAsia="微软雅黑"/>
          <w:b/>
          <w:sz w:val="24"/>
          <w:szCs w:val="21"/>
          <w:highlight w:val="none"/>
          <w:lang w:eastAsia="zh-CN"/>
        </w:rPr>
        <w:t>一、</w:t>
      </w:r>
      <w:r>
        <w:rPr>
          <w:rFonts w:hint="eastAsia" w:ascii="微软雅黑" w:hAnsi="微软雅黑" w:eastAsia="微软雅黑"/>
          <w:b/>
          <w:sz w:val="24"/>
          <w:szCs w:val="21"/>
          <w:highlight w:val="none"/>
        </w:rPr>
        <w:t>定价策略</w:t>
      </w:r>
    </w:p>
    <w:p>
      <w:pPr>
        <w:spacing w:line="400" w:lineRule="exact"/>
        <w:rPr>
          <w:rFonts w:ascii="微软雅黑" w:hAnsi="微软雅黑" w:eastAsia="微软雅黑"/>
          <w:szCs w:val="21"/>
          <w:highlight w:val="none"/>
        </w:rPr>
      </w:pPr>
    </w:p>
    <w:p>
      <w:pPr>
        <w:numPr>
          <w:ilvl w:val="0"/>
          <w:numId w:val="1"/>
        </w:numPr>
        <w:spacing w:line="400" w:lineRule="exact"/>
        <w:rPr>
          <w:rFonts w:ascii="微软雅黑" w:hAnsi="微软雅黑" w:eastAsia="微软雅黑" w:cs="宋体"/>
          <w:bCs/>
          <w:color w:val="000000"/>
          <w:kern w:val="0"/>
          <w:szCs w:val="21"/>
          <w:highlight w:val="none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highlight w:val="none"/>
        </w:rPr>
        <w:t>产品定价总体目标：</w:t>
      </w:r>
      <w:r>
        <w:rPr>
          <w:rFonts w:hint="eastAsia" w:ascii="微软雅黑" w:hAnsi="微软雅黑" w:eastAsia="微软雅黑" w:cs="宋体"/>
          <w:bCs/>
          <w:color w:val="000000"/>
          <w:kern w:val="0"/>
          <w:szCs w:val="21"/>
          <w:highlight w:val="none"/>
        </w:rPr>
        <w:t>综合考虑产品、市场、竞争对手等因素，在保证卖得出去的前提下，追求利润最大化</w:t>
      </w:r>
    </w:p>
    <w:p>
      <w:pPr>
        <w:numPr>
          <w:ilvl w:val="0"/>
          <w:numId w:val="1"/>
        </w:numPr>
        <w:spacing w:line="400" w:lineRule="exact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highlight w:val="none"/>
        </w:rPr>
        <w:t>产品定价可参考以下三种基本策略：</w:t>
      </w:r>
    </w:p>
    <w:tbl>
      <w:tblPr>
        <w:tblStyle w:val="6"/>
        <w:tblW w:w="14467" w:type="dxa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1951"/>
        <w:gridCol w:w="6653"/>
        <w:gridCol w:w="2980"/>
        <w:gridCol w:w="2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  <w:t>编号</w:t>
            </w:r>
          </w:p>
        </w:tc>
        <w:tc>
          <w:tcPr>
            <w:tcW w:w="1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  <w:t>策略</w:t>
            </w:r>
          </w:p>
        </w:tc>
        <w:tc>
          <w:tcPr>
            <w:tcW w:w="6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  <w:t>解释说明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1</w:t>
            </w:r>
          </w:p>
        </w:tc>
        <w:tc>
          <w:tcPr>
            <w:tcW w:w="1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利润最大化</w:t>
            </w:r>
          </w:p>
        </w:tc>
        <w:tc>
          <w:tcPr>
            <w:tcW w:w="6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产品总成本加上适合的利润，作为产品定价，即产品定价=产品总成本/（1-预期毛利率）。产品总成本包含开发成本、人工成本、推广成本、物料成本、实施成本等，按此策略定价时务必考虑成本回收期。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2</w:t>
            </w:r>
          </w:p>
        </w:tc>
        <w:tc>
          <w:tcPr>
            <w:tcW w:w="1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参照竞争对手</w:t>
            </w:r>
          </w:p>
        </w:tc>
        <w:tc>
          <w:tcPr>
            <w:tcW w:w="6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对比我司产品与市场同类产品的优劣势，参考竞争对手的定价，调整我司产品的定价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3</w:t>
            </w:r>
          </w:p>
        </w:tc>
        <w:tc>
          <w:tcPr>
            <w:tcW w:w="1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价值定价</w:t>
            </w:r>
          </w:p>
        </w:tc>
        <w:tc>
          <w:tcPr>
            <w:tcW w:w="6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产品或服务的价格与成本无关，具有排他性，即市场上尚没有同类产品，可以按照带给用户的利益和价值计算，如虚拟现实实训软件、顾问服务（如申报书）等，定价可以几倍甚至十倍于产品成本。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</w:p>
        </w:tc>
      </w:tr>
    </w:tbl>
    <w:p>
      <w:pPr>
        <w:spacing w:line="400" w:lineRule="exact"/>
        <w:rPr>
          <w:rFonts w:ascii="微软雅黑" w:hAnsi="微软雅黑" w:eastAsia="微软雅黑"/>
          <w:szCs w:val="21"/>
          <w:highlight w:val="none"/>
        </w:rPr>
      </w:pPr>
    </w:p>
    <w:p>
      <w:pPr>
        <w:pStyle w:val="8"/>
        <w:numPr>
          <w:numId w:val="0"/>
        </w:numPr>
        <w:spacing w:line="400" w:lineRule="exact"/>
        <w:ind w:leftChars="0"/>
        <w:outlineLvl w:val="0"/>
        <w:rPr>
          <w:rFonts w:ascii="微软雅黑" w:hAnsi="微软雅黑" w:eastAsia="微软雅黑"/>
          <w:b/>
          <w:bCs w:val="0"/>
          <w:szCs w:val="21"/>
          <w:highlight w:val="none"/>
        </w:rPr>
      </w:pPr>
      <w:r>
        <w:rPr>
          <w:rFonts w:hint="eastAsia" w:ascii="微软雅黑" w:hAnsi="微软雅黑" w:eastAsia="微软雅黑"/>
          <w:b/>
          <w:bCs w:val="0"/>
          <w:sz w:val="24"/>
          <w:szCs w:val="21"/>
          <w:highlight w:val="none"/>
          <w:lang w:eastAsia="zh-CN"/>
        </w:rPr>
        <w:t>二、</w:t>
      </w:r>
      <w:r>
        <w:rPr>
          <w:rFonts w:hint="eastAsia" w:ascii="微软雅黑" w:hAnsi="微软雅黑" w:eastAsia="微软雅黑"/>
          <w:b/>
          <w:bCs w:val="0"/>
          <w:sz w:val="24"/>
          <w:szCs w:val="21"/>
          <w:highlight w:val="none"/>
        </w:rPr>
        <w:t>指导原则</w:t>
      </w:r>
    </w:p>
    <w:p>
      <w:pPr>
        <w:spacing w:line="400" w:lineRule="exact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对于自研产品和代理产品，因具体情况不同，参考上述三种定价策略，分别给予不同的定价指导原则，如下所示（供参考）：</w:t>
      </w:r>
    </w:p>
    <w:p>
      <w:pPr>
        <w:spacing w:line="400" w:lineRule="exact"/>
        <w:rPr>
          <w:rFonts w:ascii="微软雅黑" w:hAnsi="微软雅黑" w:eastAsia="微软雅黑"/>
          <w:szCs w:val="21"/>
          <w:highlight w:val="none"/>
        </w:rPr>
      </w:pPr>
    </w:p>
    <w:p>
      <w:pPr>
        <w:pStyle w:val="14"/>
        <w:numPr>
          <w:ilvl w:val="0"/>
          <w:numId w:val="2"/>
        </w:numPr>
        <w:spacing w:line="400" w:lineRule="exact"/>
        <w:ind w:firstLineChars="0"/>
        <w:outlineLvl w:val="1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代理产品</w:t>
      </w:r>
    </w:p>
    <w:tbl>
      <w:tblPr>
        <w:tblStyle w:val="6"/>
        <w:tblW w:w="9379" w:type="dxa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457"/>
        <w:gridCol w:w="2260"/>
        <w:gridCol w:w="1748"/>
        <w:gridCol w:w="31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2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  <w:t>情况说明</w:t>
            </w:r>
          </w:p>
        </w:tc>
        <w:tc>
          <w:tcPr>
            <w:tcW w:w="2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  <w:t>建议定价策略</w:t>
            </w:r>
          </w:p>
        </w:tc>
        <w:tc>
          <w:tcPr>
            <w:tcW w:w="17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  <w:t>强相关定价因素</w:t>
            </w:r>
          </w:p>
        </w:tc>
        <w:tc>
          <w:tcPr>
            <w:tcW w:w="3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21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市场价透明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（例如传统硬件电脑）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裹住成本，按照市场价，不加利润</w:t>
            </w:r>
          </w:p>
        </w:tc>
        <w:tc>
          <w:tcPr>
            <w:tcW w:w="1748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　</w:t>
            </w:r>
          </w:p>
        </w:tc>
        <w:tc>
          <w:tcPr>
            <w:tcW w:w="3156" w:type="dxa"/>
            <w:vMerge w:val="restart"/>
            <w:tcBorders>
              <w:top w:val="nil"/>
              <w:left w:val="nil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3"/>
              </w:num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代理核心在于压供应商价格和账期两个方面</w:t>
            </w:r>
          </w:p>
          <w:p>
            <w:pPr>
              <w:widowControl/>
              <w:numPr>
                <w:ilvl w:val="0"/>
                <w:numId w:val="4"/>
              </w:num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强势供应商：能否拿到在教育这一细分市场特别价</w:t>
            </w:r>
          </w:p>
          <w:p>
            <w:pPr>
              <w:widowControl/>
              <w:numPr>
                <w:ilvl w:val="0"/>
                <w:numId w:val="4"/>
              </w:num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弱势供应商：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除去实施成本，建议拿到至少50%毛利</w:t>
            </w:r>
          </w:p>
          <w:p>
            <w:pPr>
              <w:widowControl/>
              <w:spacing w:line="400" w:lineRule="exact"/>
              <w:rPr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2、注意谈判策略和技巧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5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市场价不透明</w:t>
            </w:r>
          </w:p>
        </w:tc>
        <w:tc>
          <w:tcPr>
            <w:tcW w:w="14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供应商有市场控价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按供应商价格处理</w:t>
            </w:r>
          </w:p>
        </w:tc>
        <w:tc>
          <w:tcPr>
            <w:tcW w:w="1748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3156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5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1457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供应商无市场控价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利润最大化（与供应商核实价格，参考供应商最高与最低成交价）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代理成本，推广成本，实施成本</w:t>
            </w:r>
          </w:p>
        </w:tc>
        <w:tc>
          <w:tcPr>
            <w:tcW w:w="3156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</w:p>
        </w:tc>
      </w:tr>
    </w:tbl>
    <w:p>
      <w:pPr>
        <w:spacing w:line="400" w:lineRule="exact"/>
        <w:rPr>
          <w:rFonts w:ascii="微软雅黑" w:hAnsi="微软雅黑" w:eastAsia="微软雅黑" w:cs="宋体"/>
          <w:color w:val="000000"/>
          <w:kern w:val="0"/>
          <w:szCs w:val="21"/>
          <w:highlight w:val="none"/>
        </w:rPr>
      </w:pPr>
    </w:p>
    <w:p>
      <w:pPr>
        <w:spacing w:line="400" w:lineRule="exact"/>
        <w:ind w:firstLine="420" w:firstLineChars="200"/>
        <w:rPr>
          <w:rFonts w:ascii="微软雅黑" w:hAnsi="微软雅黑" w:eastAsia="微软雅黑" w:cs="宋体"/>
          <w:color w:val="000000"/>
          <w:kern w:val="0"/>
          <w:szCs w:val="21"/>
          <w:highlight w:val="none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highlight w:val="none"/>
        </w:rPr>
        <w:t>对于供应商无市场控价的代理产品定价，定价前需要与供应商进行充分的沟通，获悉供应商对于该产品的定价、对外报价、平均市场成交价，对于代理产品定价有较大的帮助。</w:t>
      </w:r>
    </w:p>
    <w:p>
      <w:pPr>
        <w:spacing w:line="400" w:lineRule="exact"/>
        <w:rPr>
          <w:rFonts w:ascii="微软雅黑" w:hAnsi="微软雅黑" w:eastAsia="微软雅黑" w:cs="宋体"/>
          <w:color w:val="000000"/>
          <w:kern w:val="0"/>
          <w:szCs w:val="21"/>
          <w:highlight w:val="none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highlight w:val="none"/>
          <w:u w:val="single"/>
        </w:rPr>
        <w:t>建议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highlight w:val="none"/>
        </w:rPr>
        <w:t>：</w:t>
      </w:r>
    </w:p>
    <w:p>
      <w:pPr>
        <w:spacing w:line="400" w:lineRule="exact"/>
        <w:rPr>
          <w:rFonts w:ascii="微软雅黑" w:hAnsi="微软雅黑" w:eastAsia="微软雅黑" w:cs="宋体"/>
          <w:color w:val="000000"/>
          <w:kern w:val="0"/>
          <w:szCs w:val="21"/>
          <w:highlight w:val="none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highlight w:val="none"/>
        </w:rPr>
        <w:t>1、代理价应为定价的20%~30%</w:t>
      </w:r>
    </w:p>
    <w:p>
      <w:pPr>
        <w:spacing w:line="400" w:lineRule="exact"/>
        <w:rPr>
          <w:rFonts w:ascii="微软雅黑" w:hAnsi="微软雅黑" w:eastAsia="微软雅黑" w:cs="宋体"/>
          <w:color w:val="000000"/>
          <w:kern w:val="0"/>
          <w:szCs w:val="21"/>
          <w:highlight w:val="none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highlight w:val="none"/>
        </w:rPr>
        <w:t>2、平均市场成交价是定价的40%~50%，其中代理硬件平均市场成交价是定价的50%~70%。（针对现有供应商代理产品可采用此方式）</w:t>
      </w:r>
    </w:p>
    <w:p>
      <w:pPr>
        <w:spacing w:line="400" w:lineRule="exact"/>
        <w:rPr>
          <w:rFonts w:ascii="微软雅黑" w:hAnsi="微软雅黑" w:eastAsia="微软雅黑" w:cs="宋体"/>
          <w:color w:val="000000"/>
          <w:kern w:val="0"/>
          <w:szCs w:val="21"/>
          <w:highlight w:val="none"/>
        </w:rPr>
      </w:pPr>
    </w:p>
    <w:p>
      <w:pPr>
        <w:spacing w:line="400" w:lineRule="exact"/>
        <w:rPr>
          <w:rFonts w:ascii="微软雅黑" w:hAnsi="微软雅黑" w:eastAsia="微软雅黑" w:cs="宋体"/>
          <w:color w:val="000000"/>
          <w:kern w:val="0"/>
          <w:szCs w:val="21"/>
          <w:highlight w:val="none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highlight w:val="none"/>
        </w:rPr>
        <w:t>以XX代理产品为例：</w:t>
      </w:r>
      <w:r>
        <w:rPr>
          <w:rFonts w:ascii="微软雅黑" w:hAnsi="微软雅黑" w:eastAsia="微软雅黑" w:cs="宋体"/>
          <w:color w:val="000000"/>
          <w:kern w:val="0"/>
          <w:szCs w:val="21"/>
          <w:highlight w:val="none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价格类型</w:t>
            </w:r>
          </w:p>
        </w:tc>
        <w:tc>
          <w:tcPr>
            <w:tcW w:w="1276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价格</w:t>
            </w:r>
          </w:p>
        </w:tc>
        <w:tc>
          <w:tcPr>
            <w:tcW w:w="5295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供应商定价</w:t>
            </w:r>
          </w:p>
        </w:tc>
        <w:tc>
          <w:tcPr>
            <w:tcW w:w="1276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10万</w:t>
            </w:r>
          </w:p>
        </w:tc>
        <w:tc>
          <w:tcPr>
            <w:tcW w:w="5295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供应商对于该产品的定价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供应商对外报价</w:t>
            </w:r>
          </w:p>
        </w:tc>
        <w:tc>
          <w:tcPr>
            <w:tcW w:w="1276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8万</w:t>
            </w:r>
          </w:p>
        </w:tc>
        <w:tc>
          <w:tcPr>
            <w:tcW w:w="5295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供应商对于该产品对市场/客户的对外报价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供应商成交价</w:t>
            </w:r>
          </w:p>
        </w:tc>
        <w:tc>
          <w:tcPr>
            <w:tcW w:w="1276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4~8万</w:t>
            </w:r>
          </w:p>
        </w:tc>
        <w:tc>
          <w:tcPr>
            <w:tcW w:w="5295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供应商对于该产品实际的市场成交价范围，最高成交价，最低成交价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供应商对外代理价</w:t>
            </w:r>
          </w:p>
        </w:tc>
        <w:tc>
          <w:tcPr>
            <w:tcW w:w="1276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5万</w:t>
            </w:r>
          </w:p>
        </w:tc>
        <w:tc>
          <w:tcPr>
            <w:tcW w:w="5295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供应商对于该产品给其他公司的代理价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GTA代理价</w:t>
            </w:r>
          </w:p>
        </w:tc>
        <w:tc>
          <w:tcPr>
            <w:tcW w:w="1276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3万</w:t>
            </w:r>
          </w:p>
        </w:tc>
        <w:tc>
          <w:tcPr>
            <w:tcW w:w="5295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  <w:highlight w:val="none"/>
              </w:rPr>
              <w:t>建议：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是供应商对外代理价的60%或更低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GTA定价</w:t>
            </w:r>
          </w:p>
        </w:tc>
        <w:tc>
          <w:tcPr>
            <w:tcW w:w="1276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10万</w:t>
            </w:r>
          </w:p>
        </w:tc>
        <w:tc>
          <w:tcPr>
            <w:tcW w:w="5295" w:type="dxa"/>
          </w:tcPr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  <w:highlight w:val="none"/>
              </w:rPr>
              <w:t>建议：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代理价是定价的20%~30%；或供应商历史最高成交价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  <w:lang w:val="en-US" w:eastAsia="zh-CN"/>
              </w:rPr>
              <w:t>上浮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20%~30%</w:t>
            </w:r>
          </w:p>
        </w:tc>
      </w:tr>
    </w:tbl>
    <w:p>
      <w:pPr>
        <w:spacing w:line="400" w:lineRule="exact"/>
        <w:rPr>
          <w:rFonts w:ascii="微软雅黑" w:hAnsi="微软雅黑" w:eastAsia="微软雅黑" w:cs="宋体"/>
          <w:color w:val="000000"/>
          <w:kern w:val="0"/>
          <w:szCs w:val="21"/>
          <w:highlight w:val="none"/>
        </w:rPr>
      </w:pPr>
    </w:p>
    <w:p>
      <w:pPr>
        <w:pStyle w:val="14"/>
        <w:numPr>
          <w:ilvl w:val="0"/>
          <w:numId w:val="2"/>
        </w:numPr>
        <w:spacing w:line="400" w:lineRule="exact"/>
        <w:ind w:firstLineChars="0"/>
        <w:outlineLvl w:val="1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自研产品-软件</w:t>
      </w:r>
    </w:p>
    <w:tbl>
      <w:tblPr>
        <w:tblStyle w:val="6"/>
        <w:tblW w:w="9707" w:type="dxa"/>
        <w:jc w:val="center"/>
        <w:tblInd w:w="5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851"/>
        <w:gridCol w:w="1998"/>
        <w:gridCol w:w="2785"/>
        <w:gridCol w:w="29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  <w:t>产品形态</w:t>
            </w:r>
          </w:p>
        </w:tc>
        <w:tc>
          <w:tcPr>
            <w:tcW w:w="28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  <w:t>情况说明</w:t>
            </w:r>
          </w:p>
        </w:tc>
        <w:tc>
          <w:tcPr>
            <w:tcW w:w="27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  <w:t>建议定价策略</w:t>
            </w:r>
          </w:p>
        </w:tc>
        <w:tc>
          <w:tcPr>
            <w:tcW w:w="2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highlight w:val="none"/>
              </w:rPr>
              <w:t>强相关定价因素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1109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自研</w:t>
            </w:r>
          </w:p>
        </w:tc>
        <w:tc>
          <w:tcPr>
            <w:tcW w:w="284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定制</w:t>
            </w:r>
          </w:p>
        </w:tc>
        <w:tc>
          <w:tcPr>
            <w:tcW w:w="2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利润最大化</w:t>
            </w:r>
          </w:p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（人力成本参考外包公司人力成本价核算，包括设计人员成本、研发人员成本等）</w:t>
            </w:r>
          </w:p>
        </w:tc>
        <w:tc>
          <w:tcPr>
            <w:tcW w:w="2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开发成本，推广成本，实施成本，竞品价格（市场价，成交价），客户可接受的价格区间，已签约项目数量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  <w:jc w:val="center"/>
        </w:trPr>
        <w:tc>
          <w:tcPr>
            <w:tcW w:w="11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非定制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技术或功能领先市场，对手暂时无法提供（如VR实训软件）</w:t>
            </w:r>
          </w:p>
        </w:tc>
        <w:tc>
          <w:tcPr>
            <w:tcW w:w="2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价值定价</w:t>
            </w:r>
          </w:p>
        </w:tc>
        <w:tc>
          <w:tcPr>
            <w:tcW w:w="2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开发成本，推广成本，实施成本，客户需求急迫度，客户可接受的价格区间，尽量提高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  <w:jc w:val="center"/>
        </w:trPr>
        <w:tc>
          <w:tcPr>
            <w:tcW w:w="11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8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市场有同类，或同功能产品</w:t>
            </w:r>
          </w:p>
        </w:tc>
        <w:tc>
          <w:tcPr>
            <w:tcW w:w="27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参照竞争对手</w:t>
            </w:r>
          </w:p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（根据竞争对手产品的市场定位不同，制订不同价格）</w:t>
            </w:r>
          </w:p>
        </w:tc>
        <w:tc>
          <w:tcPr>
            <w:tcW w:w="2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highlight w:val="none"/>
              </w:rPr>
              <w:t>开发成本，推广成本，实施成本，竞品价格（市场价，成交价），预期利润率，成本回收周期（非硬件），3年内GTA预计市场比重</w:t>
            </w:r>
          </w:p>
        </w:tc>
      </w:tr>
    </w:tbl>
    <w:p>
      <w:pPr>
        <w:spacing w:line="400" w:lineRule="exact"/>
        <w:ind w:firstLine="420" w:firstLineChars="200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自研软件产品定价要综合考虑以下几个方面：</w:t>
      </w:r>
    </w:p>
    <w:p>
      <w:pPr>
        <w:pStyle w:val="14"/>
        <w:numPr>
          <w:ilvl w:val="1"/>
          <w:numId w:val="5"/>
        </w:numPr>
        <w:spacing w:line="400" w:lineRule="exact"/>
        <w:ind w:firstLineChars="0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产品总成本（研发、安装部署、人力、插件、实施运维等成本）</w:t>
      </w:r>
    </w:p>
    <w:p>
      <w:pPr>
        <w:pStyle w:val="14"/>
        <w:numPr>
          <w:ilvl w:val="1"/>
          <w:numId w:val="5"/>
        </w:numPr>
        <w:spacing w:line="400" w:lineRule="exact"/>
        <w:ind w:firstLineChars="0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软件本身的价值（是否抓住客户痛点？全部/部分解决客户痛点？解决后给客户带来的价值收获是什么？）</w:t>
      </w:r>
    </w:p>
    <w:p>
      <w:pPr>
        <w:pStyle w:val="14"/>
        <w:numPr>
          <w:ilvl w:val="1"/>
          <w:numId w:val="5"/>
        </w:numPr>
        <w:spacing w:line="400" w:lineRule="exact"/>
        <w:ind w:firstLineChars="0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同类产品市场价格（竞品公司价格）</w:t>
      </w:r>
    </w:p>
    <w:p>
      <w:pPr>
        <w:pStyle w:val="14"/>
        <w:numPr>
          <w:ilvl w:val="1"/>
          <w:numId w:val="5"/>
        </w:numPr>
        <w:spacing w:line="400" w:lineRule="exact"/>
        <w:ind w:firstLineChars="0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产品的稀缺性和市场容量</w:t>
      </w:r>
    </w:p>
    <w:p>
      <w:pPr>
        <w:spacing w:line="400" w:lineRule="exact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以xx自研软件产品举例：</w:t>
      </w:r>
    </w:p>
    <w:p>
      <w:pPr>
        <w:spacing w:line="400" w:lineRule="exact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 xml:space="preserve">    该产品市场上有同类产品，同类产品市场定价100万，报价80万，平均成交价40~50万，我司产品较市场同类产品功能性更好，历史平均成交价50~60万，则定价120万或更高。报价可根据客户资金预算不同给予不同的折扣。</w:t>
      </w:r>
    </w:p>
    <w:p>
      <w:pPr>
        <w:spacing w:line="400" w:lineRule="exact"/>
        <w:rPr>
          <w:rFonts w:ascii="微软雅黑" w:hAnsi="微软雅黑" w:eastAsia="微软雅黑"/>
          <w:szCs w:val="21"/>
          <w:highlight w:val="none"/>
        </w:rPr>
      </w:pPr>
    </w:p>
    <w:p>
      <w:pPr>
        <w:pStyle w:val="14"/>
        <w:numPr>
          <w:ilvl w:val="0"/>
          <w:numId w:val="2"/>
        </w:numPr>
        <w:spacing w:line="400" w:lineRule="exact"/>
        <w:ind w:firstLineChars="0"/>
        <w:outlineLvl w:val="1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自研产品-硬件</w:t>
      </w:r>
    </w:p>
    <w:p>
      <w:pPr>
        <w:spacing w:line="400" w:lineRule="exact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定价策略：利润最大化，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highlight w:val="none"/>
        </w:rPr>
        <w:t>产品定价=产品总成本/（1-预期毛利率）</w:t>
      </w:r>
      <w:r>
        <w:rPr>
          <w:rFonts w:hint="eastAsia" w:ascii="微软雅黑" w:hAnsi="微软雅黑" w:eastAsia="微软雅黑"/>
          <w:szCs w:val="21"/>
          <w:highlight w:val="none"/>
        </w:rPr>
        <w:t>。成本包括工、料、费等所有成本</w:t>
      </w:r>
    </w:p>
    <w:p>
      <w:pPr>
        <w:spacing w:line="400" w:lineRule="exact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举例：</w:t>
      </w:r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290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价格类型</w:t>
            </w:r>
          </w:p>
        </w:tc>
        <w:tc>
          <w:tcPr>
            <w:tcW w:w="1290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价格</w:t>
            </w:r>
          </w:p>
        </w:tc>
        <w:tc>
          <w:tcPr>
            <w:tcW w:w="5245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成本</w:t>
            </w:r>
          </w:p>
        </w:tc>
        <w:tc>
          <w:tcPr>
            <w:tcW w:w="1290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10万</w:t>
            </w:r>
          </w:p>
        </w:tc>
        <w:tc>
          <w:tcPr>
            <w:tcW w:w="5245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包括材料费、管理费、折旧费、实施人工成本、税费等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对内报价（内部定价）</w:t>
            </w:r>
          </w:p>
        </w:tc>
        <w:tc>
          <w:tcPr>
            <w:tcW w:w="1290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15-17万</w:t>
            </w:r>
          </w:p>
        </w:tc>
        <w:tc>
          <w:tcPr>
            <w:tcW w:w="5245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教育装备研发中心确保30%-40%的毛利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对外报价（外部定价）</w:t>
            </w:r>
          </w:p>
        </w:tc>
        <w:tc>
          <w:tcPr>
            <w:tcW w:w="1290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30-40万</w:t>
            </w:r>
          </w:p>
        </w:tc>
        <w:tc>
          <w:tcPr>
            <w:tcW w:w="5245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事业部或营销体系确保30%~50%利润率</w:t>
            </w:r>
          </w:p>
        </w:tc>
      </w:tr>
    </w:tbl>
    <w:p>
      <w:pPr>
        <w:spacing w:line="400" w:lineRule="exact"/>
        <w:rPr>
          <w:rFonts w:ascii="微软雅黑" w:hAnsi="微软雅黑" w:eastAsia="微软雅黑"/>
          <w:szCs w:val="21"/>
          <w:highlight w:val="none"/>
        </w:rPr>
      </w:pPr>
    </w:p>
    <w:p>
      <w:pPr>
        <w:pStyle w:val="14"/>
        <w:numPr>
          <w:ilvl w:val="0"/>
          <w:numId w:val="2"/>
        </w:numPr>
        <w:spacing w:line="400" w:lineRule="exact"/>
        <w:ind w:firstLineChars="0"/>
        <w:outlineLvl w:val="1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自研产品-资源</w:t>
      </w:r>
    </w:p>
    <w:p>
      <w:pPr>
        <w:spacing w:line="400" w:lineRule="exact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 xml:space="preserve">  对于自研的资源类产品，可分为两大类：</w:t>
      </w:r>
    </w:p>
    <w:p>
      <w:pPr>
        <w:pStyle w:val="14"/>
        <w:numPr>
          <w:ilvl w:val="0"/>
          <w:numId w:val="6"/>
        </w:numPr>
        <w:spacing w:line="400" w:lineRule="exact"/>
        <w:ind w:firstLineChars="0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教学资源类（科技、ppt、教案等常规教学资源，整合为主，稍微加工即可售卖）</w:t>
      </w:r>
    </w:p>
    <w:p>
      <w:pPr>
        <w:pStyle w:val="14"/>
        <w:numPr>
          <w:ilvl w:val="0"/>
          <w:numId w:val="6"/>
        </w:numPr>
        <w:spacing w:line="400" w:lineRule="exact"/>
        <w:ind w:firstLineChars="0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创新型资源类（资源情景化、互动性强、非常符合职业教育特点的资源）</w:t>
      </w:r>
    </w:p>
    <w:p>
      <w:pPr>
        <w:spacing w:line="400" w:lineRule="exact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  <w:u w:val="single"/>
        </w:rPr>
        <w:t>建议</w:t>
      </w:r>
      <w:r>
        <w:rPr>
          <w:rFonts w:hint="eastAsia" w:ascii="微软雅黑" w:hAnsi="微软雅黑" w:eastAsia="微软雅黑"/>
          <w:szCs w:val="21"/>
          <w:highlight w:val="none"/>
        </w:rPr>
        <w:t>：根据资源的难易程度、专业性强度、市场稀缺性等综合考虑定价</w:t>
      </w:r>
    </w:p>
    <w:p>
      <w:pPr>
        <w:spacing w:line="400" w:lineRule="exact"/>
        <w:rPr>
          <w:rFonts w:ascii="微软雅黑" w:hAnsi="微软雅黑" w:eastAsia="微软雅黑"/>
          <w:szCs w:val="21"/>
          <w:highlight w:val="none"/>
        </w:rPr>
      </w:pPr>
      <w:r>
        <w:rPr>
          <w:rFonts w:hint="eastAsia" w:ascii="微软雅黑" w:hAnsi="微软雅黑" w:eastAsia="微软雅黑"/>
          <w:szCs w:val="21"/>
          <w:highlight w:val="none"/>
        </w:rPr>
        <w:t>举例：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定价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10~15万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通识型资源，常规教学需要用到的资源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20~30万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专业性强，市场容量大，潜在购买者多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30~45万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zCs w:val="21"/>
                <w:highlight w:val="none"/>
              </w:rPr>
              <w:t>专业性强，市场容量小，较为稀缺，购买者少</w:t>
            </w:r>
          </w:p>
        </w:tc>
      </w:tr>
    </w:tbl>
    <w:p>
      <w:pPr>
        <w:spacing w:line="400" w:lineRule="exact"/>
        <w:rPr>
          <w:rFonts w:ascii="微软雅黑" w:hAnsi="微软雅黑" w:eastAsia="微软雅黑"/>
          <w:szCs w:val="21"/>
          <w:highlight w:val="none"/>
        </w:rPr>
      </w:pPr>
    </w:p>
    <w:p>
      <w:pPr>
        <w:pStyle w:val="8"/>
        <w:numPr>
          <w:numId w:val="0"/>
        </w:numPr>
        <w:spacing w:line="400" w:lineRule="exact"/>
        <w:ind w:leftChars="0"/>
        <w:outlineLvl w:val="0"/>
        <w:rPr>
          <w:rFonts w:ascii="微软雅黑" w:hAnsi="微软雅黑" w:eastAsia="微软雅黑" w:cs="宋体"/>
          <w:color w:val="000000"/>
          <w:kern w:val="0"/>
          <w:szCs w:val="21"/>
          <w:highlight w:val="none"/>
        </w:rPr>
      </w:pPr>
      <w:r>
        <w:rPr>
          <w:rFonts w:hint="eastAsia" w:ascii="微软雅黑" w:hAnsi="微软雅黑" w:eastAsia="微软雅黑"/>
          <w:b/>
          <w:sz w:val="24"/>
          <w:szCs w:val="21"/>
          <w:highlight w:val="none"/>
          <w:lang w:eastAsia="zh-CN"/>
        </w:rPr>
        <w:t>三、</w:t>
      </w:r>
      <w:r>
        <w:rPr>
          <w:rFonts w:hint="eastAsia" w:ascii="微软雅黑" w:hAnsi="微软雅黑" w:eastAsia="微软雅黑"/>
          <w:b/>
          <w:sz w:val="24"/>
          <w:szCs w:val="21"/>
          <w:highlight w:val="none"/>
        </w:rPr>
        <w:t>定价因素</w:t>
      </w:r>
    </w:p>
    <w:p>
      <w:pPr>
        <w:pStyle w:val="8"/>
        <w:numPr>
          <w:ilvl w:val="0"/>
          <w:numId w:val="7"/>
        </w:numPr>
        <w:spacing w:line="400" w:lineRule="exact"/>
        <w:ind w:firstLineChars="0"/>
        <w:rPr>
          <w:rFonts w:ascii="微软雅黑" w:hAnsi="微软雅黑" w:eastAsia="微软雅黑" w:cs="宋体"/>
          <w:color w:val="000000"/>
          <w:kern w:val="0"/>
          <w:szCs w:val="21"/>
          <w:highlight w:val="none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highlight w:val="none"/>
        </w:rPr>
        <w:t>成本因素：可综合考虑开发成本、预计推广成本、预计实施成本等</w:t>
      </w:r>
    </w:p>
    <w:p>
      <w:pPr>
        <w:pStyle w:val="8"/>
        <w:numPr>
          <w:ilvl w:val="0"/>
          <w:numId w:val="7"/>
        </w:numPr>
        <w:spacing w:line="400" w:lineRule="exact"/>
        <w:ind w:firstLineChars="0"/>
        <w:rPr>
          <w:rFonts w:ascii="微软雅黑" w:hAnsi="微软雅黑" w:eastAsia="微软雅黑" w:cs="宋体"/>
          <w:color w:val="000000"/>
          <w:kern w:val="0"/>
          <w:szCs w:val="21"/>
          <w:highlight w:val="none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highlight w:val="none"/>
        </w:rPr>
        <w:t>市场因素：可综合考虑市场容量、3年内GTA预计市场比重、竞品价格（市场价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highlight w:val="none"/>
          <w:lang w:eastAsia="zh-CN"/>
        </w:rPr>
        <w:t>、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highlight w:val="none"/>
        </w:rPr>
        <w:t>成交价）、成本回收周期（非硬件）、预期利润率、市场需要迫切度等</w:t>
      </w:r>
    </w:p>
    <w:p>
      <w:pPr>
        <w:pStyle w:val="8"/>
        <w:numPr>
          <w:ilvl w:val="0"/>
          <w:numId w:val="7"/>
        </w:numPr>
        <w:spacing w:line="400" w:lineRule="exact"/>
        <w:ind w:firstLineChars="0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highlight w:val="none"/>
        </w:rPr>
        <w:t>项目因素：可综合考虑客户可接受的价格区间、已签约项目数量、意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向项目数量等</w:t>
      </w:r>
    </w:p>
    <w:p>
      <w:pPr>
        <w:pStyle w:val="8"/>
        <w:numPr>
          <w:ilvl w:val="-1"/>
          <w:numId w:val="0"/>
        </w:numPr>
        <w:spacing w:line="400" w:lineRule="exact"/>
        <w:ind w:left="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</w:rPr>
      </w:pPr>
    </w:p>
    <w:p>
      <w:pPr>
        <w:pStyle w:val="8"/>
        <w:numPr>
          <w:ilvl w:val="-1"/>
          <w:numId w:val="0"/>
        </w:numPr>
        <w:spacing w:line="400" w:lineRule="exact"/>
        <w:ind w:left="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</w:rPr>
      </w:pPr>
    </w:p>
    <w:p>
      <w:pPr>
        <w:pStyle w:val="8"/>
        <w:numPr>
          <w:ilvl w:val="-1"/>
          <w:numId w:val="0"/>
        </w:numPr>
        <w:spacing w:line="400" w:lineRule="exact"/>
        <w:ind w:left="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制定：产品管理与定价部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                                  日期：2016年8月8日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  <w:r>
      <w:rPr>
        <w:rFonts w:hint="eastAsia"/>
        <w:lang w:eastAsia="zh-CN"/>
      </w:rPr>
      <w:drawing>
        <wp:inline distT="0" distB="0" distL="114300" distR="114300">
          <wp:extent cx="775335" cy="270510"/>
          <wp:effectExtent l="0" t="0" r="5715" b="15240"/>
          <wp:docPr id="1" name="图片 1" descr="国泰安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国泰安logo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335" cy="27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</w:t>
    </w:r>
    <w:r>
      <w:rPr>
        <w:rFonts w:hint="eastAsia"/>
        <w:lang w:eastAsia="zh-CN"/>
      </w:rPr>
      <w:t>深圳国泰安教育技术股份有限公司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12CD"/>
    <w:multiLevelType w:val="multilevel"/>
    <w:tmpl w:val="04F612C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360" w:hanging="360"/>
      </w:pPr>
      <w:rPr>
        <w:rFonts w:ascii="微软雅黑" w:hAnsi="微软雅黑" w:eastAsia="微软雅黑" w:cstheme="minorBidi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D3685"/>
    <w:multiLevelType w:val="multilevel"/>
    <w:tmpl w:val="0AAD368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2514D9"/>
    <w:multiLevelType w:val="multilevel"/>
    <w:tmpl w:val="222514D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787308A"/>
    <w:multiLevelType w:val="singleLevel"/>
    <w:tmpl w:val="5787308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578732CA"/>
    <w:multiLevelType w:val="singleLevel"/>
    <w:tmpl w:val="578732C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8732EF"/>
    <w:multiLevelType w:val="singleLevel"/>
    <w:tmpl w:val="578732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682933D2"/>
    <w:multiLevelType w:val="multilevel"/>
    <w:tmpl w:val="682933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A0"/>
    <w:rsid w:val="00022403"/>
    <w:rsid w:val="00031364"/>
    <w:rsid w:val="00095A42"/>
    <w:rsid w:val="000A1258"/>
    <w:rsid w:val="000E4DE4"/>
    <w:rsid w:val="000E515C"/>
    <w:rsid w:val="001563FE"/>
    <w:rsid w:val="001E6371"/>
    <w:rsid w:val="00206D3C"/>
    <w:rsid w:val="0024422F"/>
    <w:rsid w:val="00273135"/>
    <w:rsid w:val="002B6392"/>
    <w:rsid w:val="0037652C"/>
    <w:rsid w:val="0039764B"/>
    <w:rsid w:val="00397F2F"/>
    <w:rsid w:val="003A0ADC"/>
    <w:rsid w:val="003C68ED"/>
    <w:rsid w:val="0055089C"/>
    <w:rsid w:val="00575880"/>
    <w:rsid w:val="005B77CF"/>
    <w:rsid w:val="005D3C2B"/>
    <w:rsid w:val="00640F23"/>
    <w:rsid w:val="00672447"/>
    <w:rsid w:val="006E2A4D"/>
    <w:rsid w:val="00751432"/>
    <w:rsid w:val="007533D5"/>
    <w:rsid w:val="007842E2"/>
    <w:rsid w:val="007C7EBB"/>
    <w:rsid w:val="007E5626"/>
    <w:rsid w:val="007F55CA"/>
    <w:rsid w:val="007F5A74"/>
    <w:rsid w:val="00815045"/>
    <w:rsid w:val="008A7C8E"/>
    <w:rsid w:val="008B472A"/>
    <w:rsid w:val="008E7E6D"/>
    <w:rsid w:val="008F3C13"/>
    <w:rsid w:val="00951D7C"/>
    <w:rsid w:val="0097172F"/>
    <w:rsid w:val="009A4245"/>
    <w:rsid w:val="009A541B"/>
    <w:rsid w:val="009D1AE1"/>
    <w:rsid w:val="00A175D3"/>
    <w:rsid w:val="00A22FCD"/>
    <w:rsid w:val="00A47E7F"/>
    <w:rsid w:val="00A537A8"/>
    <w:rsid w:val="00A71DA0"/>
    <w:rsid w:val="00AB77B3"/>
    <w:rsid w:val="00B36DB4"/>
    <w:rsid w:val="00B81AD8"/>
    <w:rsid w:val="00BA7049"/>
    <w:rsid w:val="00BC39E5"/>
    <w:rsid w:val="00C22557"/>
    <w:rsid w:val="00C30772"/>
    <w:rsid w:val="00C51A98"/>
    <w:rsid w:val="00C71186"/>
    <w:rsid w:val="00CA6638"/>
    <w:rsid w:val="00CC7E9E"/>
    <w:rsid w:val="00CD0DFB"/>
    <w:rsid w:val="00D176E9"/>
    <w:rsid w:val="00D23505"/>
    <w:rsid w:val="00D402CD"/>
    <w:rsid w:val="00D5755F"/>
    <w:rsid w:val="00D76BC2"/>
    <w:rsid w:val="00D91C53"/>
    <w:rsid w:val="00DA127E"/>
    <w:rsid w:val="00DA6833"/>
    <w:rsid w:val="00DE09A8"/>
    <w:rsid w:val="00DF0F2C"/>
    <w:rsid w:val="00E51387"/>
    <w:rsid w:val="00EA1F8C"/>
    <w:rsid w:val="00EB0D4E"/>
    <w:rsid w:val="00EE3C32"/>
    <w:rsid w:val="00EE510B"/>
    <w:rsid w:val="00F83129"/>
    <w:rsid w:val="00F87D01"/>
    <w:rsid w:val="01A17D57"/>
    <w:rsid w:val="020449C1"/>
    <w:rsid w:val="021E4A3B"/>
    <w:rsid w:val="03E87AAC"/>
    <w:rsid w:val="043E15D2"/>
    <w:rsid w:val="057659A1"/>
    <w:rsid w:val="05F050EA"/>
    <w:rsid w:val="0702145F"/>
    <w:rsid w:val="0ABB6746"/>
    <w:rsid w:val="0B7F3C0A"/>
    <w:rsid w:val="0BD91243"/>
    <w:rsid w:val="0C5F76E6"/>
    <w:rsid w:val="0C897FB8"/>
    <w:rsid w:val="0E2236E0"/>
    <w:rsid w:val="0EFB51C0"/>
    <w:rsid w:val="0F1A1391"/>
    <w:rsid w:val="0F392447"/>
    <w:rsid w:val="0FFA4A56"/>
    <w:rsid w:val="0FFE5486"/>
    <w:rsid w:val="10D623EA"/>
    <w:rsid w:val="112D4A19"/>
    <w:rsid w:val="12FB722A"/>
    <w:rsid w:val="13884BBA"/>
    <w:rsid w:val="15E26799"/>
    <w:rsid w:val="169B041B"/>
    <w:rsid w:val="17422D8E"/>
    <w:rsid w:val="184470DD"/>
    <w:rsid w:val="18530C86"/>
    <w:rsid w:val="19CA50A9"/>
    <w:rsid w:val="1A3C2CF5"/>
    <w:rsid w:val="1EB81009"/>
    <w:rsid w:val="20C40935"/>
    <w:rsid w:val="21250ADC"/>
    <w:rsid w:val="21872094"/>
    <w:rsid w:val="22DB65D9"/>
    <w:rsid w:val="23627438"/>
    <w:rsid w:val="241B7AE3"/>
    <w:rsid w:val="256C6CB2"/>
    <w:rsid w:val="2627098D"/>
    <w:rsid w:val="266E06F6"/>
    <w:rsid w:val="2A2B5288"/>
    <w:rsid w:val="2C5F646A"/>
    <w:rsid w:val="2C9F08FB"/>
    <w:rsid w:val="2D661DB3"/>
    <w:rsid w:val="2ECA5C76"/>
    <w:rsid w:val="31E81D02"/>
    <w:rsid w:val="3280147C"/>
    <w:rsid w:val="359E7ED7"/>
    <w:rsid w:val="37E21CE2"/>
    <w:rsid w:val="38831BC2"/>
    <w:rsid w:val="38DA0DAD"/>
    <w:rsid w:val="39405499"/>
    <w:rsid w:val="3B1D0D48"/>
    <w:rsid w:val="3C553636"/>
    <w:rsid w:val="3FA85E62"/>
    <w:rsid w:val="43E36F6F"/>
    <w:rsid w:val="46917F73"/>
    <w:rsid w:val="46E43F8A"/>
    <w:rsid w:val="47B82880"/>
    <w:rsid w:val="47B837A5"/>
    <w:rsid w:val="49ED5C13"/>
    <w:rsid w:val="4AB90C0E"/>
    <w:rsid w:val="4B216E26"/>
    <w:rsid w:val="4B746D7A"/>
    <w:rsid w:val="4BAF1489"/>
    <w:rsid w:val="4D786A0F"/>
    <w:rsid w:val="4D9F0880"/>
    <w:rsid w:val="4E500892"/>
    <w:rsid w:val="4F88076D"/>
    <w:rsid w:val="5244538B"/>
    <w:rsid w:val="525256FA"/>
    <w:rsid w:val="52B65E36"/>
    <w:rsid w:val="53B9159A"/>
    <w:rsid w:val="547E6FF7"/>
    <w:rsid w:val="552C1FB9"/>
    <w:rsid w:val="5537673C"/>
    <w:rsid w:val="569446A9"/>
    <w:rsid w:val="57584E6E"/>
    <w:rsid w:val="57A558D2"/>
    <w:rsid w:val="58B97DFA"/>
    <w:rsid w:val="58C72104"/>
    <w:rsid w:val="58DC2C79"/>
    <w:rsid w:val="5B051D14"/>
    <w:rsid w:val="5BDC7349"/>
    <w:rsid w:val="5C013179"/>
    <w:rsid w:val="5C475BC7"/>
    <w:rsid w:val="5C5C0233"/>
    <w:rsid w:val="5DF6678F"/>
    <w:rsid w:val="5F9B1381"/>
    <w:rsid w:val="5FFD5AF1"/>
    <w:rsid w:val="613A037F"/>
    <w:rsid w:val="61D64CFC"/>
    <w:rsid w:val="62AE7850"/>
    <w:rsid w:val="630C2617"/>
    <w:rsid w:val="63AA050F"/>
    <w:rsid w:val="67EB5704"/>
    <w:rsid w:val="68FA07AA"/>
    <w:rsid w:val="69761053"/>
    <w:rsid w:val="6CFC2188"/>
    <w:rsid w:val="6E67025A"/>
    <w:rsid w:val="71AE6866"/>
    <w:rsid w:val="73773E60"/>
    <w:rsid w:val="74BB0CCA"/>
    <w:rsid w:val="75011D55"/>
    <w:rsid w:val="767E732F"/>
    <w:rsid w:val="77974C5B"/>
    <w:rsid w:val="780535B6"/>
    <w:rsid w:val="7A3E3429"/>
    <w:rsid w:val="7C414176"/>
    <w:rsid w:val="7C832A02"/>
    <w:rsid w:val="7D400CF7"/>
    <w:rsid w:val="7E7753D9"/>
    <w:rsid w:val="7FBA529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GTA正文-1"/>
    <w:basedOn w:val="1"/>
    <w:link w:val="11"/>
    <w:qFormat/>
    <w:uiPriority w:val="0"/>
    <w:pPr>
      <w:spacing w:beforeLines="50" w:afterLines="50" w:line="360" w:lineRule="auto"/>
      <w:ind w:firstLine="420" w:firstLineChars="200"/>
    </w:pPr>
    <w:rPr>
      <w:rFonts w:ascii="Arial" w:hAnsi="Arial" w:eastAsia="宋体" w:cs="Times New Roman"/>
      <w:szCs w:val="24"/>
    </w:rPr>
  </w:style>
  <w:style w:type="character" w:customStyle="1" w:styleId="11">
    <w:name w:val="GTA正文-1 Char"/>
    <w:basedOn w:val="5"/>
    <w:link w:val="10"/>
    <w:qFormat/>
    <w:uiPriority w:val="0"/>
    <w:rPr>
      <w:rFonts w:ascii="Arial" w:hAnsi="Arial" w:eastAsia="宋体" w:cs="Times New Roman"/>
      <w:szCs w:val="24"/>
    </w:rPr>
  </w:style>
  <w:style w:type="character" w:customStyle="1" w:styleId="12">
    <w:name w:val="页眉 Char"/>
    <w:basedOn w:val="5"/>
    <w:link w:val="4"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5"/>
    <w:link w:val="3"/>
    <w:qFormat/>
    <w:uiPriority w:val="99"/>
    <w:rPr>
      <w:kern w:val="2"/>
      <w:sz w:val="18"/>
      <w:szCs w:val="18"/>
    </w:rPr>
  </w:style>
  <w:style w:type="paragraph" w:customStyle="1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51A10B-A7EA-477B-B7FE-057C350AA7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gtadata.com</Company>
  <Pages>4</Pages>
  <Words>325</Words>
  <Characters>1853</Characters>
  <Lines>15</Lines>
  <Paragraphs>4</Paragraphs>
  <ScaleCrop>false</ScaleCrop>
  <LinksUpToDate>false</LinksUpToDate>
  <CharactersWithSpaces>2174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2016-08-05T08:57:00Z</dcterms:created>
  <dc:creator>gta</dc:creator>
  <cp:lastModifiedBy>youcheng.chen</cp:lastModifiedBy>
  <cp:lastPrinted>2016-08-03T02:21:00Z</cp:lastPrinted>
  <dcterms:modified xsi:type="dcterms:W3CDTF">2016-10-12T01:54:22Z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