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72"/>
          <w:szCs w:val="72"/>
        </w:rPr>
        <w:id w:val="8085628"/>
        <w:docPartObj>
          <w:docPartGallery w:val="Cover Pages"/>
          <w:docPartUnique/>
        </w:docPartObj>
      </w:sdtPr>
      <w:sdtEndPr>
        <w:rPr>
          <w:rFonts w:asciiTheme="minorHAnsi" w:eastAsia="微软雅黑" w:hAnsiTheme="minorHAnsi" w:cstheme="minorBidi"/>
          <w:sz w:val="21"/>
          <w:szCs w:val="22"/>
        </w:rPr>
      </w:sdtEndPr>
      <w:sdtContent>
        <w:p w:rsidR="002605B5" w:rsidRDefault="007F62A9" w:rsidP="002605B5">
          <w:pPr>
            <w:pStyle w:val="a7"/>
            <w:rPr>
              <w:rFonts w:asciiTheme="majorHAnsi" w:eastAsiaTheme="majorEastAsia" w:hAnsiTheme="majorHAnsi" w:cstheme="majorBidi"/>
              <w:sz w:val="72"/>
              <w:szCs w:val="72"/>
            </w:rPr>
          </w:pPr>
          <w:r>
            <w:rPr>
              <w:rFonts w:eastAsiaTheme="majorEastAsia" w:cstheme="majorBidi"/>
              <w:noProof/>
            </w:rPr>
            <w:pict>
              <v:rect id="_x0000_s1026" style="position:absolute;margin-left:0;margin-top:0;width:624.2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27" style="position:absolute;margin-left:0;margin-top:0;width:624.2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2605B5" w:rsidRPr="008E2C60" w:rsidRDefault="00015559" w:rsidP="00AD55A9">
          <w:pPr>
            <w:pStyle w:val="a7"/>
            <w:jc w:val="center"/>
            <w:rPr>
              <w:rFonts w:ascii="黑体" w:eastAsia="黑体" w:hAnsi="微软雅黑" w:cstheme="majorBidi"/>
              <w:sz w:val="72"/>
              <w:szCs w:val="72"/>
            </w:rPr>
          </w:pPr>
          <w:r>
            <w:rPr>
              <w:rFonts w:ascii="黑体" w:eastAsia="黑体" w:hAnsi="微软雅黑" w:cstheme="majorBidi" w:hint="eastAsia"/>
              <w:sz w:val="72"/>
              <w:szCs w:val="72"/>
              <w:u w:val="single"/>
            </w:rPr>
            <w:t xml:space="preserve"> </w:t>
          </w:r>
          <w:r w:rsidR="00AE1E5B">
            <w:rPr>
              <w:rFonts w:ascii="黑体" w:eastAsia="黑体" w:hAnsi="微软雅黑" w:cstheme="majorBidi" w:hint="eastAsia"/>
              <w:sz w:val="72"/>
              <w:szCs w:val="72"/>
              <w:u w:val="single"/>
            </w:rPr>
            <w:t xml:space="preserve">         </w:t>
          </w:r>
          <w:r w:rsidR="00AD55A9" w:rsidRPr="008E2C60">
            <w:rPr>
              <w:rFonts w:ascii="黑体" w:eastAsia="黑体" w:hAnsi="微软雅黑" w:cstheme="majorBidi" w:hint="eastAsia"/>
              <w:sz w:val="72"/>
              <w:szCs w:val="72"/>
              <w:u w:val="single"/>
            </w:rPr>
            <w:t xml:space="preserve"> </w:t>
          </w:r>
          <w:r w:rsidR="005249ED">
            <w:rPr>
              <w:rFonts w:ascii="黑体" w:eastAsia="黑体" w:hAnsi="微软雅黑" w:cstheme="majorBidi" w:hint="eastAsia"/>
              <w:sz w:val="72"/>
              <w:szCs w:val="72"/>
            </w:rPr>
            <w:t>销售说辞</w:t>
          </w:r>
        </w:p>
        <w:p w:rsidR="008E2C60" w:rsidRDefault="008E2C60">
          <w:pPr>
            <w:widowControl/>
            <w:jc w:val="left"/>
          </w:pPr>
        </w:p>
        <w:p w:rsidR="008E2C60" w:rsidRDefault="008E2C60">
          <w:pPr>
            <w:widowControl/>
            <w:jc w:val="left"/>
          </w:pPr>
        </w:p>
        <w:p w:rsidR="008E2C60" w:rsidRPr="008E2C60" w:rsidRDefault="008E2C60" w:rsidP="00AE1E5B">
          <w:pPr>
            <w:widowControl/>
            <w:spacing w:beforeLines="150" w:before="468" w:line="480" w:lineRule="auto"/>
            <w:ind w:leftChars="742" w:left="1558"/>
            <w:jc w:val="left"/>
            <w:rPr>
              <w:u w:val="single"/>
            </w:rPr>
          </w:pPr>
          <w:r>
            <w:rPr>
              <w:rFonts w:ascii="黑体" w:eastAsia="黑体" w:hint="eastAsia"/>
              <w:sz w:val="32"/>
            </w:rPr>
            <w:t>文档编号</w:t>
          </w:r>
          <w:r w:rsidRPr="008E2C60">
            <w:rPr>
              <w:rFonts w:ascii="黑体" w:eastAsia="黑体" w:hint="eastAsia"/>
              <w:sz w:val="32"/>
            </w:rPr>
            <w:t>：</w:t>
          </w:r>
          <w:r>
            <w:rPr>
              <w:rFonts w:hint="eastAsia"/>
              <w:u w:val="single"/>
            </w:rPr>
            <w:t xml:space="preserve">                               </w:t>
          </w:r>
        </w:p>
        <w:p w:rsidR="008E2C60" w:rsidRPr="008E2C60" w:rsidRDefault="008E2C60" w:rsidP="00AE1E5B">
          <w:pPr>
            <w:widowControl/>
            <w:spacing w:beforeLines="150" w:before="468" w:line="480" w:lineRule="auto"/>
            <w:ind w:leftChars="742" w:left="1558"/>
            <w:jc w:val="left"/>
            <w:rPr>
              <w:u w:val="single"/>
            </w:rPr>
          </w:pPr>
          <w:r w:rsidRPr="008E2C60">
            <w:rPr>
              <w:rFonts w:ascii="黑体" w:eastAsia="黑体" w:hint="eastAsia"/>
              <w:sz w:val="32"/>
            </w:rPr>
            <w:t>事业部群：</w:t>
          </w:r>
          <w:r>
            <w:rPr>
              <w:rFonts w:hint="eastAsia"/>
              <w:u w:val="single"/>
            </w:rPr>
            <w:t xml:space="preserve">    </w:t>
          </w:r>
          <w:r w:rsidR="00015559">
            <w:rPr>
              <w:rFonts w:hint="eastAsia"/>
              <w:u w:val="single"/>
            </w:rPr>
            <w:t xml:space="preserve"> </w:t>
          </w:r>
          <w:r w:rsidR="00AE1E5B">
            <w:rPr>
              <w:rFonts w:ascii="黑体" w:eastAsia="黑体" w:hAnsi="微软雅黑" w:hint="eastAsia"/>
              <w:sz w:val="32"/>
              <w:u w:val="single"/>
            </w:rPr>
            <w:t xml:space="preserve">              </w:t>
          </w:r>
          <w:r w:rsidRPr="00015559">
            <w:rPr>
              <w:rFonts w:ascii="黑体" w:eastAsia="黑体" w:hAnsi="微软雅黑" w:hint="eastAsia"/>
              <w:sz w:val="32"/>
              <w:u w:val="single"/>
            </w:rPr>
            <w:t xml:space="preserve"> </w:t>
          </w:r>
          <w:r>
            <w:rPr>
              <w:rFonts w:hint="eastAsia"/>
              <w:u w:val="single"/>
            </w:rPr>
            <w:t xml:space="preserve">   </w:t>
          </w:r>
        </w:p>
      </w:sdtContent>
    </w:sdt>
    <w:p w:rsidR="008E2C60" w:rsidRDefault="008E2C60" w:rsidP="00AE1E5B">
      <w:pPr>
        <w:widowControl/>
        <w:spacing w:beforeLines="150" w:before="468" w:line="480" w:lineRule="auto"/>
        <w:ind w:leftChars="742" w:left="1558"/>
        <w:jc w:val="left"/>
        <w:rPr>
          <w:u w:val="single"/>
        </w:rPr>
      </w:pPr>
      <w:r>
        <w:rPr>
          <w:rFonts w:ascii="黑体" w:eastAsia="黑体" w:hint="eastAsia"/>
          <w:sz w:val="32"/>
        </w:rPr>
        <w:t>事业部</w:t>
      </w:r>
      <w:r w:rsidRPr="008E2C60">
        <w:rPr>
          <w:rFonts w:ascii="黑体" w:eastAsia="黑体" w:hint="eastAsia"/>
          <w:sz w:val="32"/>
        </w:rPr>
        <w:t>：</w:t>
      </w:r>
      <w:r>
        <w:rPr>
          <w:rFonts w:ascii="黑体" w:eastAsia="黑体" w:hint="eastAsia"/>
          <w:sz w:val="32"/>
        </w:rPr>
        <w:t xml:space="preserve">  </w:t>
      </w:r>
      <w:r>
        <w:rPr>
          <w:rFonts w:hint="eastAsia"/>
          <w:u w:val="single"/>
        </w:rPr>
        <w:t xml:space="preserve">     </w:t>
      </w:r>
      <w:r w:rsidR="00AE1E5B">
        <w:rPr>
          <w:rFonts w:ascii="黑体" w:eastAsia="黑体" w:hAnsi="微软雅黑" w:hint="eastAsia"/>
          <w:sz w:val="32"/>
          <w:u w:val="single"/>
        </w:rPr>
        <w:t xml:space="preserve">              </w:t>
      </w:r>
      <w:r w:rsidR="00015559">
        <w:rPr>
          <w:rFonts w:hint="eastAsia"/>
          <w:u w:val="single"/>
        </w:rPr>
        <w:t xml:space="preserve"> </w:t>
      </w:r>
      <w:r>
        <w:rPr>
          <w:rFonts w:hint="eastAsia"/>
          <w:u w:val="single"/>
        </w:rPr>
        <w:t xml:space="preserve">   </w:t>
      </w:r>
      <w:r w:rsidR="00015559">
        <w:rPr>
          <w:rFonts w:hint="eastAsia"/>
          <w:u w:val="single"/>
        </w:rPr>
        <w:t xml:space="preserve"> </w:t>
      </w:r>
    </w:p>
    <w:p w:rsidR="008E2C60" w:rsidRPr="008E2C60" w:rsidRDefault="008E2C60" w:rsidP="00AE1E5B">
      <w:pPr>
        <w:widowControl/>
        <w:spacing w:beforeLines="150" w:before="468" w:line="480" w:lineRule="auto"/>
        <w:ind w:leftChars="742" w:left="1558"/>
        <w:jc w:val="left"/>
        <w:rPr>
          <w:u w:val="single"/>
        </w:rPr>
      </w:pPr>
      <w:r>
        <w:rPr>
          <w:rFonts w:ascii="黑体" w:eastAsia="黑体" w:hint="eastAsia"/>
          <w:sz w:val="32"/>
        </w:rPr>
        <w:t>联系人</w:t>
      </w:r>
      <w:r w:rsidRPr="008E2C60">
        <w:rPr>
          <w:rFonts w:ascii="黑体" w:eastAsia="黑体" w:hint="eastAsia"/>
          <w:sz w:val="32"/>
        </w:rPr>
        <w:t>：</w:t>
      </w:r>
      <w:r>
        <w:rPr>
          <w:rFonts w:ascii="黑体" w:eastAsia="黑体" w:hint="eastAsia"/>
          <w:sz w:val="32"/>
        </w:rPr>
        <w:t xml:space="preserve">  </w:t>
      </w:r>
      <w:r>
        <w:rPr>
          <w:rFonts w:hint="eastAsia"/>
          <w:u w:val="single"/>
        </w:rPr>
        <w:t xml:space="preserve">          </w:t>
      </w:r>
      <w:r w:rsidR="00015559">
        <w:rPr>
          <w:rFonts w:hint="eastAsia"/>
          <w:u w:val="single"/>
        </w:rPr>
        <w:t xml:space="preserve"> </w:t>
      </w:r>
      <w:r w:rsidR="00AE1E5B">
        <w:rPr>
          <w:rFonts w:ascii="黑体" w:eastAsia="黑体" w:hint="eastAsia"/>
          <w:sz w:val="32"/>
          <w:szCs w:val="32"/>
          <w:u w:val="single"/>
        </w:rPr>
        <w:t xml:space="preserve">      </w:t>
      </w:r>
      <w:r w:rsidR="00015559">
        <w:rPr>
          <w:rFonts w:hint="eastAsia"/>
          <w:u w:val="single"/>
        </w:rPr>
        <w:t xml:space="preserve">           </w:t>
      </w:r>
    </w:p>
    <w:p w:rsidR="008E2C60" w:rsidRDefault="008E2C60" w:rsidP="00AE1E5B">
      <w:pPr>
        <w:widowControl/>
        <w:spacing w:beforeLines="150" w:before="468" w:line="480" w:lineRule="auto"/>
        <w:ind w:leftChars="742" w:left="1558"/>
        <w:jc w:val="left"/>
        <w:rPr>
          <w:u w:val="single"/>
        </w:rPr>
      </w:pPr>
      <w:r>
        <w:rPr>
          <w:rFonts w:ascii="黑体" w:eastAsia="黑体" w:hint="eastAsia"/>
          <w:sz w:val="32"/>
        </w:rPr>
        <w:t>联系</w:t>
      </w:r>
      <w:r w:rsidR="00015559">
        <w:rPr>
          <w:rFonts w:ascii="黑体" w:eastAsia="黑体" w:hint="eastAsia"/>
          <w:sz w:val="32"/>
        </w:rPr>
        <w:t>电话</w:t>
      </w:r>
      <w:r w:rsidRPr="008E2C60">
        <w:rPr>
          <w:rFonts w:ascii="黑体" w:eastAsia="黑体" w:hint="eastAsia"/>
          <w:sz w:val="32"/>
        </w:rPr>
        <w:t>：</w:t>
      </w:r>
      <w:r>
        <w:rPr>
          <w:rFonts w:hint="eastAsia"/>
          <w:u w:val="single"/>
        </w:rPr>
        <w:t xml:space="preserve">     </w:t>
      </w:r>
      <w:r w:rsidR="00015559">
        <w:rPr>
          <w:rFonts w:hint="eastAsia"/>
          <w:u w:val="single"/>
        </w:rPr>
        <w:t xml:space="preserve"> </w:t>
      </w:r>
      <w:r w:rsidR="00AE1E5B">
        <w:rPr>
          <w:rFonts w:ascii="黑体" w:eastAsia="黑体" w:hint="eastAsia"/>
          <w:sz w:val="32"/>
          <w:u w:val="single"/>
        </w:rPr>
        <w:t xml:space="preserve">             </w:t>
      </w:r>
      <w:r w:rsidRPr="00015559">
        <w:rPr>
          <w:rFonts w:ascii="黑体" w:eastAsia="黑体" w:hint="eastAsia"/>
          <w:sz w:val="32"/>
          <w:u w:val="single"/>
        </w:rPr>
        <w:t xml:space="preserve"> </w:t>
      </w:r>
      <w:r w:rsidR="00015559">
        <w:rPr>
          <w:rFonts w:hint="eastAsia"/>
          <w:u w:val="single"/>
        </w:rPr>
        <w:t xml:space="preserve">    </w:t>
      </w:r>
    </w:p>
    <w:p w:rsidR="00015559" w:rsidRPr="00015559" w:rsidRDefault="00015559" w:rsidP="00AE1E5B">
      <w:pPr>
        <w:widowControl/>
        <w:spacing w:beforeLines="150" w:before="468" w:line="480" w:lineRule="auto"/>
        <w:ind w:leftChars="742" w:left="1558"/>
        <w:jc w:val="left"/>
        <w:rPr>
          <w:u w:val="single"/>
        </w:rPr>
      </w:pPr>
      <w:r>
        <w:rPr>
          <w:rFonts w:ascii="黑体" w:eastAsia="黑体" w:hint="eastAsia"/>
          <w:sz w:val="32"/>
        </w:rPr>
        <w:t>电子邮箱</w:t>
      </w:r>
      <w:r w:rsidRPr="008E2C60">
        <w:rPr>
          <w:rFonts w:ascii="黑体" w:eastAsia="黑体" w:hint="eastAsia"/>
          <w:sz w:val="32"/>
        </w:rPr>
        <w:t>：</w:t>
      </w:r>
      <w:r>
        <w:rPr>
          <w:rFonts w:hint="eastAsia"/>
          <w:u w:val="single"/>
        </w:rPr>
        <w:t xml:space="preserve">   </w:t>
      </w:r>
      <w:r w:rsidR="00AE1E5B">
        <w:rPr>
          <w:rFonts w:ascii="黑体" w:eastAsia="黑体" w:hint="eastAsia"/>
          <w:sz w:val="32"/>
          <w:u w:val="single"/>
        </w:rPr>
        <w:t xml:space="preserve">                 </w:t>
      </w:r>
      <w:r w:rsidRPr="00015559">
        <w:rPr>
          <w:rFonts w:ascii="黑体" w:eastAsia="黑体" w:hint="eastAsia"/>
          <w:sz w:val="32"/>
          <w:u w:val="single"/>
        </w:rPr>
        <w:t xml:space="preserve"> </w:t>
      </w:r>
      <w:r>
        <w:rPr>
          <w:rFonts w:hint="eastAsia"/>
          <w:u w:val="single"/>
        </w:rPr>
        <w:t xml:space="preserve"> </w:t>
      </w:r>
    </w:p>
    <w:p w:rsidR="000C0984" w:rsidRDefault="008E2C60" w:rsidP="00AE1E5B">
      <w:pPr>
        <w:widowControl/>
        <w:spacing w:beforeLines="150" w:before="468" w:line="480" w:lineRule="auto"/>
        <w:ind w:leftChars="742" w:left="1558"/>
        <w:jc w:val="left"/>
        <w:rPr>
          <w:u w:val="single"/>
        </w:rPr>
      </w:pPr>
      <w:r>
        <w:rPr>
          <w:rFonts w:ascii="黑体" w:eastAsia="黑体" w:hint="eastAsia"/>
          <w:sz w:val="32"/>
        </w:rPr>
        <w:t>提交时间</w:t>
      </w:r>
      <w:r w:rsidRPr="008E2C60">
        <w:rPr>
          <w:rFonts w:ascii="黑体" w:eastAsia="黑体" w:hint="eastAsia"/>
          <w:sz w:val="32"/>
        </w:rPr>
        <w:t>：</w:t>
      </w:r>
      <w:r>
        <w:rPr>
          <w:rFonts w:hint="eastAsia"/>
          <w:u w:val="single"/>
        </w:rPr>
        <w:t xml:space="preserve">        </w:t>
      </w:r>
      <w:r w:rsidR="00AE1E5B">
        <w:rPr>
          <w:rFonts w:ascii="黑体" w:eastAsia="黑体" w:hint="eastAsia"/>
          <w:sz w:val="32"/>
          <w:szCs w:val="32"/>
          <w:u w:val="single"/>
        </w:rPr>
        <w:t xml:space="preserve">           </w:t>
      </w:r>
      <w:r w:rsidR="00015559">
        <w:rPr>
          <w:rFonts w:hint="eastAsia"/>
          <w:u w:val="single"/>
        </w:rPr>
        <w:t xml:space="preserve">       </w:t>
      </w:r>
    </w:p>
    <w:p w:rsidR="000C0984" w:rsidRDefault="000C0984" w:rsidP="000C0984">
      <w:pPr>
        <w:widowControl/>
        <w:jc w:val="left"/>
        <w:rPr>
          <w:u w:val="single"/>
        </w:rPr>
      </w:pPr>
    </w:p>
    <w:p w:rsidR="00015559" w:rsidRDefault="00015559" w:rsidP="000C0984">
      <w:pPr>
        <w:widowControl/>
        <w:jc w:val="left"/>
        <w:rPr>
          <w:u w:val="single"/>
        </w:rPr>
      </w:pPr>
    </w:p>
    <w:p w:rsidR="002E13F6" w:rsidRDefault="002E13F6" w:rsidP="000C0984">
      <w:pPr>
        <w:widowControl/>
        <w:jc w:val="left"/>
        <w:rPr>
          <w:u w:val="single"/>
        </w:rPr>
      </w:pPr>
    </w:p>
    <w:p w:rsidR="00E464E9" w:rsidRDefault="00E464E9" w:rsidP="000C0984">
      <w:pPr>
        <w:widowControl/>
        <w:jc w:val="left"/>
        <w:rPr>
          <w:u w:val="single"/>
        </w:rPr>
      </w:pPr>
    </w:p>
    <w:p w:rsidR="000C0984" w:rsidRDefault="00E464E9" w:rsidP="002E13F6">
      <w:pPr>
        <w:widowControl/>
        <w:jc w:val="center"/>
        <w:rPr>
          <w:u w:val="single"/>
        </w:rPr>
      </w:pPr>
      <w:r w:rsidRPr="00E464E9">
        <w:rPr>
          <w:noProof/>
          <w:u w:val="double" w:color="4BACC6" w:themeColor="accent5"/>
        </w:rPr>
        <w:drawing>
          <wp:anchor distT="0" distB="0" distL="114300" distR="114300" simplePos="0" relativeHeight="251665408" behindDoc="0" locked="0" layoutInCell="1" allowOverlap="1">
            <wp:simplePos x="0" y="0"/>
            <wp:positionH relativeFrom="column">
              <wp:posOffset>1466850</wp:posOffset>
            </wp:positionH>
            <wp:positionV relativeFrom="paragraph">
              <wp:posOffset>-356235</wp:posOffset>
            </wp:positionV>
            <wp:extent cx="2362200" cy="600075"/>
            <wp:effectExtent l="19050" t="0" r="0" b="0"/>
            <wp:wrapNone/>
            <wp:docPr id="5" name="图片 1" descr="lingshi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ingshi副本"/>
                    <pic:cNvPicPr>
                      <a:picLocks noChangeAspect="1" noChangeArrowheads="1"/>
                    </pic:cNvPicPr>
                  </pic:nvPicPr>
                  <pic:blipFill>
                    <a:blip r:embed="rId9" cstate="print"/>
                    <a:srcRect/>
                    <a:stretch>
                      <a:fillRect/>
                    </a:stretch>
                  </pic:blipFill>
                  <pic:spPr bwMode="auto">
                    <a:xfrm>
                      <a:off x="0" y="0"/>
                      <a:ext cx="2362200" cy="600075"/>
                    </a:xfrm>
                    <a:prstGeom prst="rect">
                      <a:avLst/>
                    </a:prstGeom>
                    <a:noFill/>
                    <a:ln w="9525">
                      <a:noFill/>
                      <a:miter lim="800000"/>
                      <a:headEnd/>
                      <a:tailEnd/>
                    </a:ln>
                  </pic:spPr>
                </pic:pic>
              </a:graphicData>
            </a:graphic>
          </wp:anchor>
        </w:drawing>
      </w:r>
    </w:p>
    <w:p w:rsidR="000C0984" w:rsidRPr="00E464E9" w:rsidRDefault="00AE1E5B" w:rsidP="00F2734C">
      <w:pPr>
        <w:widowControl/>
        <w:jc w:val="center"/>
      </w:pPr>
      <w:r>
        <w:rPr>
          <w:rFonts w:hint="eastAsia"/>
        </w:rPr>
        <w:t>深圳市</w:t>
      </w:r>
      <w:r w:rsidRPr="00DF5B60">
        <w:t>国泰安教育技术股份有限公司</w:t>
      </w:r>
      <w:bookmarkStart w:id="0" w:name="_GoBack"/>
      <w:bookmarkEnd w:id="0"/>
    </w:p>
    <w:p w:rsidR="0059662C" w:rsidRDefault="0059662C">
      <w:pPr>
        <w:sectPr w:rsidR="0059662C" w:rsidSect="002605B5">
          <w:headerReference w:type="even" r:id="rId10"/>
          <w:headerReference w:type="default" r:id="rId11"/>
          <w:footerReference w:type="even" r:id="rId12"/>
          <w:footerReference w:type="default" r:id="rId13"/>
          <w:pgSz w:w="11906" w:h="16838"/>
          <w:pgMar w:top="1440" w:right="1800" w:bottom="1440" w:left="1800" w:header="851" w:footer="992" w:gutter="0"/>
          <w:cols w:space="425"/>
          <w:titlePg/>
          <w:docGrid w:type="lines" w:linePitch="312"/>
        </w:sectPr>
      </w:pPr>
    </w:p>
    <w:p w:rsidR="00AC07CD" w:rsidRPr="002E13F6" w:rsidRDefault="002605B5" w:rsidP="00057191">
      <w:pPr>
        <w:pStyle w:val="1"/>
        <w:spacing w:before="624" w:after="312"/>
      </w:pPr>
      <w:r w:rsidRPr="002E13F6">
        <w:rPr>
          <w:rFonts w:hint="eastAsia"/>
        </w:rPr>
        <w:lastRenderedPageBreak/>
        <w:t>一、</w:t>
      </w:r>
      <w:r w:rsidR="005249ED">
        <w:rPr>
          <w:rFonts w:hint="eastAsia"/>
        </w:rPr>
        <w:t>开场寒暄</w:t>
      </w:r>
    </w:p>
    <w:p w:rsidR="005E041F" w:rsidRDefault="005E041F" w:rsidP="005E041F">
      <w:pPr>
        <w:pStyle w:val="2"/>
        <w:spacing w:before="312" w:after="156"/>
      </w:pPr>
      <w:r>
        <w:rPr>
          <w:rFonts w:hint="eastAsia"/>
        </w:rPr>
        <w:t>1.</w:t>
      </w:r>
      <w:r>
        <w:rPr>
          <w:rFonts w:hint="eastAsia"/>
        </w:rPr>
        <w:t>开场白</w:t>
      </w:r>
    </w:p>
    <w:p w:rsidR="00282830" w:rsidRPr="000923BC" w:rsidRDefault="00282830" w:rsidP="00282830">
      <w:pPr>
        <w:ind w:firstLine="405"/>
        <w:rPr>
          <w:b/>
          <w:color w:val="FF0000"/>
          <w:sz w:val="22"/>
        </w:rPr>
      </w:pPr>
      <w:r w:rsidRPr="000923BC">
        <w:rPr>
          <w:rFonts w:hint="eastAsia"/>
          <w:b/>
          <w:color w:val="FF0000"/>
          <w:sz w:val="22"/>
        </w:rPr>
        <w:t>要点：</w:t>
      </w:r>
      <w:r w:rsidRPr="000923BC">
        <w:rPr>
          <w:rFonts w:hint="eastAsia"/>
          <w:b/>
          <w:color w:val="FF0000"/>
          <w:sz w:val="22"/>
        </w:rPr>
        <w:t>1.</w:t>
      </w:r>
      <w:r w:rsidRPr="000923BC">
        <w:rPr>
          <w:rFonts w:hint="eastAsia"/>
          <w:b/>
          <w:color w:val="FF0000"/>
          <w:sz w:val="22"/>
        </w:rPr>
        <w:t>赞美客户，拉近与客户之间的心理距离</w:t>
      </w:r>
    </w:p>
    <w:p w:rsidR="00282830" w:rsidRPr="000923BC" w:rsidRDefault="00282830" w:rsidP="00282830">
      <w:pPr>
        <w:ind w:firstLine="405"/>
        <w:rPr>
          <w:b/>
          <w:color w:val="FF0000"/>
          <w:sz w:val="22"/>
        </w:rPr>
      </w:pPr>
      <w:r w:rsidRPr="000923BC">
        <w:rPr>
          <w:rFonts w:hint="eastAsia"/>
          <w:b/>
          <w:color w:val="FF0000"/>
          <w:sz w:val="22"/>
        </w:rPr>
        <w:t xml:space="preserve">      2.</w:t>
      </w:r>
      <w:r w:rsidRPr="000923BC">
        <w:rPr>
          <w:rFonts w:hint="eastAsia"/>
          <w:b/>
          <w:color w:val="FF0000"/>
          <w:sz w:val="22"/>
        </w:rPr>
        <w:t>表明自己的身份和来意，打开客户的心防</w:t>
      </w:r>
    </w:p>
    <w:p w:rsidR="005E041F" w:rsidRDefault="005E041F" w:rsidP="005E041F">
      <w:pPr>
        <w:pStyle w:val="2"/>
        <w:spacing w:before="312" w:after="156"/>
      </w:pPr>
      <w:r>
        <w:rPr>
          <w:rFonts w:hint="eastAsia"/>
        </w:rPr>
        <w:t>2.</w:t>
      </w:r>
      <w:r>
        <w:rPr>
          <w:rFonts w:hint="eastAsia"/>
        </w:rPr>
        <w:t>公司简介</w:t>
      </w:r>
    </w:p>
    <w:p w:rsidR="000923BC" w:rsidRPr="000923BC" w:rsidRDefault="000923BC" w:rsidP="000923BC">
      <w:pPr>
        <w:ind w:firstLine="405"/>
        <w:rPr>
          <w:b/>
          <w:color w:val="FF0000"/>
          <w:sz w:val="22"/>
        </w:rPr>
      </w:pPr>
      <w:r w:rsidRPr="000923BC">
        <w:rPr>
          <w:rFonts w:hint="eastAsia"/>
          <w:b/>
          <w:color w:val="FF0000"/>
          <w:sz w:val="22"/>
        </w:rPr>
        <w:t>要点：</w:t>
      </w:r>
      <w:r w:rsidRPr="000923BC">
        <w:rPr>
          <w:rFonts w:hint="eastAsia"/>
          <w:b/>
          <w:color w:val="FF0000"/>
          <w:sz w:val="22"/>
        </w:rPr>
        <w:t>1.</w:t>
      </w:r>
      <w:r w:rsidR="00761780">
        <w:rPr>
          <w:rFonts w:hint="eastAsia"/>
          <w:b/>
          <w:color w:val="FF0000"/>
          <w:sz w:val="22"/>
        </w:rPr>
        <w:t>公司基本简介</w:t>
      </w:r>
      <w:r w:rsidRPr="000923BC">
        <w:rPr>
          <w:rFonts w:hint="eastAsia"/>
          <w:b/>
          <w:color w:val="FF0000"/>
          <w:sz w:val="22"/>
        </w:rPr>
        <w:t>，</w:t>
      </w:r>
      <w:r w:rsidR="00761780">
        <w:rPr>
          <w:rFonts w:hint="eastAsia"/>
          <w:b/>
          <w:color w:val="FF0000"/>
          <w:sz w:val="22"/>
        </w:rPr>
        <w:t>介绍公司的基本发展情况让客户形成对</w:t>
      </w:r>
      <w:r w:rsidR="00761780">
        <w:rPr>
          <w:rFonts w:hint="eastAsia"/>
          <w:b/>
          <w:color w:val="FF0000"/>
          <w:sz w:val="22"/>
        </w:rPr>
        <w:t>GTA</w:t>
      </w:r>
      <w:r w:rsidR="00761780">
        <w:rPr>
          <w:rFonts w:hint="eastAsia"/>
          <w:b/>
          <w:color w:val="FF0000"/>
          <w:sz w:val="22"/>
        </w:rPr>
        <w:t>的初步印象</w:t>
      </w:r>
    </w:p>
    <w:p w:rsidR="000923BC" w:rsidRDefault="000923BC" w:rsidP="00600EA4">
      <w:pPr>
        <w:ind w:firstLine="405"/>
        <w:rPr>
          <w:b/>
          <w:color w:val="FF0000"/>
          <w:sz w:val="22"/>
        </w:rPr>
      </w:pPr>
      <w:r w:rsidRPr="000923BC">
        <w:rPr>
          <w:rFonts w:hint="eastAsia"/>
          <w:b/>
          <w:color w:val="FF0000"/>
          <w:sz w:val="22"/>
        </w:rPr>
        <w:t xml:space="preserve">      2.</w:t>
      </w:r>
      <w:r w:rsidR="00761780">
        <w:rPr>
          <w:rFonts w:hint="eastAsia"/>
          <w:b/>
          <w:color w:val="FF0000"/>
          <w:sz w:val="22"/>
        </w:rPr>
        <w:t>公司特色简介</w:t>
      </w:r>
      <w:r w:rsidRPr="000923BC">
        <w:rPr>
          <w:rFonts w:hint="eastAsia"/>
          <w:b/>
          <w:color w:val="FF0000"/>
          <w:sz w:val="22"/>
        </w:rPr>
        <w:t>，</w:t>
      </w:r>
      <w:r w:rsidR="00761780">
        <w:rPr>
          <w:rFonts w:hint="eastAsia"/>
          <w:b/>
          <w:color w:val="FF0000"/>
          <w:sz w:val="22"/>
        </w:rPr>
        <w:t>根据项目需要着重介绍公司在方面的突出优势</w:t>
      </w:r>
    </w:p>
    <w:p w:rsidR="00600EA4" w:rsidRPr="00600EA4" w:rsidRDefault="00600EA4" w:rsidP="00600EA4">
      <w:pPr>
        <w:ind w:firstLine="405"/>
        <w:rPr>
          <w:b/>
          <w:color w:val="FF0000"/>
          <w:sz w:val="22"/>
        </w:rPr>
      </w:pPr>
    </w:p>
    <w:p w:rsidR="005E041F" w:rsidRDefault="00274826" w:rsidP="007B5826">
      <w:pPr>
        <w:ind w:firstLineChars="200" w:firstLine="420"/>
        <w:rPr>
          <w:rFonts w:ascii="微软雅黑" w:hAnsi="微软雅黑" w:cs="Times New Roman"/>
          <w:szCs w:val="21"/>
        </w:rPr>
      </w:pPr>
      <w:r w:rsidRPr="00274826">
        <w:rPr>
          <w:rFonts w:ascii="微软雅黑" w:hAnsi="微软雅黑" w:hint="eastAsia"/>
          <w:b/>
          <w:szCs w:val="21"/>
        </w:rPr>
        <w:t>A：</w:t>
      </w:r>
      <w:r w:rsidR="007B5826">
        <w:rPr>
          <w:rFonts w:ascii="微软雅黑" w:hAnsi="微软雅黑" w:hint="eastAsia"/>
          <w:szCs w:val="21"/>
        </w:rPr>
        <w:t>深圳市国泰安信息技术有限公司</w:t>
      </w:r>
      <w:r w:rsidR="007B5826" w:rsidRPr="007B5826">
        <w:rPr>
          <w:rFonts w:ascii="微软雅黑" w:hAnsi="微软雅黑" w:cs="Times New Roman" w:hint="eastAsia"/>
          <w:szCs w:val="21"/>
        </w:rPr>
        <w:t>成立于2000年，现已发展成为业务覆盖中国高等教育、职业教育、基础教育及高端金融服务领域的知名教育及金融服务集团，是国家科技部重点支持的国家级高新技术企业。国泰安以推动中国教育事业全面革新发展、提升中国行业服务及发展创新为使命，为各级教育机构提供集“研究支持、创新教学、实操实训、创业就业支持、软硬件教学体系建设及专项增值服务”于一体的综合性教育解决方案；为投资领域机构和个人提供快速精准的全球数据信息、高端分析投资支持和专业教育培训服务。</w:t>
      </w:r>
    </w:p>
    <w:p w:rsidR="00637D72" w:rsidRDefault="00637D72" w:rsidP="007B5826">
      <w:pPr>
        <w:ind w:firstLineChars="200" w:firstLine="420"/>
        <w:rPr>
          <w:rFonts w:ascii="微软雅黑" w:hAnsi="微软雅黑"/>
          <w:b/>
          <w:szCs w:val="21"/>
        </w:rPr>
      </w:pPr>
    </w:p>
    <w:p w:rsidR="00274826" w:rsidRDefault="00274826" w:rsidP="007B5826">
      <w:pPr>
        <w:ind w:firstLineChars="200" w:firstLine="420"/>
        <w:rPr>
          <w:rFonts w:ascii="微软雅黑" w:hAnsi="微软雅黑"/>
          <w:b/>
          <w:color w:val="FF0000"/>
          <w:szCs w:val="21"/>
        </w:rPr>
      </w:pPr>
      <w:r w:rsidRPr="00274826">
        <w:rPr>
          <w:rFonts w:ascii="微软雅黑" w:hAnsi="微软雅黑" w:hint="eastAsia"/>
          <w:b/>
          <w:szCs w:val="21"/>
        </w:rPr>
        <w:t>B：</w:t>
      </w:r>
      <w:r>
        <w:rPr>
          <w:rFonts w:ascii="微软雅黑" w:hAnsi="微软雅黑" w:hint="eastAsia"/>
          <w:b/>
          <w:color w:val="FF0000"/>
          <w:szCs w:val="21"/>
        </w:rPr>
        <w:t>各项</w:t>
      </w:r>
      <w:proofErr w:type="gramStart"/>
      <w:r>
        <w:rPr>
          <w:rFonts w:ascii="微软雅黑" w:hAnsi="微软雅黑" w:hint="eastAsia"/>
          <w:b/>
          <w:color w:val="FF0000"/>
          <w:szCs w:val="21"/>
        </w:rPr>
        <w:t>目根据</w:t>
      </w:r>
      <w:proofErr w:type="gramEnd"/>
      <w:r>
        <w:rPr>
          <w:rFonts w:ascii="微软雅黑" w:hAnsi="微软雅黑" w:hint="eastAsia"/>
          <w:b/>
          <w:color w:val="FF0000"/>
          <w:szCs w:val="21"/>
        </w:rPr>
        <w:t>自身需要适当补充和完善，以下文字内容供参考</w:t>
      </w:r>
    </w:p>
    <w:p w:rsidR="00274826" w:rsidRDefault="00274826" w:rsidP="00274826">
      <w:pPr>
        <w:ind w:firstLineChars="200" w:firstLine="420"/>
        <w:rPr>
          <w:rFonts w:ascii="微软雅黑" w:hAnsi="微软雅黑"/>
        </w:rPr>
      </w:pPr>
      <w:r>
        <w:rPr>
          <w:rFonts w:ascii="微软雅黑" w:hAnsi="微软雅黑" w:hint="eastAsia"/>
        </w:rPr>
        <w:t>国泰安从成立以来经过了三个阶段的发展：</w:t>
      </w:r>
      <w:r w:rsidRPr="008678CC">
        <w:rPr>
          <w:rFonts w:ascii="微软雅黑" w:hAnsi="微软雅黑" w:hint="eastAsia"/>
          <w:b/>
        </w:rPr>
        <w:t>第一阶段，2000年—2005年</w:t>
      </w:r>
      <w:r>
        <w:rPr>
          <w:rFonts w:ascii="微软雅黑" w:hAnsi="微软雅黑" w:hint="eastAsia"/>
        </w:rPr>
        <w:t>，我们主要为高校提供科研方面的软件与数据库及配套服务；</w:t>
      </w:r>
      <w:r w:rsidRPr="008678CC">
        <w:rPr>
          <w:rFonts w:ascii="微软雅黑" w:hAnsi="微软雅黑" w:hint="eastAsia"/>
          <w:b/>
        </w:rPr>
        <w:t>第二阶段，2005年—2010年</w:t>
      </w:r>
      <w:r>
        <w:rPr>
          <w:rFonts w:ascii="微软雅黑" w:hAnsi="微软雅黑" w:hint="eastAsia"/>
        </w:rPr>
        <w:t>，我们为所有经济管理专业提供实</w:t>
      </w:r>
      <w:proofErr w:type="gramStart"/>
      <w:r>
        <w:rPr>
          <w:rFonts w:ascii="微软雅黑" w:hAnsi="微软雅黑" w:hint="eastAsia"/>
        </w:rPr>
        <w:t>训综合</w:t>
      </w:r>
      <w:proofErr w:type="gramEnd"/>
      <w:r>
        <w:rPr>
          <w:rFonts w:ascii="微软雅黑" w:hAnsi="微软雅黑" w:hint="eastAsia"/>
        </w:rPr>
        <w:t>解决方案；</w:t>
      </w:r>
      <w:r w:rsidRPr="008678CC">
        <w:rPr>
          <w:rFonts w:ascii="微软雅黑" w:hAnsi="微软雅黑" w:hint="eastAsia"/>
          <w:b/>
        </w:rPr>
        <w:t>第三阶段，从2010年开始</w:t>
      </w:r>
      <w:r>
        <w:rPr>
          <w:rFonts w:ascii="微软雅黑" w:hAnsi="微软雅黑" w:hint="eastAsia"/>
        </w:rPr>
        <w:t>，我们借助资本的力量，引进风险投资，通过并购整合十几家公司，开始为包括职校在内的各类院校提供校企合作、师资合作、教本教材出版、课程改革、精品课程建设等综合服务解决方案。</w:t>
      </w:r>
    </w:p>
    <w:p w:rsidR="00274826" w:rsidRDefault="00274826" w:rsidP="00274826">
      <w:pPr>
        <w:ind w:firstLineChars="200" w:firstLine="420"/>
        <w:rPr>
          <w:rFonts w:ascii="微软雅黑" w:hAnsi="微软雅黑"/>
        </w:rPr>
      </w:pPr>
      <w:r>
        <w:rPr>
          <w:rFonts w:ascii="微软雅黑" w:hAnsi="微软雅黑" w:hint="eastAsia"/>
        </w:rPr>
        <w:t>国泰安在教育服务方面拥有</w:t>
      </w:r>
      <w:r w:rsidRPr="00A5735A">
        <w:rPr>
          <w:rFonts w:ascii="微软雅黑" w:hAnsi="微软雅黑" w:hint="eastAsia"/>
          <w:b/>
        </w:rPr>
        <w:t>高、大、专、全</w:t>
      </w:r>
      <w:r>
        <w:rPr>
          <w:rFonts w:ascii="微软雅黑" w:hAnsi="微软雅黑" w:hint="eastAsia"/>
        </w:rPr>
        <w:t>四大优势：</w:t>
      </w:r>
    </w:p>
    <w:p w:rsidR="00274826" w:rsidRDefault="00274826" w:rsidP="00274826">
      <w:pPr>
        <w:ind w:firstLineChars="200" w:firstLine="420"/>
        <w:rPr>
          <w:rFonts w:ascii="微软雅黑" w:hAnsi="微软雅黑"/>
        </w:rPr>
      </w:pPr>
      <w:r w:rsidRPr="00C8163F">
        <w:rPr>
          <w:rFonts w:ascii="微软雅黑" w:hAnsi="微软雅黑" w:hint="eastAsia"/>
          <w:b/>
        </w:rPr>
        <w:t>高：</w:t>
      </w:r>
      <w:r>
        <w:rPr>
          <w:rFonts w:ascii="微软雅黑" w:hAnsi="微软雅黑" w:hint="eastAsia"/>
        </w:rPr>
        <w:t>国泰安高层丰富的教育行业背景，对教育独到的认识，使得国泰安业务思想、教育服务更能符合学校需求。国泰安公司管理团队懂教育，对教育服务有着深刻的理解，6名高管中有5个现在</w:t>
      </w:r>
      <w:proofErr w:type="gramStart"/>
      <w:r>
        <w:rPr>
          <w:rFonts w:ascii="微软雅黑" w:hAnsi="微软雅黑" w:hint="eastAsia"/>
        </w:rPr>
        <w:t>在</w:t>
      </w:r>
      <w:proofErr w:type="gramEnd"/>
      <w:r>
        <w:rPr>
          <w:rFonts w:ascii="微软雅黑" w:hAnsi="微软雅黑" w:hint="eastAsia"/>
        </w:rPr>
        <w:t>学校兼职教授。他们在管理与运作时始终保持一流的高度与品位，能做一行、专一行，13年积累的成果让国泰安成为了教育服务行业内的顶级企业。</w:t>
      </w:r>
    </w:p>
    <w:p w:rsidR="00274826" w:rsidRPr="004C1AA9" w:rsidRDefault="00274826" w:rsidP="00274826">
      <w:pPr>
        <w:ind w:firstLineChars="200" w:firstLine="420"/>
        <w:rPr>
          <w:rFonts w:ascii="微软雅黑" w:hAnsi="微软雅黑"/>
        </w:rPr>
      </w:pPr>
      <w:r w:rsidRPr="00AE4190">
        <w:rPr>
          <w:rFonts w:ascii="微软雅黑" w:hAnsi="微软雅黑" w:hint="eastAsia"/>
          <w:b/>
        </w:rPr>
        <w:t>大：</w:t>
      </w:r>
      <w:r>
        <w:rPr>
          <w:rFonts w:ascii="微软雅黑" w:hAnsi="微软雅黑" w:hint="eastAsia"/>
        </w:rPr>
        <w:t>目前，国泰安无论从规模、品牌、产品、资源、合作、服务等各方面来说都有绝对的优势和保障：公司有13年教育服务经验，1500多位专业人员组成的服务团队，</w:t>
      </w:r>
      <w:r w:rsidRPr="00AE4190">
        <w:rPr>
          <w:rFonts w:ascii="微软雅黑" w:hAnsi="微软雅黑" w:hint="eastAsia"/>
        </w:rPr>
        <w:t>600多名金融、物流、财会、创业、就业、工商管理、基础教育、医疗信息、装备制造、社会服务等各类专业教育产品策划师、机电工程师及IT工程师</w:t>
      </w:r>
      <w:r>
        <w:rPr>
          <w:rFonts w:ascii="微软雅黑" w:hAnsi="微软雅黑" w:hint="eastAsia"/>
        </w:rPr>
        <w:t>，</w:t>
      </w:r>
      <w:r w:rsidRPr="00AE4190">
        <w:rPr>
          <w:rFonts w:ascii="微软雅黑" w:hAnsi="微软雅黑" w:hint="eastAsia"/>
        </w:rPr>
        <w:t>100多位博士及海外留学生。</w:t>
      </w:r>
    </w:p>
    <w:p w:rsidR="00274826" w:rsidRDefault="00274826" w:rsidP="00274826">
      <w:pPr>
        <w:ind w:firstLineChars="200" w:firstLine="420"/>
        <w:rPr>
          <w:rFonts w:ascii="微软雅黑" w:hAnsi="微软雅黑"/>
        </w:rPr>
      </w:pPr>
      <w:r>
        <w:rPr>
          <w:rFonts w:ascii="微软雅黑" w:hAnsi="微软雅黑" w:hint="eastAsia"/>
          <w:b/>
        </w:rPr>
        <w:lastRenderedPageBreak/>
        <w:t>专</w:t>
      </w:r>
      <w:r w:rsidRPr="00C8163F">
        <w:rPr>
          <w:rFonts w:ascii="微软雅黑" w:hAnsi="微软雅黑" w:hint="eastAsia"/>
          <w:b/>
        </w:rPr>
        <w:t>：</w:t>
      </w:r>
      <w:r w:rsidRPr="00631219">
        <w:rPr>
          <w:rFonts w:ascii="微软雅黑" w:hAnsi="微软雅黑" w:hint="eastAsia"/>
        </w:rPr>
        <w:t>国泰安是致力成为学校与企业应用桥梁的专业服务公司，我们的专业化还表现在我们不光懂教育也懂</w:t>
      </w:r>
      <w:r>
        <w:rPr>
          <w:rFonts w:ascii="微软雅黑" w:hAnsi="微软雅黑" w:hint="eastAsia"/>
        </w:rPr>
        <w:t>企业，同时公司整合相关的资源一起来帮助学校解决学校中遇到的难题。拿公司的物流事业部为例：我们</w:t>
      </w:r>
      <w:r w:rsidRPr="00631219">
        <w:rPr>
          <w:rFonts w:ascii="微软雅黑" w:hAnsi="微软雅黑" w:hint="eastAsia"/>
        </w:rPr>
        <w:t>物流事业部中的专业人才，不光有来自高校高职的物流方面的专家、博士，我们还有来自企业有十多年工作</w:t>
      </w:r>
      <w:r>
        <w:rPr>
          <w:rFonts w:ascii="微软雅黑" w:hAnsi="微软雅黑" w:hint="eastAsia"/>
        </w:rPr>
        <w:t>经验</w:t>
      </w:r>
      <w:r w:rsidRPr="00631219">
        <w:rPr>
          <w:rFonts w:ascii="微软雅黑" w:hAnsi="微软雅黑" w:hint="eastAsia"/>
        </w:rPr>
        <w:t>的一线实操人才，另外由国泰安物流事业部牵头</w:t>
      </w:r>
      <w:r>
        <w:rPr>
          <w:rFonts w:ascii="微软雅黑" w:hAnsi="微软雅黑" w:hint="eastAsia"/>
        </w:rPr>
        <w:t>，涵盖</w:t>
      </w:r>
      <w:r w:rsidRPr="00631219">
        <w:rPr>
          <w:rFonts w:ascii="微软雅黑" w:hAnsi="微软雅黑" w:hint="eastAsia"/>
        </w:rPr>
        <w:t>广东省十几所高中职校</w:t>
      </w:r>
      <w:r>
        <w:rPr>
          <w:rFonts w:ascii="微软雅黑" w:hAnsi="微软雅黑" w:hint="eastAsia"/>
        </w:rPr>
        <w:t>以及包括</w:t>
      </w:r>
      <w:r w:rsidRPr="00631219">
        <w:rPr>
          <w:rFonts w:ascii="微软雅黑" w:hAnsi="微软雅黑" w:hint="eastAsia"/>
        </w:rPr>
        <w:t>风神</w:t>
      </w:r>
      <w:r>
        <w:rPr>
          <w:rFonts w:ascii="微软雅黑" w:hAnsi="微软雅黑" w:hint="eastAsia"/>
        </w:rPr>
        <w:t>物流、美化物流在内的十几所企业</w:t>
      </w:r>
      <w:r w:rsidRPr="00631219">
        <w:rPr>
          <w:rFonts w:ascii="微软雅黑" w:hAnsi="微软雅黑" w:hint="eastAsia"/>
        </w:rPr>
        <w:t>成立</w:t>
      </w:r>
      <w:r>
        <w:rPr>
          <w:rFonts w:ascii="微软雅黑" w:hAnsi="微软雅黑" w:hint="eastAsia"/>
        </w:rPr>
        <w:t>了</w:t>
      </w:r>
      <w:r w:rsidRPr="00631219">
        <w:rPr>
          <w:rFonts w:ascii="微软雅黑" w:hAnsi="微软雅黑" w:hint="eastAsia"/>
        </w:rPr>
        <w:t>广东省物流产业联盟，专</w:t>
      </w:r>
      <w:r>
        <w:rPr>
          <w:rFonts w:ascii="微软雅黑" w:hAnsi="微软雅黑" w:hint="eastAsia"/>
        </w:rPr>
        <w:t>门</w:t>
      </w:r>
      <w:r w:rsidRPr="00631219">
        <w:rPr>
          <w:rFonts w:ascii="微软雅黑" w:hAnsi="微软雅黑" w:hint="eastAsia"/>
        </w:rPr>
        <w:t>研究学校的物流专业设置如何</w:t>
      </w:r>
      <w:r>
        <w:rPr>
          <w:rFonts w:ascii="微软雅黑" w:hAnsi="微软雅黑" w:hint="eastAsia"/>
        </w:rPr>
        <w:t>与</w:t>
      </w:r>
      <w:r w:rsidRPr="00631219">
        <w:rPr>
          <w:rFonts w:ascii="微软雅黑" w:hAnsi="微软雅黑" w:hint="eastAsia"/>
        </w:rPr>
        <w:t>国家经济及区域经济匹配，物流实</w:t>
      </w:r>
      <w:proofErr w:type="gramStart"/>
      <w:r w:rsidRPr="00631219">
        <w:rPr>
          <w:rFonts w:ascii="微软雅黑" w:hAnsi="微软雅黑" w:hint="eastAsia"/>
        </w:rPr>
        <w:t>训设备</w:t>
      </w:r>
      <w:proofErr w:type="gramEnd"/>
      <w:r w:rsidRPr="00631219">
        <w:rPr>
          <w:rFonts w:ascii="微软雅黑" w:hAnsi="微软雅黑" w:hint="eastAsia"/>
        </w:rPr>
        <w:t>及课程如何编撰才能真正帮助学生将来与企业应用相一致等等，同时国泰安正在落实各</w:t>
      </w:r>
      <w:r>
        <w:rPr>
          <w:rFonts w:ascii="微软雅黑" w:hAnsi="微软雅黑" w:hint="eastAsia"/>
        </w:rPr>
        <w:t>学科</w:t>
      </w:r>
      <w:r w:rsidRPr="00631219">
        <w:rPr>
          <w:rFonts w:ascii="微软雅黑" w:hAnsi="微软雅黑" w:hint="eastAsia"/>
        </w:rPr>
        <w:t>的专家顾问近百名，以及依托中国教育创新研究院、职业教育研究院引进的100名博士，助力相关学校的专业学科提升。</w:t>
      </w:r>
    </w:p>
    <w:p w:rsidR="00274826" w:rsidRPr="00054F5C" w:rsidRDefault="00274826" w:rsidP="00274826">
      <w:pPr>
        <w:ind w:firstLineChars="200" w:firstLine="420"/>
        <w:rPr>
          <w:rFonts w:ascii="微软雅黑" w:hAnsi="微软雅黑"/>
          <w:b/>
        </w:rPr>
      </w:pPr>
      <w:r>
        <w:rPr>
          <w:rFonts w:ascii="微软雅黑" w:hAnsi="微软雅黑" w:hint="eastAsia"/>
          <w:b/>
        </w:rPr>
        <w:t>全：</w:t>
      </w:r>
      <w:r>
        <w:rPr>
          <w:rFonts w:ascii="微软雅黑" w:hAnsi="微软雅黑" w:hint="eastAsia"/>
        </w:rPr>
        <w:t>国泰安实行专业化事业部制，5大事业</w:t>
      </w:r>
      <w:proofErr w:type="gramStart"/>
      <w:r>
        <w:rPr>
          <w:rFonts w:ascii="微软雅黑" w:hAnsi="微软雅黑" w:hint="eastAsia"/>
        </w:rPr>
        <w:t>部群近</w:t>
      </w:r>
      <w:proofErr w:type="gramEnd"/>
      <w:r>
        <w:rPr>
          <w:rFonts w:ascii="微软雅黑" w:hAnsi="微软雅黑" w:hint="eastAsia"/>
        </w:rPr>
        <w:t>40个专业学科的专业人员及专家顾问团及校企合作联盟的背景，几乎覆盖了中</w:t>
      </w:r>
      <w:proofErr w:type="gramStart"/>
      <w:r>
        <w:rPr>
          <w:rFonts w:ascii="微软雅黑" w:hAnsi="微软雅黑" w:hint="eastAsia"/>
        </w:rPr>
        <w:t>职核心</w:t>
      </w:r>
      <w:proofErr w:type="gramEnd"/>
      <w:r>
        <w:rPr>
          <w:rFonts w:ascii="微软雅黑" w:hAnsi="微软雅黑" w:hint="eastAsia"/>
        </w:rPr>
        <w:t>专业。5大</w:t>
      </w:r>
      <w:proofErr w:type="gramStart"/>
      <w:r>
        <w:rPr>
          <w:rFonts w:ascii="微软雅黑" w:hAnsi="微软雅黑" w:hint="eastAsia"/>
        </w:rPr>
        <w:t>事业部群分别</w:t>
      </w:r>
      <w:proofErr w:type="gramEnd"/>
      <w:r>
        <w:rPr>
          <w:rFonts w:ascii="微软雅黑" w:hAnsi="微软雅黑" w:hint="eastAsia"/>
        </w:rPr>
        <w:t>是</w:t>
      </w:r>
      <w:proofErr w:type="gramStart"/>
      <w:r>
        <w:rPr>
          <w:rFonts w:ascii="微软雅黑" w:hAnsi="微软雅黑" w:hint="eastAsia"/>
        </w:rPr>
        <w:t>泛金融</w:t>
      </w:r>
      <w:proofErr w:type="gramEnd"/>
      <w:r>
        <w:rPr>
          <w:rFonts w:ascii="微软雅黑" w:hAnsi="微软雅黑" w:hint="eastAsia"/>
        </w:rPr>
        <w:t>事业部群、工商管理事业部群、教育信息化事业部群、理工科</w:t>
      </w:r>
      <w:proofErr w:type="gramStart"/>
      <w:r>
        <w:rPr>
          <w:rFonts w:ascii="微软雅黑" w:hAnsi="微软雅黑" w:hint="eastAsia"/>
        </w:rPr>
        <w:t>事业部群和</w:t>
      </w:r>
      <w:proofErr w:type="gramEnd"/>
      <w:r>
        <w:rPr>
          <w:rFonts w:ascii="微软雅黑" w:hAnsi="微软雅黑" w:hint="eastAsia"/>
        </w:rPr>
        <w:t>创业就业事业部群，其中理工科</w:t>
      </w:r>
      <w:proofErr w:type="gramStart"/>
      <w:r>
        <w:rPr>
          <w:rFonts w:ascii="微软雅黑" w:hAnsi="微软雅黑" w:hint="eastAsia"/>
        </w:rPr>
        <w:t>事业部群又</w:t>
      </w:r>
      <w:proofErr w:type="gramEnd"/>
      <w:r>
        <w:rPr>
          <w:rFonts w:ascii="微软雅黑" w:hAnsi="微软雅黑" w:hint="eastAsia"/>
        </w:rPr>
        <w:t>包括了机电工程教育事业部、汽车教育事业部、物联网教育事业部和综合理工教育事业部等。未来，我们的</w:t>
      </w:r>
      <w:proofErr w:type="gramStart"/>
      <w:r>
        <w:rPr>
          <w:rFonts w:ascii="微软雅黑" w:hAnsi="微软雅黑" w:hint="eastAsia"/>
        </w:rPr>
        <w:t>事业部群还</w:t>
      </w:r>
      <w:proofErr w:type="gramEnd"/>
      <w:r>
        <w:rPr>
          <w:rFonts w:ascii="微软雅黑" w:hAnsi="微软雅黑" w:hint="eastAsia"/>
        </w:rPr>
        <w:t>会继续扩张以满足更多专业的教育服务。</w:t>
      </w:r>
    </w:p>
    <w:p w:rsidR="00274826" w:rsidRPr="00637D72" w:rsidRDefault="00274826" w:rsidP="00637D72">
      <w:pPr>
        <w:ind w:firstLineChars="200" w:firstLine="420"/>
        <w:rPr>
          <w:rFonts w:ascii="微软雅黑" w:hAnsi="微软雅黑"/>
        </w:rPr>
      </w:pPr>
      <w:r>
        <w:rPr>
          <w:rFonts w:ascii="微软雅黑" w:hAnsi="微软雅黑" w:hint="eastAsia"/>
        </w:rPr>
        <w:t>综上所述，通过十三年的经验沉淀，国泰安已经成为了教育服务领域内的领先企业。在高端专业化人才团队的努力下，通过前沿的教育理念，先进的硬件设备、创新的软件设施和多元的增值服务为中国教育提供全面完善的咨询服务。</w:t>
      </w:r>
    </w:p>
    <w:p w:rsidR="002605B5" w:rsidRDefault="002605B5" w:rsidP="00057191">
      <w:pPr>
        <w:pStyle w:val="1"/>
        <w:spacing w:before="624" w:after="312"/>
        <w:rPr>
          <w:sz w:val="21"/>
        </w:rPr>
      </w:pPr>
      <w:r w:rsidRPr="002E13F6">
        <w:rPr>
          <w:rFonts w:hint="eastAsia"/>
        </w:rPr>
        <w:t>二、</w:t>
      </w:r>
      <w:r w:rsidR="007B5826">
        <w:rPr>
          <w:rFonts w:hint="eastAsia"/>
        </w:rPr>
        <w:t>背景介绍</w:t>
      </w:r>
    </w:p>
    <w:p w:rsidR="00761780" w:rsidRPr="00761780" w:rsidRDefault="00761780" w:rsidP="00761780">
      <w:pPr>
        <w:ind w:firstLine="405"/>
        <w:rPr>
          <w:b/>
          <w:color w:val="FF0000"/>
          <w:sz w:val="22"/>
        </w:rPr>
      </w:pPr>
      <w:r w:rsidRPr="00761780">
        <w:rPr>
          <w:rFonts w:hint="eastAsia"/>
          <w:b/>
          <w:color w:val="FF0000"/>
          <w:sz w:val="22"/>
        </w:rPr>
        <w:t>要点：</w:t>
      </w:r>
      <w:r w:rsidRPr="00761780">
        <w:rPr>
          <w:rFonts w:hint="eastAsia"/>
          <w:b/>
          <w:color w:val="FF0000"/>
          <w:sz w:val="22"/>
        </w:rPr>
        <w:t>1.</w:t>
      </w:r>
      <w:r>
        <w:rPr>
          <w:rFonts w:hint="eastAsia"/>
          <w:b/>
          <w:color w:val="FF0000"/>
          <w:sz w:val="22"/>
        </w:rPr>
        <w:t>介绍相关专业领域的发展情况，显示我们在这一方面是有研究准备的</w:t>
      </w:r>
    </w:p>
    <w:p w:rsidR="00761780" w:rsidRPr="00600EA4" w:rsidRDefault="00761780" w:rsidP="00600EA4">
      <w:pPr>
        <w:ind w:firstLine="405"/>
        <w:rPr>
          <w:b/>
          <w:color w:val="FF0000"/>
          <w:sz w:val="22"/>
        </w:rPr>
      </w:pPr>
      <w:r w:rsidRPr="00761780">
        <w:rPr>
          <w:rFonts w:hint="eastAsia"/>
          <w:b/>
          <w:color w:val="FF0000"/>
          <w:sz w:val="22"/>
        </w:rPr>
        <w:t xml:space="preserve">      2.</w:t>
      </w:r>
      <w:r>
        <w:rPr>
          <w:rFonts w:hint="eastAsia"/>
          <w:b/>
          <w:color w:val="FF0000"/>
          <w:sz w:val="22"/>
        </w:rPr>
        <w:t>从大局着手分析客户在该种背景下的处境和同行面临的普遍问题</w:t>
      </w:r>
    </w:p>
    <w:p w:rsidR="002605B5" w:rsidRDefault="002605B5" w:rsidP="00B506DE">
      <w:pPr>
        <w:pStyle w:val="1"/>
        <w:spacing w:before="624" w:after="312"/>
        <w:rPr>
          <w:sz w:val="21"/>
        </w:rPr>
      </w:pPr>
      <w:r w:rsidRPr="002E13F6">
        <w:rPr>
          <w:rFonts w:hint="eastAsia"/>
        </w:rPr>
        <w:t>三、</w:t>
      </w:r>
      <w:r w:rsidR="002775A8">
        <w:rPr>
          <w:rFonts w:hint="eastAsia"/>
        </w:rPr>
        <w:t>客户</w:t>
      </w:r>
      <w:r w:rsidR="00756135">
        <w:rPr>
          <w:rFonts w:hint="eastAsia"/>
        </w:rPr>
        <w:t>分析</w:t>
      </w:r>
      <w:r w:rsidR="00756135" w:rsidRPr="00756135">
        <w:rPr>
          <w:rFonts w:hint="eastAsia"/>
          <w:sz w:val="21"/>
        </w:rPr>
        <w:t>（</w:t>
      </w:r>
      <w:r w:rsidR="00756135">
        <w:rPr>
          <w:rFonts w:hint="eastAsia"/>
          <w:sz w:val="21"/>
        </w:rPr>
        <w:t>分析客户的优势、痛点和需求</w:t>
      </w:r>
      <w:r w:rsidR="00756135" w:rsidRPr="00756135">
        <w:rPr>
          <w:rFonts w:hint="eastAsia"/>
          <w:sz w:val="21"/>
        </w:rPr>
        <w:t>）</w:t>
      </w:r>
    </w:p>
    <w:p w:rsidR="00761780" w:rsidRPr="00761780" w:rsidRDefault="00761780" w:rsidP="00761780">
      <w:pPr>
        <w:ind w:firstLine="405"/>
        <w:rPr>
          <w:b/>
          <w:color w:val="FF0000"/>
          <w:sz w:val="22"/>
        </w:rPr>
      </w:pPr>
      <w:r w:rsidRPr="00761780">
        <w:rPr>
          <w:rFonts w:hint="eastAsia"/>
          <w:b/>
          <w:color w:val="FF0000"/>
          <w:sz w:val="22"/>
        </w:rPr>
        <w:t>要点：</w:t>
      </w:r>
      <w:r w:rsidRPr="00761780">
        <w:rPr>
          <w:rFonts w:hint="eastAsia"/>
          <w:b/>
          <w:color w:val="FF0000"/>
          <w:sz w:val="22"/>
        </w:rPr>
        <w:t>1.</w:t>
      </w:r>
      <w:r>
        <w:rPr>
          <w:rFonts w:hint="eastAsia"/>
          <w:b/>
          <w:color w:val="FF0000"/>
          <w:sz w:val="22"/>
        </w:rPr>
        <w:t>分析客户的优势，</w:t>
      </w:r>
      <w:r w:rsidR="009F1019">
        <w:rPr>
          <w:rFonts w:hint="eastAsia"/>
          <w:b/>
          <w:color w:val="FF0000"/>
          <w:sz w:val="22"/>
        </w:rPr>
        <w:t>通过赞赏基于客户在该项目上的信心</w:t>
      </w:r>
    </w:p>
    <w:p w:rsidR="00761780" w:rsidRDefault="00761780" w:rsidP="00761780">
      <w:pPr>
        <w:ind w:firstLine="405"/>
        <w:rPr>
          <w:b/>
          <w:color w:val="FF0000"/>
          <w:sz w:val="22"/>
        </w:rPr>
      </w:pPr>
      <w:r w:rsidRPr="00761780">
        <w:rPr>
          <w:rFonts w:hint="eastAsia"/>
          <w:b/>
          <w:color w:val="FF0000"/>
          <w:sz w:val="22"/>
        </w:rPr>
        <w:t xml:space="preserve">      2.</w:t>
      </w:r>
      <w:r w:rsidR="009F1019">
        <w:rPr>
          <w:rFonts w:hint="eastAsia"/>
          <w:b/>
          <w:color w:val="FF0000"/>
          <w:sz w:val="22"/>
        </w:rPr>
        <w:t>分析客户的痛点，以协助而非攻击的视角分析客户面临的困惑和难题</w:t>
      </w:r>
    </w:p>
    <w:p w:rsidR="007862D8" w:rsidRPr="009F1019" w:rsidRDefault="009F1019" w:rsidP="007862D8">
      <w:pPr>
        <w:ind w:firstLine="405"/>
        <w:rPr>
          <w:b/>
          <w:color w:val="FF0000"/>
          <w:sz w:val="22"/>
        </w:rPr>
      </w:pPr>
      <w:r>
        <w:rPr>
          <w:rFonts w:hint="eastAsia"/>
          <w:b/>
          <w:color w:val="FF0000"/>
          <w:sz w:val="22"/>
        </w:rPr>
        <w:t xml:space="preserve">      3.</w:t>
      </w:r>
      <w:r>
        <w:rPr>
          <w:rFonts w:hint="eastAsia"/>
          <w:b/>
          <w:color w:val="FF0000"/>
          <w:sz w:val="22"/>
        </w:rPr>
        <w:t>分析客户的需求，以解决思路为导向切中客户需求，提供客户出路</w:t>
      </w:r>
    </w:p>
    <w:p w:rsidR="00A83C4F" w:rsidRDefault="00756135" w:rsidP="00057191">
      <w:pPr>
        <w:pStyle w:val="2"/>
        <w:spacing w:before="312" w:after="156"/>
      </w:pPr>
      <w:r>
        <w:rPr>
          <w:rFonts w:hint="eastAsia"/>
        </w:rPr>
        <w:t>1.</w:t>
      </w:r>
      <w:r w:rsidR="003E6CE8">
        <w:rPr>
          <w:rFonts w:hint="eastAsia"/>
        </w:rPr>
        <w:t>客户优势</w:t>
      </w:r>
      <w:r w:rsidR="00A83C4F" w:rsidRPr="00A83C4F">
        <w:rPr>
          <w:rFonts w:hint="eastAsia"/>
        </w:rPr>
        <w:t>：</w:t>
      </w:r>
    </w:p>
    <w:p w:rsidR="007862D8" w:rsidRPr="007862D8" w:rsidRDefault="007862D8" w:rsidP="007862D8"/>
    <w:p w:rsidR="0023727A" w:rsidRDefault="00756135" w:rsidP="00057191">
      <w:pPr>
        <w:pStyle w:val="2"/>
        <w:spacing w:before="312" w:after="156"/>
      </w:pPr>
      <w:r>
        <w:rPr>
          <w:rFonts w:hint="eastAsia"/>
        </w:rPr>
        <w:lastRenderedPageBreak/>
        <w:t>2.</w:t>
      </w:r>
      <w:r w:rsidR="003E6CE8">
        <w:rPr>
          <w:rFonts w:hint="eastAsia"/>
        </w:rPr>
        <w:t>客户不足</w:t>
      </w:r>
      <w:r w:rsidR="00637D72">
        <w:rPr>
          <w:rFonts w:hint="eastAsia"/>
        </w:rPr>
        <w:t>/</w:t>
      </w:r>
      <w:r w:rsidR="00637D72">
        <w:rPr>
          <w:rFonts w:hint="eastAsia"/>
        </w:rPr>
        <w:t>客户痛点</w:t>
      </w:r>
      <w:r w:rsidR="0023727A" w:rsidRPr="00A83C4F">
        <w:rPr>
          <w:rFonts w:hint="eastAsia"/>
        </w:rPr>
        <w:t>：</w:t>
      </w:r>
    </w:p>
    <w:p w:rsidR="0023727A" w:rsidRDefault="00756135" w:rsidP="00057191">
      <w:pPr>
        <w:pStyle w:val="2"/>
        <w:spacing w:before="312" w:after="156"/>
      </w:pPr>
      <w:r>
        <w:rPr>
          <w:rFonts w:hint="eastAsia"/>
        </w:rPr>
        <w:t>3.</w:t>
      </w:r>
      <w:r w:rsidR="003E6CE8">
        <w:rPr>
          <w:rFonts w:hint="eastAsia"/>
        </w:rPr>
        <w:t>客户需求</w:t>
      </w:r>
      <w:r w:rsidR="0023727A" w:rsidRPr="00A83C4F">
        <w:rPr>
          <w:rFonts w:hint="eastAsia"/>
        </w:rPr>
        <w:t>：</w:t>
      </w:r>
    </w:p>
    <w:p w:rsidR="00CF6D6F" w:rsidRDefault="002605B5" w:rsidP="007C6866">
      <w:pPr>
        <w:pStyle w:val="1"/>
        <w:spacing w:before="624" w:after="312"/>
      </w:pPr>
      <w:r w:rsidRPr="002E13F6">
        <w:rPr>
          <w:rFonts w:hint="eastAsia"/>
        </w:rPr>
        <w:t>四、</w:t>
      </w:r>
      <w:r w:rsidR="00FD0096">
        <w:rPr>
          <w:rFonts w:hint="eastAsia"/>
        </w:rPr>
        <w:t>方案</w:t>
      </w:r>
      <w:r w:rsidR="009103F0">
        <w:rPr>
          <w:rFonts w:hint="eastAsia"/>
        </w:rPr>
        <w:t>介绍</w:t>
      </w:r>
    </w:p>
    <w:p w:rsidR="009F1019" w:rsidRPr="009F1019" w:rsidRDefault="009F1019" w:rsidP="009F1019">
      <w:pPr>
        <w:ind w:firstLine="405"/>
        <w:rPr>
          <w:b/>
          <w:color w:val="FF0000"/>
          <w:sz w:val="22"/>
        </w:rPr>
      </w:pPr>
      <w:r w:rsidRPr="009F1019">
        <w:rPr>
          <w:rFonts w:hint="eastAsia"/>
          <w:b/>
          <w:color w:val="FF0000"/>
          <w:sz w:val="22"/>
        </w:rPr>
        <w:t>要点：</w:t>
      </w:r>
      <w:r w:rsidRPr="009F1019">
        <w:rPr>
          <w:rFonts w:hint="eastAsia"/>
          <w:b/>
          <w:color w:val="FF0000"/>
          <w:sz w:val="22"/>
        </w:rPr>
        <w:t>1.</w:t>
      </w:r>
      <w:r>
        <w:rPr>
          <w:rFonts w:hint="eastAsia"/>
          <w:b/>
          <w:color w:val="FF0000"/>
          <w:sz w:val="22"/>
        </w:rPr>
        <w:t>500</w:t>
      </w:r>
      <w:r>
        <w:rPr>
          <w:rFonts w:hint="eastAsia"/>
          <w:b/>
          <w:color w:val="FF0000"/>
          <w:sz w:val="22"/>
        </w:rPr>
        <w:t>字左右的篇幅对项目进行简述，让客户形成初步印象</w:t>
      </w:r>
    </w:p>
    <w:p w:rsidR="009F1019" w:rsidRDefault="009F1019" w:rsidP="009F1019">
      <w:pPr>
        <w:ind w:firstLine="405"/>
        <w:rPr>
          <w:b/>
          <w:color w:val="FF0000"/>
          <w:sz w:val="22"/>
        </w:rPr>
      </w:pPr>
      <w:r w:rsidRPr="009F1019">
        <w:rPr>
          <w:rFonts w:hint="eastAsia"/>
          <w:b/>
          <w:color w:val="FF0000"/>
          <w:sz w:val="22"/>
        </w:rPr>
        <w:t xml:space="preserve">      2.</w:t>
      </w:r>
      <w:r w:rsidR="00DA651E">
        <w:rPr>
          <w:rFonts w:hint="eastAsia"/>
          <w:b/>
          <w:color w:val="FF0000"/>
          <w:sz w:val="22"/>
        </w:rPr>
        <w:t>着重介绍方案的优势特色，引起客户的兴趣和关注</w:t>
      </w:r>
    </w:p>
    <w:p w:rsidR="00DA651E" w:rsidRPr="00DA651E" w:rsidRDefault="00DA651E" w:rsidP="009F1019">
      <w:pPr>
        <w:ind w:firstLine="405"/>
        <w:rPr>
          <w:b/>
          <w:color w:val="FF0000"/>
          <w:sz w:val="22"/>
        </w:rPr>
      </w:pPr>
      <w:r>
        <w:rPr>
          <w:rFonts w:hint="eastAsia"/>
          <w:b/>
          <w:color w:val="FF0000"/>
          <w:sz w:val="22"/>
        </w:rPr>
        <w:t xml:space="preserve">      3.</w:t>
      </w:r>
      <w:r>
        <w:rPr>
          <w:rFonts w:hint="eastAsia"/>
          <w:b/>
          <w:color w:val="FF0000"/>
          <w:sz w:val="22"/>
        </w:rPr>
        <w:t>落地实施，</w:t>
      </w:r>
      <w:r w:rsidR="0009211A">
        <w:rPr>
          <w:rFonts w:hint="eastAsia"/>
          <w:b/>
          <w:color w:val="FF0000"/>
          <w:sz w:val="22"/>
        </w:rPr>
        <w:t>强调</w:t>
      </w:r>
      <w:r w:rsidR="0009211A">
        <w:rPr>
          <w:rFonts w:hint="eastAsia"/>
          <w:b/>
          <w:color w:val="FF0000"/>
          <w:sz w:val="22"/>
        </w:rPr>
        <w:t>GTA</w:t>
      </w:r>
      <w:r w:rsidR="0009211A">
        <w:rPr>
          <w:rFonts w:hint="eastAsia"/>
          <w:b/>
          <w:color w:val="FF0000"/>
          <w:sz w:val="22"/>
        </w:rPr>
        <w:t>先进的整合理念是怎样落地实施的</w:t>
      </w:r>
    </w:p>
    <w:p w:rsidR="0010385A" w:rsidRDefault="0010385A" w:rsidP="0010385A">
      <w:pPr>
        <w:pStyle w:val="2"/>
        <w:spacing w:before="312" w:after="156"/>
      </w:pPr>
      <w:r>
        <w:rPr>
          <w:rFonts w:hint="eastAsia"/>
        </w:rPr>
        <w:t>1.</w:t>
      </w:r>
      <w:r>
        <w:rPr>
          <w:rFonts w:hint="eastAsia"/>
        </w:rPr>
        <w:t>方案</w:t>
      </w:r>
      <w:r w:rsidR="00AB04F9">
        <w:rPr>
          <w:rFonts w:hint="eastAsia"/>
        </w:rPr>
        <w:t>简述</w:t>
      </w:r>
      <w:r w:rsidRPr="00A83C4F">
        <w:rPr>
          <w:rFonts w:hint="eastAsia"/>
        </w:rPr>
        <w:t>：</w:t>
      </w:r>
    </w:p>
    <w:p w:rsidR="00DA651E" w:rsidRDefault="0010385A" w:rsidP="0010385A">
      <w:pPr>
        <w:pStyle w:val="2"/>
        <w:spacing w:before="312" w:after="156"/>
      </w:pPr>
      <w:r>
        <w:rPr>
          <w:rFonts w:hint="eastAsia"/>
        </w:rPr>
        <w:t>2.</w:t>
      </w:r>
      <w:r>
        <w:rPr>
          <w:rFonts w:hint="eastAsia"/>
        </w:rPr>
        <w:t>优势特色</w:t>
      </w:r>
      <w:r w:rsidR="00DA651E">
        <w:rPr>
          <w:rFonts w:hint="eastAsia"/>
        </w:rPr>
        <w:t>：</w:t>
      </w:r>
    </w:p>
    <w:p w:rsidR="0010385A" w:rsidRDefault="00DA651E" w:rsidP="0010385A">
      <w:pPr>
        <w:pStyle w:val="2"/>
        <w:spacing w:before="312" w:after="156"/>
      </w:pPr>
      <w:r>
        <w:rPr>
          <w:rFonts w:hint="eastAsia"/>
        </w:rPr>
        <w:t>3.</w:t>
      </w:r>
      <w:r w:rsidR="00AB04F9">
        <w:rPr>
          <w:rFonts w:hint="eastAsia"/>
        </w:rPr>
        <w:t>落地支持</w:t>
      </w:r>
      <w:r w:rsidR="0010385A" w:rsidRPr="00A83C4F">
        <w:rPr>
          <w:rFonts w:hint="eastAsia"/>
        </w:rPr>
        <w:t>：</w:t>
      </w:r>
    </w:p>
    <w:p w:rsidR="007C6866" w:rsidRDefault="00691ACB" w:rsidP="007C6866">
      <w:pPr>
        <w:pStyle w:val="1"/>
        <w:spacing w:before="624" w:after="312"/>
      </w:pPr>
      <w:r>
        <w:rPr>
          <w:rFonts w:hint="eastAsia"/>
        </w:rPr>
        <w:t>六</w:t>
      </w:r>
      <w:r w:rsidR="007C6866" w:rsidRPr="002E13F6">
        <w:rPr>
          <w:rFonts w:hint="eastAsia"/>
        </w:rPr>
        <w:t>、</w:t>
      </w:r>
      <w:r w:rsidR="00E43787">
        <w:rPr>
          <w:rFonts w:hint="eastAsia"/>
        </w:rPr>
        <w:t>GTA</w:t>
      </w:r>
      <w:r w:rsidR="00E43787">
        <w:rPr>
          <w:rFonts w:hint="eastAsia"/>
        </w:rPr>
        <w:t>优势</w:t>
      </w:r>
    </w:p>
    <w:p w:rsidR="00600EA4" w:rsidRPr="00600EA4" w:rsidRDefault="00600EA4" w:rsidP="00691ACB">
      <w:pPr>
        <w:ind w:firstLine="405"/>
        <w:rPr>
          <w:b/>
          <w:color w:val="FF0000"/>
          <w:sz w:val="22"/>
        </w:rPr>
      </w:pPr>
      <w:r w:rsidRPr="009F1019">
        <w:rPr>
          <w:rFonts w:hint="eastAsia"/>
          <w:b/>
          <w:color w:val="FF0000"/>
          <w:sz w:val="22"/>
        </w:rPr>
        <w:t>要点：</w:t>
      </w:r>
      <w:r w:rsidR="00691ACB">
        <w:rPr>
          <w:rFonts w:hint="eastAsia"/>
          <w:b/>
          <w:color w:val="FF0000"/>
          <w:sz w:val="22"/>
        </w:rPr>
        <w:t>1</w:t>
      </w:r>
      <w:r>
        <w:rPr>
          <w:rFonts w:hint="eastAsia"/>
          <w:b/>
          <w:color w:val="FF0000"/>
          <w:sz w:val="22"/>
        </w:rPr>
        <w:t>.</w:t>
      </w:r>
      <w:r>
        <w:rPr>
          <w:rFonts w:hint="eastAsia"/>
          <w:b/>
          <w:color w:val="FF0000"/>
          <w:sz w:val="22"/>
        </w:rPr>
        <w:t>成功案例可参考作战地图</w:t>
      </w:r>
    </w:p>
    <w:p w:rsidR="003733C0" w:rsidRDefault="00691ACB" w:rsidP="00691ACB">
      <w:pPr>
        <w:pStyle w:val="2"/>
        <w:spacing w:before="312" w:after="156"/>
      </w:pPr>
      <w:r w:rsidRPr="00691ACB">
        <w:rPr>
          <w:rFonts w:hint="eastAsia"/>
          <w:b w:val="0"/>
          <w:bCs w:val="0"/>
        </w:rPr>
        <w:t>1.</w:t>
      </w:r>
      <w:r w:rsidR="003733C0">
        <w:rPr>
          <w:rFonts w:hint="eastAsia"/>
        </w:rPr>
        <w:t>GTA</w:t>
      </w:r>
      <w:r>
        <w:rPr>
          <w:rFonts w:hint="eastAsia"/>
        </w:rPr>
        <w:t>优势</w:t>
      </w:r>
      <w:r w:rsidR="003733C0" w:rsidRPr="00A83C4F">
        <w:rPr>
          <w:rFonts w:hint="eastAsia"/>
        </w:rPr>
        <w:t>：</w:t>
      </w:r>
    </w:p>
    <w:p w:rsidR="00691ACB" w:rsidRDefault="00691ACB" w:rsidP="00AE1E5B">
      <w:pPr>
        <w:spacing w:beforeLines="50" w:before="156"/>
        <w:ind w:left="7" w:firstLineChars="196" w:firstLine="412"/>
        <w:rPr>
          <w:rFonts w:ascii="微软雅黑" w:hAnsi="微软雅黑"/>
        </w:rPr>
      </w:pPr>
      <w:r w:rsidRPr="00AD56FD">
        <w:rPr>
          <w:rFonts w:ascii="微软雅黑" w:hAnsi="微软雅黑" w:hint="eastAsia"/>
        </w:rPr>
        <w:t>国泰安信息技术有限公司作为国家科技部重点支持的教育高新科技龙头企业，业务覆盖中国高等教育、职业教育、基础教育及高端金融服务领域，一直致力于为政府单位、教育机构、合作院校提供整体的创新型实验实训及特色式学科人才共建整体解决方案。国泰安具有丰富的项目实施经验以及成熟丰富的实验实训产品，已经为北大、清华、</w:t>
      </w:r>
      <w:r>
        <w:rPr>
          <w:rFonts w:ascii="微软雅黑" w:hAnsi="微软雅黑" w:hint="eastAsia"/>
        </w:rPr>
        <w:t>复旦、浙大、</w:t>
      </w:r>
      <w:r w:rsidRPr="00AD56FD">
        <w:rPr>
          <w:rFonts w:ascii="微软雅黑" w:hAnsi="微软雅黑" w:hint="eastAsia"/>
        </w:rPr>
        <w:t>上海交大、厦门大学、上海应用学院、厦门城市职业学院、浙江工贸职业技术学院</w:t>
      </w:r>
      <w:r>
        <w:rPr>
          <w:rFonts w:ascii="微软雅黑" w:hAnsi="微软雅黑" w:hint="eastAsia"/>
        </w:rPr>
        <w:t>、宁波大红</w:t>
      </w:r>
      <w:proofErr w:type="gramStart"/>
      <w:r>
        <w:rPr>
          <w:rFonts w:ascii="微软雅黑" w:hAnsi="微软雅黑" w:hint="eastAsia"/>
        </w:rPr>
        <w:t>鹰</w:t>
      </w:r>
      <w:proofErr w:type="gramEnd"/>
      <w:r>
        <w:rPr>
          <w:rFonts w:ascii="微软雅黑" w:hAnsi="微软雅黑" w:hint="eastAsia"/>
        </w:rPr>
        <w:t>学院</w:t>
      </w:r>
      <w:r w:rsidRPr="00AD56FD">
        <w:rPr>
          <w:rFonts w:ascii="微软雅黑" w:hAnsi="微软雅黑" w:hint="eastAsia"/>
        </w:rPr>
        <w:t>、</w:t>
      </w:r>
      <w:proofErr w:type="gramStart"/>
      <w:r>
        <w:rPr>
          <w:rFonts w:ascii="微软雅黑" w:hAnsi="微软雅黑" w:hint="eastAsia"/>
        </w:rPr>
        <w:t>常州刘国钧高级</w:t>
      </w:r>
      <w:proofErr w:type="gramEnd"/>
      <w:r>
        <w:rPr>
          <w:rFonts w:ascii="微软雅黑" w:hAnsi="微软雅黑" w:hint="eastAsia"/>
        </w:rPr>
        <w:t>职业学校</w:t>
      </w:r>
      <w:r w:rsidRPr="00AD56FD">
        <w:rPr>
          <w:rFonts w:ascii="微软雅黑" w:hAnsi="微软雅黑" w:hint="eastAsia"/>
        </w:rPr>
        <w:t>等全国</w:t>
      </w:r>
      <w:r>
        <w:rPr>
          <w:rFonts w:ascii="微软雅黑" w:hAnsi="微软雅黑" w:hint="eastAsia"/>
        </w:rPr>
        <w:t>6</w:t>
      </w:r>
      <w:r w:rsidRPr="00AD56FD">
        <w:rPr>
          <w:rFonts w:ascii="微软雅黑" w:hAnsi="微软雅黑" w:hint="eastAsia"/>
        </w:rPr>
        <w:t>00多所高校和职业院校建设了各类</w:t>
      </w:r>
      <w:r>
        <w:rPr>
          <w:rFonts w:ascii="微软雅黑" w:hAnsi="微软雅黑" w:hint="eastAsia"/>
        </w:rPr>
        <w:t>综合实验室、</w:t>
      </w:r>
      <w:r w:rsidRPr="00AD56FD">
        <w:rPr>
          <w:rFonts w:ascii="微软雅黑" w:hAnsi="微软雅黑" w:hint="eastAsia"/>
        </w:rPr>
        <w:t>数字化校园平台、教学实训基地等。</w:t>
      </w:r>
    </w:p>
    <w:p w:rsidR="00691ACB" w:rsidRDefault="00691ACB" w:rsidP="00AE1E5B">
      <w:pPr>
        <w:spacing w:beforeLines="50" w:before="156"/>
        <w:ind w:left="7" w:firstLineChars="196" w:firstLine="412"/>
        <w:rPr>
          <w:rFonts w:ascii="微软雅黑" w:hAnsi="微软雅黑"/>
        </w:rPr>
      </w:pPr>
      <w:r w:rsidRPr="002345F3">
        <w:rPr>
          <w:rFonts w:ascii="微软雅黑" w:hAnsi="微软雅黑" w:hint="eastAsia"/>
        </w:rPr>
        <w:t>公司总部位于深圳，并在北京、上海、香港等20多个主要城市设置分支机构，营销网络覆盖全国。同时，业务已拓展到香港、台湾、韩国、日本、新加坡、美国、澳洲等世界各地。</w:t>
      </w:r>
      <w:r>
        <w:rPr>
          <w:rFonts w:ascii="微软雅黑" w:hAnsi="微软雅黑" w:hint="eastAsia"/>
        </w:rPr>
        <w:t>1500</w:t>
      </w:r>
      <w:r w:rsidRPr="002345F3">
        <w:rPr>
          <w:rFonts w:ascii="微软雅黑" w:hAnsi="微软雅黑" w:hint="eastAsia"/>
        </w:rPr>
        <w:t>多位员工以专业、敬业、踏实的服务精神而享誉教育界。国泰安通过定期客户回访、满意度调查、远程升级维护、现场技术支持等方式，不断优化提升我们的服务质量，给予客户最为优质的服务。通过提供产品售后使用培训、技术交流培训，以及合作办会、对外</w:t>
      </w:r>
      <w:r w:rsidRPr="002345F3">
        <w:rPr>
          <w:rFonts w:ascii="微软雅黑" w:hAnsi="微软雅黑" w:hint="eastAsia"/>
        </w:rPr>
        <w:lastRenderedPageBreak/>
        <w:t>培训、合作交流计划等一系列内容来提高客户的满意度，丰富对客户的增值服务，加强对国泰安的认可。</w:t>
      </w:r>
    </w:p>
    <w:p w:rsidR="00691ACB" w:rsidRPr="00AD56FD" w:rsidRDefault="00691ACB" w:rsidP="00AE1E5B">
      <w:pPr>
        <w:spacing w:beforeLines="50" w:before="156"/>
        <w:ind w:left="7" w:firstLineChars="196" w:firstLine="412"/>
        <w:rPr>
          <w:rFonts w:ascii="微软雅黑" w:hAnsi="微软雅黑"/>
        </w:rPr>
      </w:pPr>
    </w:p>
    <w:p w:rsidR="00691ACB" w:rsidRPr="002345F3" w:rsidRDefault="00691ACB" w:rsidP="00691ACB">
      <w:pPr>
        <w:pStyle w:val="a3"/>
        <w:widowControl/>
        <w:numPr>
          <w:ilvl w:val="0"/>
          <w:numId w:val="12"/>
        </w:numPr>
        <w:ind w:firstLineChars="0"/>
        <w:jc w:val="left"/>
        <w:rPr>
          <w:rFonts w:ascii="微软雅黑" w:hAnsi="微软雅黑"/>
          <w:szCs w:val="21"/>
        </w:rPr>
      </w:pPr>
      <w:r w:rsidRPr="006C5068">
        <w:rPr>
          <w:rFonts w:ascii="微软雅黑" w:hAnsi="微软雅黑" w:hint="eastAsia"/>
          <w:b/>
          <w:szCs w:val="21"/>
        </w:rPr>
        <w:t>产品优势：</w:t>
      </w:r>
      <w:r w:rsidRPr="002345F3">
        <w:rPr>
          <w:rFonts w:ascii="微软雅黑" w:hAnsi="微软雅黑" w:hint="eastAsia"/>
          <w:szCs w:val="21"/>
        </w:rPr>
        <w:t xml:space="preserve">国泰安已开发涵盖高校、高职、中职等领域40余个专业的实训产品，如：金融财会、商贸管理、信息技术、工程制造等，并不断整合国内外优质教育资源 </w:t>
      </w:r>
    </w:p>
    <w:p w:rsidR="00691ACB" w:rsidRPr="002345F3" w:rsidRDefault="00691ACB" w:rsidP="00691ACB">
      <w:pPr>
        <w:ind w:left="720"/>
        <w:rPr>
          <w:b/>
          <w:bCs/>
          <w:szCs w:val="21"/>
        </w:rPr>
      </w:pPr>
    </w:p>
    <w:p w:rsidR="00691ACB" w:rsidRPr="002345F3" w:rsidRDefault="00691ACB" w:rsidP="00691ACB">
      <w:pPr>
        <w:pStyle w:val="a3"/>
        <w:widowControl/>
        <w:numPr>
          <w:ilvl w:val="0"/>
          <w:numId w:val="12"/>
        </w:numPr>
        <w:ind w:firstLineChars="0"/>
        <w:jc w:val="left"/>
        <w:rPr>
          <w:rFonts w:ascii="微软雅黑" w:hAnsi="微软雅黑"/>
          <w:szCs w:val="21"/>
        </w:rPr>
      </w:pPr>
      <w:r w:rsidRPr="006C5068">
        <w:rPr>
          <w:rFonts w:ascii="微软雅黑" w:hAnsi="微软雅黑" w:hint="eastAsia"/>
          <w:b/>
          <w:szCs w:val="21"/>
        </w:rPr>
        <w:t>资源优势：</w:t>
      </w:r>
      <w:r w:rsidRPr="002345F3">
        <w:rPr>
          <w:rFonts w:ascii="微软雅黑" w:hAnsi="微软雅黑" w:hint="eastAsia"/>
          <w:szCs w:val="21"/>
        </w:rPr>
        <w:t xml:space="preserve">国泰安充分结合自身的专家、企业、协会、媒体等渠道，在专业教学资源建设上体现教育教学改革最新标准，构建最具特色的、开放共享型的教学资源库和精品课程平台，并持续进行资源更新和网络应用，带动教学模式和教学方法改革 </w:t>
      </w:r>
    </w:p>
    <w:p w:rsidR="00691ACB" w:rsidRPr="002345F3" w:rsidRDefault="00691ACB" w:rsidP="00691ACB">
      <w:pPr>
        <w:pStyle w:val="a3"/>
        <w:rPr>
          <w:rFonts w:ascii="微软雅黑" w:hAnsi="微软雅黑"/>
          <w:szCs w:val="21"/>
        </w:rPr>
      </w:pPr>
    </w:p>
    <w:p w:rsidR="00691ACB" w:rsidRPr="002345F3" w:rsidRDefault="00691ACB" w:rsidP="00691ACB">
      <w:pPr>
        <w:pStyle w:val="a3"/>
        <w:widowControl/>
        <w:numPr>
          <w:ilvl w:val="0"/>
          <w:numId w:val="12"/>
        </w:numPr>
        <w:ind w:firstLineChars="0"/>
        <w:jc w:val="left"/>
        <w:rPr>
          <w:rFonts w:ascii="微软雅黑" w:hAnsi="微软雅黑"/>
          <w:szCs w:val="21"/>
        </w:rPr>
      </w:pPr>
      <w:r w:rsidRPr="006C5068">
        <w:rPr>
          <w:rFonts w:ascii="微软雅黑" w:hAnsi="微软雅黑" w:hint="eastAsia"/>
          <w:b/>
          <w:szCs w:val="21"/>
        </w:rPr>
        <w:t>项目优势：</w:t>
      </w:r>
      <w:r w:rsidRPr="002345F3">
        <w:rPr>
          <w:rFonts w:ascii="微软雅黑" w:hAnsi="微软雅黑" w:hint="eastAsia"/>
          <w:szCs w:val="21"/>
        </w:rPr>
        <w:t>已经为千余所高等院校和职业院校建设了各类专业服务项目，积累了丰富的实训、教学、教研服务经验，可为用户提供从实</w:t>
      </w:r>
      <w:proofErr w:type="gramStart"/>
      <w:r w:rsidRPr="002345F3">
        <w:rPr>
          <w:rFonts w:ascii="微软雅黑" w:hAnsi="微软雅黑" w:hint="eastAsia"/>
          <w:szCs w:val="21"/>
        </w:rPr>
        <w:t>训</w:t>
      </w:r>
      <w:proofErr w:type="gramEnd"/>
      <w:r w:rsidRPr="002345F3">
        <w:rPr>
          <w:rFonts w:ascii="微软雅黑" w:hAnsi="微软雅黑" w:hint="eastAsia"/>
          <w:szCs w:val="21"/>
        </w:rPr>
        <w:t xml:space="preserve">建设、校企共建、资源共享、品牌提升等全方位的支持 </w:t>
      </w:r>
    </w:p>
    <w:p w:rsidR="00691ACB" w:rsidRPr="00691ACB" w:rsidRDefault="00691ACB" w:rsidP="00691ACB">
      <w:pPr>
        <w:pStyle w:val="a3"/>
        <w:widowControl/>
        <w:numPr>
          <w:ilvl w:val="0"/>
          <w:numId w:val="12"/>
        </w:numPr>
        <w:ind w:firstLineChars="0"/>
        <w:jc w:val="left"/>
        <w:rPr>
          <w:rFonts w:ascii="微软雅黑" w:hAnsi="微软雅黑"/>
          <w:szCs w:val="21"/>
        </w:rPr>
      </w:pPr>
      <w:r w:rsidRPr="006C5068">
        <w:rPr>
          <w:rFonts w:ascii="微软雅黑" w:hAnsi="微软雅黑" w:hint="eastAsia"/>
          <w:b/>
          <w:szCs w:val="21"/>
        </w:rPr>
        <w:t>服务优势：</w:t>
      </w:r>
      <w:r w:rsidRPr="002345F3">
        <w:rPr>
          <w:rFonts w:ascii="微软雅黑" w:hAnsi="微软雅黑" w:hint="eastAsia"/>
          <w:szCs w:val="21"/>
        </w:rPr>
        <w:t xml:space="preserve">以专业发展为出发点，全面加强学校增值服务对接，提供教研基金、学科竞赛、学术交流、专业培训、考察交流 </w:t>
      </w:r>
    </w:p>
    <w:p w:rsidR="003733C0" w:rsidRPr="003733C0" w:rsidRDefault="00691ACB" w:rsidP="00600EA4">
      <w:pPr>
        <w:pStyle w:val="2"/>
        <w:spacing w:before="312" w:after="156"/>
      </w:pPr>
      <w:r>
        <w:rPr>
          <w:rFonts w:hint="eastAsia"/>
        </w:rPr>
        <w:t>2</w:t>
      </w:r>
      <w:r w:rsidR="003733C0">
        <w:rPr>
          <w:rFonts w:hint="eastAsia"/>
        </w:rPr>
        <w:t>.</w:t>
      </w:r>
      <w:r w:rsidR="003733C0">
        <w:rPr>
          <w:rFonts w:hint="eastAsia"/>
        </w:rPr>
        <w:t>成功案例</w:t>
      </w:r>
      <w:r w:rsidR="003733C0" w:rsidRPr="00A83C4F">
        <w:rPr>
          <w:rFonts w:hint="eastAsia"/>
        </w:rPr>
        <w:t>：</w:t>
      </w:r>
    </w:p>
    <w:p w:rsidR="00A722A8" w:rsidRDefault="00E43787" w:rsidP="00A722A8">
      <w:pPr>
        <w:pStyle w:val="1"/>
        <w:spacing w:before="624" w:after="312"/>
      </w:pPr>
      <w:r>
        <w:rPr>
          <w:rFonts w:hint="eastAsia"/>
        </w:rPr>
        <w:t>六</w:t>
      </w:r>
      <w:r w:rsidR="00A722A8" w:rsidRPr="002E13F6">
        <w:rPr>
          <w:rFonts w:hint="eastAsia"/>
        </w:rPr>
        <w:t>、</w:t>
      </w:r>
      <w:r w:rsidR="00A722A8">
        <w:rPr>
          <w:rFonts w:hint="eastAsia"/>
        </w:rPr>
        <w:t>结束语</w:t>
      </w:r>
    </w:p>
    <w:p w:rsidR="00E704ED" w:rsidRPr="00E704ED" w:rsidRDefault="00A722A8" w:rsidP="00E704ED">
      <w:pPr>
        <w:ind w:firstLineChars="200" w:firstLine="420"/>
      </w:pPr>
      <w:r>
        <w:rPr>
          <w:rFonts w:hint="eastAsia"/>
        </w:rPr>
        <w:t>非常感谢您今天抽出宝贵的时间来与我进行交流，今天向您学到了很多实践教学的经验。我回去后会根据学校的具体情况再制作一份实验室方案，您方便留下手机号吗，方便下次把方案送到您手上。另外我这边还有一些对贵校实践教学比较好的电子资料，我发到您邮箱里面吧。（向客户索要邮箱）。再次感谢，下次再见！</w:t>
      </w:r>
    </w:p>
    <w:p w:rsidR="002C7505" w:rsidRPr="00A722A8" w:rsidRDefault="002C7505" w:rsidP="002C7505">
      <w:pPr>
        <w:rPr>
          <w:b/>
        </w:rPr>
      </w:pPr>
    </w:p>
    <w:sectPr w:rsidR="002C7505" w:rsidRPr="00A722A8" w:rsidSect="00802B0E">
      <w:footerReference w:type="even" r:id="rId1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2A9" w:rsidRDefault="007F62A9" w:rsidP="0059662C">
      <w:r>
        <w:separator/>
      </w:r>
    </w:p>
  </w:endnote>
  <w:endnote w:type="continuationSeparator" w:id="0">
    <w:p w:rsidR="007F62A9" w:rsidRDefault="007F62A9" w:rsidP="00596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280"/>
      <w:gridCol w:w="7256"/>
    </w:tblGrid>
    <w:tr w:rsidR="0006340B">
      <w:tc>
        <w:tcPr>
          <w:tcW w:w="750" w:type="pct"/>
        </w:tcPr>
        <w:p w:rsidR="0006340B" w:rsidRDefault="007F62A9">
          <w:pPr>
            <w:pStyle w:val="a5"/>
            <w:jc w:val="right"/>
            <w:rPr>
              <w:color w:val="4F81BD" w:themeColor="accent1"/>
            </w:rPr>
          </w:pPr>
          <w:r>
            <w:fldChar w:fldCharType="begin"/>
          </w:r>
          <w:r>
            <w:instrText xml:space="preserve"> PAGE   \* MERGEFORMAT </w:instrText>
          </w:r>
          <w:r>
            <w:fldChar w:fldCharType="separate"/>
          </w:r>
          <w:r w:rsidR="00057191" w:rsidRPr="00057191">
            <w:rPr>
              <w:noProof/>
              <w:color w:val="4F81BD" w:themeColor="accent1"/>
              <w:lang w:val="zh-CN"/>
            </w:rPr>
            <w:t>2</w:t>
          </w:r>
          <w:r>
            <w:rPr>
              <w:noProof/>
              <w:color w:val="4F81BD" w:themeColor="accent1"/>
              <w:lang w:val="zh-CN"/>
            </w:rPr>
            <w:fldChar w:fldCharType="end"/>
          </w:r>
        </w:p>
      </w:tc>
      <w:tc>
        <w:tcPr>
          <w:tcW w:w="4250" w:type="pct"/>
        </w:tcPr>
        <w:p w:rsidR="0006340B" w:rsidRDefault="0006340B">
          <w:pPr>
            <w:pStyle w:val="a5"/>
            <w:rPr>
              <w:color w:val="4F81BD" w:themeColor="accent1"/>
            </w:rPr>
          </w:pPr>
        </w:p>
      </w:tc>
    </w:tr>
  </w:tbl>
  <w:p w:rsidR="00CF6D6F" w:rsidRPr="0006340B" w:rsidRDefault="00CF6D6F">
    <w:pPr>
      <w:pStyle w:val="a5"/>
      <w:rPr>
        <w:rFonts w:ascii="微软雅黑" w:hAnsi="微软雅黑"/>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280"/>
      <w:gridCol w:w="7256"/>
    </w:tblGrid>
    <w:tr w:rsidR="00057191">
      <w:tc>
        <w:tcPr>
          <w:tcW w:w="750" w:type="pct"/>
        </w:tcPr>
        <w:p w:rsidR="00057191" w:rsidRDefault="00802B0E">
          <w:pPr>
            <w:pStyle w:val="a5"/>
            <w:jc w:val="right"/>
            <w:rPr>
              <w:color w:val="4F81BD" w:themeColor="accent1"/>
            </w:rPr>
          </w:pPr>
          <w:r>
            <w:rPr>
              <w:rFonts w:hint="eastAsia"/>
              <w:color w:val="4F81BD" w:themeColor="accent1"/>
            </w:rPr>
            <w:t>1</w:t>
          </w:r>
        </w:p>
      </w:tc>
      <w:tc>
        <w:tcPr>
          <w:tcW w:w="4250" w:type="pct"/>
        </w:tcPr>
        <w:p w:rsidR="00057191" w:rsidRDefault="00057191">
          <w:pPr>
            <w:pStyle w:val="a5"/>
            <w:rPr>
              <w:color w:val="4F81BD" w:themeColor="accent1"/>
            </w:rPr>
          </w:pPr>
        </w:p>
      </w:tc>
    </w:tr>
  </w:tbl>
  <w:p w:rsidR="0059662C" w:rsidRDefault="0059662C">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940"/>
      <w:gridCol w:w="6596"/>
    </w:tblGrid>
    <w:tr w:rsidR="003A7F45">
      <w:tc>
        <w:tcPr>
          <w:tcW w:w="750" w:type="pct"/>
        </w:tcPr>
        <w:p w:rsidR="003A7F45" w:rsidRDefault="003A7F45">
          <w:pPr>
            <w:pStyle w:val="a5"/>
            <w:jc w:val="right"/>
            <w:rPr>
              <w:color w:val="4F81BD" w:themeColor="accent1"/>
            </w:rPr>
          </w:pPr>
          <w:r>
            <w:rPr>
              <w:rFonts w:ascii="新宋体" w:eastAsia="新宋体" w:hAnsi="新宋体"/>
              <w:noProof/>
              <w:color w:val="000000"/>
              <w:szCs w:val="21"/>
            </w:rPr>
            <w:drawing>
              <wp:inline distT="0" distB="0" distL="0" distR="0">
                <wp:extent cx="1057275" cy="251426"/>
                <wp:effectExtent l="19050" t="0" r="9525" b="0"/>
                <wp:docPr id="1" name="图片 1" descr="lingshi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ingshi副本"/>
                        <pic:cNvPicPr>
                          <a:picLocks noChangeAspect="1" noChangeArrowheads="1"/>
                        </pic:cNvPicPr>
                      </pic:nvPicPr>
                      <pic:blipFill>
                        <a:blip r:embed="rId1"/>
                        <a:srcRect/>
                        <a:stretch>
                          <a:fillRect/>
                        </a:stretch>
                      </pic:blipFill>
                      <pic:spPr bwMode="auto">
                        <a:xfrm>
                          <a:off x="0" y="0"/>
                          <a:ext cx="1057275" cy="251426"/>
                        </a:xfrm>
                        <a:prstGeom prst="rect">
                          <a:avLst/>
                        </a:prstGeom>
                        <a:noFill/>
                        <a:ln w="9525">
                          <a:noFill/>
                          <a:miter lim="800000"/>
                          <a:headEnd/>
                          <a:tailEnd/>
                        </a:ln>
                      </pic:spPr>
                    </pic:pic>
                  </a:graphicData>
                </a:graphic>
              </wp:inline>
            </w:drawing>
          </w:r>
          <w:r>
            <w:rPr>
              <w:rFonts w:hint="eastAsia"/>
            </w:rPr>
            <w:t>1</w:t>
          </w:r>
        </w:p>
      </w:tc>
      <w:tc>
        <w:tcPr>
          <w:tcW w:w="4250" w:type="pct"/>
        </w:tcPr>
        <w:p w:rsidR="003A7F45" w:rsidRDefault="003A7F45" w:rsidP="003A7F45">
          <w:pPr>
            <w:pStyle w:val="a5"/>
            <w:rPr>
              <w:color w:val="4F81BD" w:themeColor="accent1"/>
            </w:rPr>
          </w:pPr>
          <w:r>
            <w:rPr>
              <w:rFonts w:hint="eastAsia"/>
              <w:color w:val="4F81BD" w:themeColor="accent1"/>
            </w:rPr>
            <w:t>地址：深圳市南山区南头关关口二路智恒产业园</w:t>
          </w:r>
          <w:r>
            <w:rPr>
              <w:rFonts w:hint="eastAsia"/>
              <w:color w:val="4F81BD" w:themeColor="accent1"/>
            </w:rPr>
            <w:t>30</w:t>
          </w:r>
          <w:r>
            <w:rPr>
              <w:rFonts w:hint="eastAsia"/>
              <w:color w:val="4F81BD" w:themeColor="accent1"/>
            </w:rPr>
            <w:t>栋</w:t>
          </w:r>
          <w:r>
            <w:rPr>
              <w:rFonts w:hint="eastAsia"/>
              <w:color w:val="4F81BD" w:themeColor="accent1"/>
            </w:rPr>
            <w:t>3</w:t>
          </w:r>
          <w:r>
            <w:rPr>
              <w:rFonts w:hint="eastAsia"/>
              <w:color w:val="4F81BD" w:themeColor="accent1"/>
            </w:rPr>
            <w:t>—</w:t>
          </w:r>
          <w:r>
            <w:rPr>
              <w:rFonts w:hint="eastAsia"/>
              <w:color w:val="4F81BD" w:themeColor="accent1"/>
            </w:rPr>
            <w:t>4</w:t>
          </w:r>
          <w:r>
            <w:rPr>
              <w:rFonts w:hint="eastAsia"/>
              <w:color w:val="4F81BD" w:themeColor="accent1"/>
            </w:rPr>
            <w:t>楼</w:t>
          </w:r>
        </w:p>
        <w:p w:rsidR="003A7F45" w:rsidRPr="003A7F45" w:rsidRDefault="003A7F45" w:rsidP="003A7F45">
          <w:pPr>
            <w:pStyle w:val="a5"/>
            <w:rPr>
              <w:color w:val="4F81BD" w:themeColor="accent1"/>
            </w:rPr>
          </w:pPr>
          <w:r>
            <w:rPr>
              <w:rFonts w:hint="eastAsia"/>
              <w:color w:val="4F81BD" w:themeColor="accent1"/>
            </w:rPr>
            <w:t>网址：</w:t>
          </w:r>
          <w:r w:rsidRPr="003A7F45">
            <w:rPr>
              <w:color w:val="4F81BD" w:themeColor="accent1"/>
            </w:rPr>
            <w:t>http://www.gtafe.com</w:t>
          </w:r>
        </w:p>
        <w:p w:rsidR="003A7F45" w:rsidRDefault="003A7F45" w:rsidP="003A7F45">
          <w:pPr>
            <w:pStyle w:val="a5"/>
            <w:rPr>
              <w:color w:val="4F81BD" w:themeColor="accent1"/>
            </w:rPr>
          </w:pPr>
          <w:r w:rsidRPr="003A7F45">
            <w:rPr>
              <w:rFonts w:hint="eastAsia"/>
              <w:color w:val="4F81BD" w:themeColor="accent1"/>
            </w:rPr>
            <w:t>电话：</w:t>
          </w:r>
          <w:r w:rsidRPr="003A7F45">
            <w:rPr>
              <w:rFonts w:hint="eastAsia"/>
              <w:color w:val="4F81BD" w:themeColor="accent1"/>
            </w:rPr>
            <w:t>400-609-6665  800-999-3099</w:t>
          </w:r>
        </w:p>
      </w:tc>
    </w:tr>
  </w:tbl>
  <w:p w:rsidR="003A7F45" w:rsidRPr="0006340B" w:rsidRDefault="003A7F45">
    <w:pPr>
      <w:pStyle w:val="a5"/>
      <w:rPr>
        <w:rFonts w:ascii="微软雅黑" w:hAnsi="微软雅黑"/>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56612"/>
      <w:docPartObj>
        <w:docPartGallery w:val="Page Numbers (Bottom of Page)"/>
        <w:docPartUnique/>
      </w:docPartObj>
    </w:sdtPr>
    <w:sdtEndPr/>
    <w:sdtContent>
      <w:p w:rsidR="00E464E9" w:rsidRDefault="007F62A9">
        <w:pPr>
          <w:pStyle w:val="a5"/>
          <w:jc w:val="center"/>
        </w:pPr>
        <w:r>
          <w:fldChar w:fldCharType="begin"/>
        </w:r>
        <w:r>
          <w:instrText xml:space="preserve"> PAGE   \* MERGEFORMAT </w:instrText>
        </w:r>
        <w:r>
          <w:fldChar w:fldCharType="separate"/>
        </w:r>
        <w:r w:rsidR="00AE1E5B" w:rsidRPr="00AE1E5B">
          <w:rPr>
            <w:noProof/>
            <w:lang w:val="zh-CN"/>
          </w:rPr>
          <w:t>4</w:t>
        </w:r>
        <w:r>
          <w:rPr>
            <w:noProof/>
            <w:lang w:val="zh-CN"/>
          </w:rPr>
          <w:fldChar w:fldCharType="end"/>
        </w:r>
      </w:p>
    </w:sdtContent>
  </w:sdt>
  <w:p w:rsidR="00802B0E" w:rsidRDefault="00802B0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2A9" w:rsidRDefault="007F62A9" w:rsidP="0059662C">
      <w:r>
        <w:separator/>
      </w:r>
    </w:p>
  </w:footnote>
  <w:footnote w:type="continuationSeparator" w:id="0">
    <w:p w:rsidR="007F62A9" w:rsidRDefault="007F62A9" w:rsidP="005966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F45" w:rsidRPr="003A7F45" w:rsidRDefault="003A7F45">
    <w:pPr>
      <w:pStyle w:val="a4"/>
      <w:rPr>
        <w:rFonts w:ascii="微软雅黑" w:hAnsi="微软雅黑"/>
      </w:rPr>
    </w:pPr>
    <w:r w:rsidRPr="003A7F45">
      <w:rPr>
        <w:rFonts w:ascii="微软雅黑" w:hAnsi="微软雅黑" w:hint="eastAsia"/>
      </w:rPr>
      <w:t>营销资料</w:t>
    </w:r>
    <w:r w:rsidRPr="003A7F45">
      <w:rPr>
        <w:rFonts w:ascii="微软雅黑" w:hAnsi="微软雅黑"/>
      </w:rPr>
      <w:ptab w:relativeTo="margin" w:alignment="center" w:leader="none"/>
    </w:r>
    <w:r w:rsidRPr="003A7F45">
      <w:rPr>
        <w:rFonts w:ascii="微软雅黑" w:hAnsi="微软雅黑" w:hint="eastAsia"/>
      </w:rPr>
      <w:t>深圳市国泰安信息技术有限公司</w:t>
    </w:r>
    <w:r w:rsidRPr="003A7F45">
      <w:rPr>
        <w:rFonts w:ascii="微软雅黑" w:hAnsi="微软雅黑"/>
      </w:rPr>
      <w:ptab w:relativeTo="margin" w:alignment="right" w:leader="none"/>
    </w:r>
    <w:r w:rsidRPr="003A7F45">
      <w:rPr>
        <w:rFonts w:ascii="微软雅黑" w:hAnsi="微软雅黑" w:hint="eastAsia"/>
      </w:rPr>
      <w:t>作战地图</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62C" w:rsidRDefault="0059662C" w:rsidP="0059662C">
    <w:pPr>
      <w:pStyle w:val="a4"/>
      <w:jc w:val="left"/>
    </w:pPr>
    <w:r w:rsidRPr="0059662C">
      <w:rPr>
        <w:rFonts w:ascii="微软雅黑" w:hAnsi="微软雅黑" w:hint="eastAsia"/>
      </w:rPr>
      <w:t>营销推广</w:t>
    </w:r>
    <w:r>
      <w:rPr>
        <w:rFonts w:ascii="微软雅黑" w:hAnsi="微软雅黑" w:hint="eastAsia"/>
      </w:rPr>
      <w:t>资料</w:t>
    </w:r>
    <w:r w:rsidRPr="0059662C">
      <w:rPr>
        <w:rFonts w:ascii="微软雅黑" w:hAnsi="微软雅黑" w:hint="eastAsia"/>
        <w:color w:val="000000"/>
        <w:szCs w:val="21"/>
      </w:rPr>
      <w:t xml:space="preserve"> </w:t>
    </w:r>
    <w:r w:rsidRPr="0059662C">
      <w:rPr>
        <w:rFonts w:ascii="新宋体" w:eastAsia="新宋体" w:hAnsi="新宋体" w:hint="eastAsia"/>
        <w:color w:val="000000"/>
        <w:szCs w:val="21"/>
      </w:rPr>
      <w:t xml:space="preserve"> </w:t>
    </w:r>
    <w:r>
      <w:rPr>
        <w:rFonts w:ascii="新宋体" w:eastAsia="新宋体" w:hAnsi="新宋体" w:hint="eastAsia"/>
        <w:color w:val="000000"/>
        <w:szCs w:val="21"/>
      </w:rPr>
      <w:t xml:space="preserve">                            </w:t>
    </w:r>
    <w:r w:rsidRPr="0059662C">
      <w:rPr>
        <w:rFonts w:ascii="微软雅黑" w:hAnsi="微软雅黑" w:hint="eastAsia"/>
        <w:color w:val="000000"/>
        <w:szCs w:val="21"/>
      </w:rPr>
      <w:t xml:space="preserve">GTA2013  </w:t>
    </w:r>
    <w:r>
      <w:rPr>
        <w:rFonts w:ascii="新宋体" w:eastAsia="新宋体" w:hAnsi="新宋体" w:hint="eastAsia"/>
        <w:color w:val="000000"/>
        <w:szCs w:val="21"/>
      </w:rPr>
      <w:t xml:space="preserve">                               </w:t>
    </w:r>
    <w:r w:rsidR="00691ACB">
      <w:rPr>
        <w:rFonts w:ascii="微软雅黑" w:hAnsi="微软雅黑" w:hint="eastAsia"/>
        <w:color w:val="000000"/>
        <w:szCs w:val="21"/>
      </w:rPr>
      <w:t>销售说辞</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3649"/>
    <w:multiLevelType w:val="hybridMultilevel"/>
    <w:tmpl w:val="E416D7C0"/>
    <w:lvl w:ilvl="0" w:tplc="871A6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F71673"/>
    <w:multiLevelType w:val="hybridMultilevel"/>
    <w:tmpl w:val="F6B87716"/>
    <w:lvl w:ilvl="0" w:tplc="B75E1B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9815F4"/>
    <w:multiLevelType w:val="hybridMultilevel"/>
    <w:tmpl w:val="ADEA96E8"/>
    <w:lvl w:ilvl="0" w:tplc="B75E1B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7660A71"/>
    <w:multiLevelType w:val="hybridMultilevel"/>
    <w:tmpl w:val="9C62ECE6"/>
    <w:lvl w:ilvl="0" w:tplc="B75E1B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1F50E6"/>
    <w:multiLevelType w:val="hybridMultilevel"/>
    <w:tmpl w:val="AC409F30"/>
    <w:lvl w:ilvl="0" w:tplc="B75E1B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A8B48C4"/>
    <w:multiLevelType w:val="hybridMultilevel"/>
    <w:tmpl w:val="3E36220E"/>
    <w:lvl w:ilvl="0" w:tplc="1DD495C2">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3545FB4"/>
    <w:multiLevelType w:val="hybridMultilevel"/>
    <w:tmpl w:val="94BC78D4"/>
    <w:lvl w:ilvl="0" w:tplc="B75E1B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1EF20D2"/>
    <w:multiLevelType w:val="hybridMultilevel"/>
    <w:tmpl w:val="BCA0D886"/>
    <w:lvl w:ilvl="0" w:tplc="B75E1B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84F3CFA"/>
    <w:multiLevelType w:val="hybridMultilevel"/>
    <w:tmpl w:val="EB8A90DA"/>
    <w:lvl w:ilvl="0" w:tplc="B75E1B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6A9688D"/>
    <w:multiLevelType w:val="hybridMultilevel"/>
    <w:tmpl w:val="54D4CC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ADA6D63"/>
    <w:multiLevelType w:val="hybridMultilevel"/>
    <w:tmpl w:val="AAB8F7AA"/>
    <w:lvl w:ilvl="0" w:tplc="CCA453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7572388"/>
    <w:multiLevelType w:val="hybridMultilevel"/>
    <w:tmpl w:val="85EC1F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11"/>
  </w:num>
  <w:num w:numId="3">
    <w:abstractNumId w:val="9"/>
  </w:num>
  <w:num w:numId="4">
    <w:abstractNumId w:val="2"/>
  </w:num>
  <w:num w:numId="5">
    <w:abstractNumId w:val="3"/>
  </w:num>
  <w:num w:numId="6">
    <w:abstractNumId w:val="8"/>
  </w:num>
  <w:num w:numId="7">
    <w:abstractNumId w:val="7"/>
  </w:num>
  <w:num w:numId="8">
    <w:abstractNumId w:val="6"/>
  </w:num>
  <w:num w:numId="9">
    <w:abstractNumId w:val="4"/>
  </w:num>
  <w:num w:numId="10">
    <w:abstractNumId w:val="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662C"/>
    <w:rsid w:val="00015559"/>
    <w:rsid w:val="00054BF4"/>
    <w:rsid w:val="00057191"/>
    <w:rsid w:val="000619CA"/>
    <w:rsid w:val="0006340B"/>
    <w:rsid w:val="0009211A"/>
    <w:rsid w:val="000923BC"/>
    <w:rsid w:val="000C0984"/>
    <w:rsid w:val="0010385A"/>
    <w:rsid w:val="00142C82"/>
    <w:rsid w:val="001A0206"/>
    <w:rsid w:val="001D78A5"/>
    <w:rsid w:val="00233C47"/>
    <w:rsid w:val="0023727A"/>
    <w:rsid w:val="002605B5"/>
    <w:rsid w:val="00274826"/>
    <w:rsid w:val="002775A8"/>
    <w:rsid w:val="00282830"/>
    <w:rsid w:val="002C7505"/>
    <w:rsid w:val="002E13F6"/>
    <w:rsid w:val="003733C0"/>
    <w:rsid w:val="003960DA"/>
    <w:rsid w:val="003A6FF9"/>
    <w:rsid w:val="003A7F45"/>
    <w:rsid w:val="003B1CF5"/>
    <w:rsid w:val="003E6CE8"/>
    <w:rsid w:val="00412C68"/>
    <w:rsid w:val="00435EE4"/>
    <w:rsid w:val="0043747D"/>
    <w:rsid w:val="00466A02"/>
    <w:rsid w:val="004E44B2"/>
    <w:rsid w:val="005249ED"/>
    <w:rsid w:val="005746DA"/>
    <w:rsid w:val="0059662C"/>
    <w:rsid w:val="005E041F"/>
    <w:rsid w:val="00600EA4"/>
    <w:rsid w:val="00622188"/>
    <w:rsid w:val="00637D72"/>
    <w:rsid w:val="00647388"/>
    <w:rsid w:val="006478CF"/>
    <w:rsid w:val="00656E2A"/>
    <w:rsid w:val="00662709"/>
    <w:rsid w:val="00691A02"/>
    <w:rsid w:val="00691ACB"/>
    <w:rsid w:val="00707CAC"/>
    <w:rsid w:val="00723524"/>
    <w:rsid w:val="007260D0"/>
    <w:rsid w:val="00756135"/>
    <w:rsid w:val="00761780"/>
    <w:rsid w:val="007862D8"/>
    <w:rsid w:val="007956DB"/>
    <w:rsid w:val="007B5826"/>
    <w:rsid w:val="007C6866"/>
    <w:rsid w:val="007F62A9"/>
    <w:rsid w:val="00802B0E"/>
    <w:rsid w:val="00880302"/>
    <w:rsid w:val="00890731"/>
    <w:rsid w:val="008A6EF1"/>
    <w:rsid w:val="008C1D4A"/>
    <w:rsid w:val="008E2C60"/>
    <w:rsid w:val="008E70EF"/>
    <w:rsid w:val="009103F0"/>
    <w:rsid w:val="009204CE"/>
    <w:rsid w:val="0093385C"/>
    <w:rsid w:val="009422B2"/>
    <w:rsid w:val="0095260D"/>
    <w:rsid w:val="009630AD"/>
    <w:rsid w:val="00967732"/>
    <w:rsid w:val="009C3B98"/>
    <w:rsid w:val="009F1019"/>
    <w:rsid w:val="00A03C37"/>
    <w:rsid w:val="00A5498D"/>
    <w:rsid w:val="00A722A8"/>
    <w:rsid w:val="00A83C4F"/>
    <w:rsid w:val="00A85C75"/>
    <w:rsid w:val="00AB04F9"/>
    <w:rsid w:val="00AD55A9"/>
    <w:rsid w:val="00AE1E5B"/>
    <w:rsid w:val="00B506DE"/>
    <w:rsid w:val="00BA1DC8"/>
    <w:rsid w:val="00BF1196"/>
    <w:rsid w:val="00C045B2"/>
    <w:rsid w:val="00C10FE0"/>
    <w:rsid w:val="00C9582F"/>
    <w:rsid w:val="00CA4E05"/>
    <w:rsid w:val="00CF6D6F"/>
    <w:rsid w:val="00D1103E"/>
    <w:rsid w:val="00D17F90"/>
    <w:rsid w:val="00D45112"/>
    <w:rsid w:val="00DA651E"/>
    <w:rsid w:val="00E43787"/>
    <w:rsid w:val="00E464E9"/>
    <w:rsid w:val="00E63509"/>
    <w:rsid w:val="00E704ED"/>
    <w:rsid w:val="00F2734C"/>
    <w:rsid w:val="00F903FB"/>
    <w:rsid w:val="00FA4044"/>
    <w:rsid w:val="00FD0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6CE8"/>
    <w:pPr>
      <w:widowControl w:val="0"/>
      <w:spacing w:line="400" w:lineRule="exact"/>
      <w:jc w:val="both"/>
    </w:pPr>
    <w:rPr>
      <w:rFonts w:eastAsia="微软雅黑"/>
    </w:rPr>
  </w:style>
  <w:style w:type="paragraph" w:styleId="1">
    <w:name w:val="heading 1"/>
    <w:basedOn w:val="a"/>
    <w:next w:val="a"/>
    <w:link w:val="1Char"/>
    <w:uiPriority w:val="9"/>
    <w:qFormat/>
    <w:rsid w:val="00057191"/>
    <w:pPr>
      <w:keepNext/>
      <w:keepLines/>
      <w:spacing w:beforeLines="200" w:afterLines="100"/>
      <w:outlineLvl w:val="0"/>
    </w:pPr>
    <w:rPr>
      <w:b/>
      <w:bCs/>
      <w:kern w:val="44"/>
      <w:sz w:val="28"/>
      <w:szCs w:val="44"/>
    </w:rPr>
  </w:style>
  <w:style w:type="paragraph" w:styleId="2">
    <w:name w:val="heading 2"/>
    <w:basedOn w:val="a"/>
    <w:next w:val="a"/>
    <w:link w:val="2Char"/>
    <w:uiPriority w:val="9"/>
    <w:unhideWhenUsed/>
    <w:qFormat/>
    <w:rsid w:val="00057191"/>
    <w:pPr>
      <w:keepNext/>
      <w:keepLines/>
      <w:spacing w:beforeLines="100" w:afterLines="50"/>
      <w:outlineLvl w:val="1"/>
    </w:pPr>
    <w:rPr>
      <w:rFonts w:asciiTheme="majorHAnsi" w:hAnsiTheme="majorHAnsi" w:cstheme="majorBidi"/>
      <w:b/>
      <w:bCs/>
      <w:sz w:val="24"/>
      <w:szCs w:val="32"/>
    </w:rPr>
  </w:style>
  <w:style w:type="paragraph" w:styleId="3">
    <w:name w:val="heading 3"/>
    <w:basedOn w:val="a"/>
    <w:next w:val="a"/>
    <w:link w:val="3Char"/>
    <w:uiPriority w:val="9"/>
    <w:unhideWhenUsed/>
    <w:qFormat/>
    <w:rsid w:val="007260D0"/>
    <w:pPr>
      <w:keepNext/>
      <w:keepLines/>
      <w:spacing w:beforeLines="50" w:afterLines="25" w:line="240" w:lineRule="auto"/>
      <w:ind w:leftChars="200" w:left="200"/>
      <w:outlineLvl w:val="2"/>
    </w:pPr>
    <w:rPr>
      <w:b/>
      <w:bCs/>
      <w:sz w:val="2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7191"/>
    <w:rPr>
      <w:rFonts w:eastAsia="微软雅黑"/>
      <w:b/>
      <w:bCs/>
      <w:kern w:val="44"/>
      <w:sz w:val="28"/>
      <w:szCs w:val="44"/>
    </w:rPr>
  </w:style>
  <w:style w:type="character" w:customStyle="1" w:styleId="2Char">
    <w:name w:val="标题 2 Char"/>
    <w:basedOn w:val="a0"/>
    <w:link w:val="2"/>
    <w:uiPriority w:val="9"/>
    <w:rsid w:val="00057191"/>
    <w:rPr>
      <w:rFonts w:asciiTheme="majorHAnsi" w:eastAsia="微软雅黑" w:hAnsiTheme="majorHAnsi" w:cstheme="majorBidi"/>
      <w:b/>
      <w:bCs/>
      <w:sz w:val="24"/>
      <w:szCs w:val="32"/>
    </w:rPr>
  </w:style>
  <w:style w:type="character" w:customStyle="1" w:styleId="3Char">
    <w:name w:val="标题 3 Char"/>
    <w:basedOn w:val="a0"/>
    <w:link w:val="3"/>
    <w:uiPriority w:val="9"/>
    <w:rsid w:val="007260D0"/>
    <w:rPr>
      <w:rFonts w:eastAsia="微软雅黑"/>
      <w:b/>
      <w:bCs/>
      <w:sz w:val="22"/>
      <w:szCs w:val="32"/>
    </w:rPr>
  </w:style>
  <w:style w:type="paragraph" w:styleId="a3">
    <w:name w:val="List Paragraph"/>
    <w:basedOn w:val="a"/>
    <w:uiPriority w:val="34"/>
    <w:qFormat/>
    <w:rsid w:val="00662709"/>
    <w:pPr>
      <w:ind w:firstLineChars="200" w:firstLine="420"/>
    </w:pPr>
  </w:style>
  <w:style w:type="paragraph" w:styleId="a4">
    <w:name w:val="header"/>
    <w:basedOn w:val="a"/>
    <w:link w:val="Char"/>
    <w:uiPriority w:val="99"/>
    <w:unhideWhenUsed/>
    <w:rsid w:val="005966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9662C"/>
    <w:rPr>
      <w:sz w:val="18"/>
      <w:szCs w:val="18"/>
    </w:rPr>
  </w:style>
  <w:style w:type="paragraph" w:styleId="a5">
    <w:name w:val="footer"/>
    <w:basedOn w:val="a"/>
    <w:link w:val="Char0"/>
    <w:uiPriority w:val="99"/>
    <w:unhideWhenUsed/>
    <w:rsid w:val="0059662C"/>
    <w:pPr>
      <w:tabs>
        <w:tab w:val="center" w:pos="4153"/>
        <w:tab w:val="right" w:pos="8306"/>
      </w:tabs>
      <w:snapToGrid w:val="0"/>
      <w:jc w:val="left"/>
    </w:pPr>
    <w:rPr>
      <w:sz w:val="18"/>
      <w:szCs w:val="18"/>
    </w:rPr>
  </w:style>
  <w:style w:type="character" w:customStyle="1" w:styleId="Char0">
    <w:name w:val="页脚 Char"/>
    <w:basedOn w:val="a0"/>
    <w:link w:val="a5"/>
    <w:uiPriority w:val="99"/>
    <w:rsid w:val="0059662C"/>
    <w:rPr>
      <w:sz w:val="18"/>
      <w:szCs w:val="18"/>
    </w:rPr>
  </w:style>
  <w:style w:type="paragraph" w:styleId="a6">
    <w:name w:val="Balloon Text"/>
    <w:basedOn w:val="a"/>
    <w:link w:val="Char1"/>
    <w:uiPriority w:val="99"/>
    <w:semiHidden/>
    <w:unhideWhenUsed/>
    <w:rsid w:val="0059662C"/>
    <w:rPr>
      <w:sz w:val="18"/>
      <w:szCs w:val="18"/>
    </w:rPr>
  </w:style>
  <w:style w:type="character" w:customStyle="1" w:styleId="Char1">
    <w:name w:val="批注框文本 Char"/>
    <w:basedOn w:val="a0"/>
    <w:link w:val="a6"/>
    <w:uiPriority w:val="99"/>
    <w:semiHidden/>
    <w:rsid w:val="0059662C"/>
    <w:rPr>
      <w:sz w:val="18"/>
      <w:szCs w:val="18"/>
    </w:rPr>
  </w:style>
  <w:style w:type="paragraph" w:styleId="a7">
    <w:name w:val="No Spacing"/>
    <w:link w:val="Char2"/>
    <w:uiPriority w:val="1"/>
    <w:qFormat/>
    <w:rsid w:val="002605B5"/>
    <w:rPr>
      <w:kern w:val="0"/>
      <w:sz w:val="22"/>
    </w:rPr>
  </w:style>
  <w:style w:type="character" w:customStyle="1" w:styleId="Char2">
    <w:name w:val="无间隔 Char"/>
    <w:basedOn w:val="a0"/>
    <w:link w:val="a7"/>
    <w:uiPriority w:val="1"/>
    <w:rsid w:val="002605B5"/>
    <w:rPr>
      <w:kern w:val="0"/>
      <w:sz w:val="22"/>
    </w:rPr>
  </w:style>
  <w:style w:type="character" w:styleId="a8">
    <w:name w:val="Hyperlink"/>
    <w:basedOn w:val="a0"/>
    <w:uiPriority w:val="99"/>
    <w:unhideWhenUsed/>
    <w:rsid w:val="003A7F45"/>
    <w:rPr>
      <w:color w:val="0000FF" w:themeColor="hyperlink"/>
      <w:u w:val="single"/>
    </w:rPr>
  </w:style>
  <w:style w:type="table" w:styleId="a9">
    <w:name w:val="Table Grid"/>
    <w:basedOn w:val="a1"/>
    <w:uiPriority w:val="59"/>
    <w:rsid w:val="00AB04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A897C4-32CF-44F4-81AF-584BE4F00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5</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yuwenjing</dc:creator>
  <cp:keywords/>
  <dc:description/>
  <cp:lastModifiedBy>Windows 用户</cp:lastModifiedBy>
  <cp:revision>43</cp:revision>
  <dcterms:created xsi:type="dcterms:W3CDTF">2013-07-24T02:41:00Z</dcterms:created>
  <dcterms:modified xsi:type="dcterms:W3CDTF">2016-04-29T02:59:00Z</dcterms:modified>
</cp:coreProperties>
</file>