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1</w:t>
      </w:r>
      <w:r>
        <w:rPr>
          <w:color w:val="000000"/>
          <w:sz w:val="22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2"/>
        </w:rPr>
        <w:t xml:space="preserve">HUANG J C, ZHAO M G, ZHANG H G. ROSGPT: Natural Language Control of Mobile Robots Navigation via Large Language Model [J]. </w:t>
      </w:r>
      <w:r>
        <w:rPr>
          <w:i/>
          <w:sz w:val="22"/>
        </w:rPr>
        <w:t>Journal of Donghua University</w:t>
      </w:r>
      <w:r>
        <w:rPr>
          <w:i w:val="0"/>
          <w:sz w:val="22"/>
        </w:rPr>
        <w:t xml:space="preserve"> (</w:t>
      </w:r>
      <w:r>
        <w:rPr>
          <w:i/>
          <w:sz w:val="22"/>
        </w:rPr>
        <w:t>English Edition</w:t>
      </w:r>
      <w:r>
        <w:rPr>
          <w:i w:val="0"/>
          <w:sz w:val="22"/>
        </w:rPr>
        <w:t>)</w:t>
      </w:r>
      <w:r>
        <w:rPr>
          <w:sz w:val="22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