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2025年11月24日</w:t>
      </w:r>
    </w:p>
    <w:p/>
    <w:p>
      <w:r>
        <w:rPr>
          <w:sz w:val="22"/>
        </w:rPr>
        <w:t>DOI: 10.19884/j.1672-5220.202405007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HUANG J C, ZHAO M G, ZHANG H G. ROSGPT: Natural Language Control of Mobile Robots Navigation via Large Language Model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42(3): 315-329.</w:t>
      </w:r>
    </w:p>
    <w:p>
      <w:r>
        <w:rPr>
          <w:b/>
          <w:sz w:val="24"/>
        </w:rPr>
        <w:t>1. ROSGPT: Natural Language Control of Mobile Robots Navigation via Large Language Model</w:t>
      </w:r>
    </w:p>
    <w:p>
      <w:r>
        <w:rPr>
          <w:sz w:val="22"/>
        </w:rPr>
        <w:t>HUANG  Jiacui, ZHAO  Mingbo, ZHANG  Hongtao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