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东华学报</w:t>
      </w:r>
    </w:p>
    <w:p>
      <w:r>
        <w:rPr>
          <w:sz w:val="24"/>
        </w:rPr>
        <w:t>2025年第42卷第4期</w:t>
      </w:r>
    </w:p>
    <w:p>
      <w:r>
        <w:t>──────────────────────────────</w:t>
      </w:r>
    </w:p>
    <w:p>
      <w:r>
        <w:rPr>
          <w:i/>
          <w:sz w:val="20"/>
        </w:rPr>
        <w:t>本期责编: 编辑部 | 2025年11月23日</w:t>
      </w:r>
    </w:p>
    <w:p/>
    <w:p>
      <w:r>
        <w:rPr>
          <w:b/>
          <w:sz w:val="24"/>
        </w:rPr>
        <w:t>1. 细菌纤维素 / 透明质酸口腔速溶膜的制备及性能</w:t>
      </w:r>
    </w:p>
    <w:p>
      <w:r>
        <w:rPr>
          <w:sz w:val="22"/>
        </w:rPr>
        <w:t>吴晓艳, 宋炜, 陈爽, 肖茹</w:t>
      </w:r>
    </w:p>
    <w:p>
      <w:r>
        <w:drawing>
          <wp:inline xmlns:a="http://schemas.openxmlformats.org/drawingml/2006/main" xmlns:pic="http://schemas.openxmlformats.org/drawingml/2006/picture">
            <wp:extent cx="3810000" cy="829306"/>
            <wp:docPr id="1" name="Picture 1"/>
            <wp:cNvGraphicFramePr>
              <a:graphicFrameLocks noChangeAspect="1"/>
            </wp:cNvGraphicFramePr>
            <a:graphic>
              <a:graphicData uri="http://schemas.openxmlformats.org/drawingml/2006/picture">
                <pic:pic>
                  <pic:nvPicPr>
                    <pic:cNvPr id="0" name="papers_2025_ 42_4_pages_339-347_image.png"/>
                    <pic:cNvPicPr/>
                  </pic:nvPicPr>
                  <pic:blipFill>
                    <a:blip r:embed="rId9"/>
                    <a:stretch>
                      <a:fillRect/>
                    </a:stretch>
                  </pic:blipFill>
                  <pic:spPr>
                    <a:xfrm>
                      <a:off x="0" y="0"/>
                      <a:ext cx="3810000" cy="829306"/>
                    </a:xfrm>
                    <a:prstGeom prst="rect"/>
                  </pic:spPr>
                </pic:pic>
              </a:graphicData>
            </a:graphic>
          </wp:inline>
        </w:drawing>
      </w:r>
    </w:p>
    <w:p>
      <w:r>
        <w:rPr>
          <w:b/>
          <w:sz w:val="24"/>
        </w:rPr>
        <w:t>1. Preparation and Properties of Bacterial Cellulose / Hyaluronic Acid Oral Disintegrating Films</w:t>
      </w:r>
    </w:p>
    <w:p>
      <w:r>
        <w:rPr>
          <w:sz w:val="22"/>
        </w:rPr>
        <w:t>WU  Xiaoyan, SONG  Wei, CHEN  Shuang, XIAO  Ru</w:t>
      </w:r>
    </w:p>
    <w:p>
      <w:r>
        <w:rPr>
          <w:sz w:val="22"/>
        </w:rPr>
        <w:t>DOI: 10.19884/j.1672-5220.202404007</w:t>
      </w:r>
    </w:p>
    <w:p>
      <w:r>
        <w:t>────────────────────</w:t>
      </w:r>
    </w:p>
    <w:p>
      <w:r>
        <w:rPr>
          <w:b/>
          <w:sz w:val="20"/>
        </w:rPr>
        <w:t>作者说链接/OSID</w:t>
      </w:r>
    </w:p>
    <w:p>
      <w:r>
        <w:drawing>
          <wp:inline xmlns:a="http://schemas.openxmlformats.org/drawingml/2006/main" xmlns:pic="http://schemas.openxmlformats.org/drawingml/2006/picture">
            <wp:extent cx="1270000" cy="1270000"/>
            <wp:docPr id="2" name="Picture 2"/>
            <wp:cNvGraphicFramePr>
              <a:graphicFrameLocks noChangeAspect="1"/>
            </wp:cNvGraphicFramePr>
            <a:graphic>
              <a:graphicData uri="http://schemas.openxmlformats.org/drawingml/2006/picture">
                <pic:pic>
                  <pic:nvPicPr>
                    <pic:cNvPr id="0" name="papers_2025_ 42_4_pages_339-347_image_QRcode.png"/>
                    <pic:cNvPicPr/>
                  </pic:nvPicPr>
                  <pic:blipFill>
                    <a:blip r:embed="rId10"/>
                    <a:stretch>
                      <a:fillRect/>
                    </a:stretch>
                  </pic:blipFill>
                  <pic:spPr>
                    <a:xfrm>
                      <a:off x="0" y="0"/>
                      <a:ext cx="1270000" cy="1270000"/>
                    </a:xfrm>
                    <a:prstGeom prst="rect"/>
                  </pic:spPr>
                </pic:pic>
              </a:graphicData>
            </a:graphic>
          </wp:inline>
        </w:drawing>
      </w:r>
    </w:p>
    <w:p/>
    <w:p>
      <w:r>
        <w:rPr>
          <w:b/>
          <w:sz w:val="24"/>
        </w:rPr>
        <w:t>2. 基于四丁基四氟硼酸铵修饰的导电炭黑开发头孢羟氨苄抗生素电化学传感器</w:t>
      </w:r>
    </w:p>
    <w:p>
      <w:r>
        <w:rPr>
          <w:sz w:val="22"/>
        </w:rPr>
        <w:t>朱宗贤, 张煊</w:t>
      </w:r>
    </w:p>
    <w:p>
      <w:r>
        <w:drawing>
          <wp:inline xmlns:a="http://schemas.openxmlformats.org/drawingml/2006/main" xmlns:pic="http://schemas.openxmlformats.org/drawingml/2006/picture">
            <wp:extent cx="3810000" cy="2121147"/>
            <wp:docPr id="3" name="Picture 3"/>
            <wp:cNvGraphicFramePr>
              <a:graphicFrameLocks noChangeAspect="1"/>
            </wp:cNvGraphicFramePr>
            <a:graphic>
              <a:graphicData uri="http://schemas.openxmlformats.org/drawingml/2006/picture">
                <pic:pic>
                  <pic:nvPicPr>
                    <pic:cNvPr id="0" name="papers_2025_ 42_4_pages_348-357_image.png"/>
                    <pic:cNvPicPr/>
                  </pic:nvPicPr>
                  <pic:blipFill>
                    <a:blip r:embed="rId11"/>
                    <a:stretch>
                      <a:fillRect/>
                    </a:stretch>
                  </pic:blipFill>
                  <pic:spPr>
                    <a:xfrm>
                      <a:off x="0" y="0"/>
                      <a:ext cx="3810000" cy="2121147"/>
                    </a:xfrm>
                    <a:prstGeom prst="rect"/>
                  </pic:spPr>
                </pic:pic>
              </a:graphicData>
            </a:graphic>
          </wp:inline>
        </w:drawing>
      </w:r>
    </w:p>
    <w:p>
      <w:r>
        <w:rPr>
          <w:b/>
          <w:sz w:val="24"/>
        </w:rPr>
        <w:t>2. Development of Electrochemical Sensor for Cefadroxil Antibiotic Based on Conductive Carbon Black Decorated with Tetrabutylammonium Tetrafluoroborate</w:t>
      </w:r>
    </w:p>
    <w:p>
      <w:r>
        <w:rPr>
          <w:sz w:val="22"/>
        </w:rPr>
        <w:t>ZHU  Zongxian, ZHANG  Xuan</w:t>
      </w:r>
    </w:p>
    <w:p>
      <w:r>
        <w:rPr>
          <w:sz w:val="22"/>
        </w:rPr>
        <w:t>DOI: 10.19884/j.1672-5220.202406006</w:t>
      </w:r>
    </w:p>
    <w:p>
      <w:r>
        <w:t>────────────────────</w:t>
      </w:r>
    </w:p>
    <w:p>
      <w:r>
        <w:rPr>
          <w:b/>
          <w:sz w:val="20"/>
        </w:rPr>
        <w:t>作者说链接/OSID</w:t>
      </w:r>
    </w:p>
    <w:p>
      <w:r>
        <w:drawing>
          <wp:inline xmlns:a="http://schemas.openxmlformats.org/drawingml/2006/main" xmlns:pic="http://schemas.openxmlformats.org/drawingml/2006/picture">
            <wp:extent cx="1270000" cy="1270000"/>
            <wp:docPr id="4" name="Picture 4"/>
            <wp:cNvGraphicFramePr>
              <a:graphicFrameLocks noChangeAspect="1"/>
            </wp:cNvGraphicFramePr>
            <a:graphic>
              <a:graphicData uri="http://schemas.openxmlformats.org/drawingml/2006/picture">
                <pic:pic>
                  <pic:nvPicPr>
                    <pic:cNvPr id="0" name="papers_2025_ 42_4_pages_348-357_image_QRcode.png"/>
                    <pic:cNvPicPr/>
                  </pic:nvPicPr>
                  <pic:blipFill>
                    <a:blip r:embed="rId12"/>
                    <a:stretch>
                      <a:fillRect/>
                    </a:stretch>
                  </pic:blipFill>
                  <pic:spPr>
                    <a:xfrm>
                      <a:off x="0" y="0"/>
                      <a:ext cx="1270000" cy="1270000"/>
                    </a:xfrm>
                    <a:prstGeom prst="rect"/>
                  </pic:spPr>
                </pic:pic>
              </a:graphicData>
            </a:graphic>
          </wp:inline>
        </w:drawing>
      </w:r>
    </w:p>
    <w:p/>
    <w:p>
      <w:r>
        <w:t>──────────────────────────────</w:t>
      </w:r>
    </w:p>
    <w:p>
      <w:r>
        <w:rPr>
          <w:sz w:val="20"/>
        </w:rPr>
        <w:t>感谢您的阅读！欢迎引用本文内容</w:t>
      </w:r>
    </w:p>
    <w:p>
      <w:r>
        <w:rPr>
          <w:sz w:val="18"/>
        </w:rPr>
        <w:t>© 2025 东华大学学报 版权所有</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