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0" w:beforeLines="100" w:after="320" w:afterLines="100" w:line="360" w:lineRule="auto"/>
        <w:jc w:val="center"/>
        <w:rPr>
          <w:rFonts w:hint="eastAsia" w:eastAsia="黑体"/>
          <w:sz w:val="36"/>
          <w:szCs w:val="36"/>
          <w:lang w:val="en-US" w:eastAsia="zh-CN"/>
        </w:rPr>
      </w:pPr>
      <w:r>
        <w:rPr>
          <w:rFonts w:hint="eastAsia" w:eastAsia="黑体"/>
          <w:sz w:val="36"/>
          <w:szCs w:val="36"/>
          <w:lang w:val="en-US" w:eastAsia="zh-CN"/>
        </w:rPr>
        <w:t>技术文档</w:t>
      </w:r>
    </w:p>
    <w:p>
      <w:pPr>
        <w:pStyle w:val="3"/>
        <w:snapToGrid w:val="0"/>
        <w:spacing w:before="120" w:after="120" w:line="324" w:lineRule="auto"/>
        <w:rPr>
          <w:rFonts w:hint="eastAsia" w:ascii="黑体" w:eastAsia="黑体"/>
          <w:sz w:val="30"/>
          <w:szCs w:val="30"/>
          <w:lang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1</w:t>
      </w:r>
      <w:r>
        <w:rPr>
          <w:rFonts w:hint="eastAsia" w:ascii="黑体"/>
          <w:sz w:val="30"/>
          <w:szCs w:val="30"/>
        </w:rPr>
        <w:t xml:space="preserve">.1 </w:t>
      </w:r>
      <w:r>
        <w:rPr>
          <w:rFonts w:hint="eastAsia" w:ascii="黑体"/>
          <w:sz w:val="30"/>
          <w:szCs w:val="30"/>
          <w:lang w:eastAsia="zh-CN"/>
        </w:rPr>
        <w:t>多角色管理</w:t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角色表设计如下：</w:t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rPr>
          <w:rFonts w:hint="eastAsia"/>
          <w:sz w:val="24"/>
        </w:rPr>
      </w:pPr>
      <w:r>
        <w:drawing>
          <wp:inline distT="0" distB="0" distL="114300" distR="114300">
            <wp:extent cx="5268595" cy="1737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用户登录时，系统根据数据库中用户的角色role字段的值判断用户的级别，当role为1时，表示管理员，role为2时，表示一般人员，并分别赋予不同的操作权限。</w:t>
      </w:r>
    </w:p>
    <w:p>
      <w:pPr>
        <w:pStyle w:val="3"/>
        <w:snapToGrid w:val="0"/>
        <w:spacing w:before="120" w:after="120" w:line="324" w:lineRule="auto"/>
        <w:rPr>
          <w:rFonts w:hint="eastAsia" w:ascii="黑体" w:eastAsia="黑体"/>
          <w:sz w:val="30"/>
          <w:szCs w:val="30"/>
          <w:lang w:eastAsia="zh-CN"/>
        </w:rPr>
      </w:pPr>
      <w:bookmarkStart w:id="0" w:name="_Toc446233974"/>
      <w:r>
        <w:rPr>
          <w:rFonts w:hint="eastAsia" w:ascii="黑体"/>
          <w:sz w:val="30"/>
          <w:szCs w:val="30"/>
          <w:lang w:val="en-US" w:eastAsia="zh-CN"/>
        </w:rPr>
        <w:t>1</w:t>
      </w:r>
      <w:r>
        <w:rPr>
          <w:rFonts w:hint="eastAsia" w:ascii="黑体"/>
          <w:sz w:val="30"/>
          <w:szCs w:val="30"/>
        </w:rPr>
        <w:t>.</w:t>
      </w:r>
      <w:r>
        <w:rPr>
          <w:rFonts w:hint="eastAsia" w:ascii="黑体"/>
          <w:sz w:val="30"/>
          <w:szCs w:val="30"/>
          <w:lang w:val="en-US" w:eastAsia="zh-CN"/>
        </w:rPr>
        <w:t>2</w:t>
      </w:r>
      <w:r>
        <w:rPr>
          <w:rFonts w:hint="eastAsia" w:ascii="黑体"/>
          <w:sz w:val="30"/>
          <w:szCs w:val="30"/>
        </w:rPr>
        <w:t xml:space="preserve"> </w:t>
      </w:r>
      <w:bookmarkEnd w:id="0"/>
      <w:r>
        <w:rPr>
          <w:rFonts w:hint="eastAsia" w:ascii="黑体"/>
          <w:sz w:val="30"/>
          <w:szCs w:val="30"/>
          <w:lang w:eastAsia="zh-CN"/>
        </w:rPr>
        <w:t>船舶管理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本系统中船舶管理主要有以下几部分功能，</w:t>
      </w:r>
      <w:r>
        <w:rPr>
          <w:rFonts w:hint="eastAsia"/>
          <w:sz w:val="24"/>
          <w:lang w:val="en-US" w:eastAsia="zh-CN"/>
        </w:rPr>
        <w:t>船舶添加，船舶修改，船舶运动模型的加载，船舶轨迹回放</w:t>
      </w:r>
      <w:r>
        <w:rPr>
          <w:rFonts w:hint="eastAsia"/>
          <w:sz w:val="24"/>
        </w:rPr>
        <w:t>。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船舶的类结构如下：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shipMMSI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//船ID mmsi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//船索引ID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String shipName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</w:t>
      </w:r>
      <w:r>
        <w:rPr>
          <w:rFonts w:hint="eastAsia" w:ascii="新宋体" w:hAnsi="新宋体" w:eastAsia="新宋体"/>
          <w:color w:val="008000"/>
          <w:sz w:val="19"/>
        </w:rPr>
        <w:t>//船名称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CShipType shipType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shipSpeed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</w:t>
      </w:r>
      <w:r>
        <w:rPr>
          <w:rFonts w:hint="eastAsia" w:ascii="新宋体" w:hAnsi="新宋体" w:eastAsia="新宋体"/>
          <w:color w:val="008000"/>
          <w:sz w:val="19"/>
        </w:rPr>
        <w:t>//航速knot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shipCourse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</w:t>
      </w:r>
      <w:r>
        <w:rPr>
          <w:rFonts w:hint="eastAsia" w:ascii="新宋体" w:hAnsi="新宋体" w:eastAsia="新宋体"/>
          <w:color w:val="008000"/>
          <w:sz w:val="19"/>
        </w:rPr>
        <w:t>//航向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shipHeading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</w:t>
      </w:r>
      <w:r>
        <w:rPr>
          <w:rFonts w:hint="eastAsia" w:ascii="新宋体" w:hAnsi="新宋体" w:eastAsia="新宋体"/>
          <w:color w:val="008000"/>
          <w:sz w:val="19"/>
        </w:rPr>
        <w:t>//航首向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shipLatitude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</w:t>
      </w:r>
      <w:r>
        <w:rPr>
          <w:rFonts w:hint="eastAsia" w:ascii="新宋体" w:hAnsi="新宋体" w:eastAsia="新宋体"/>
          <w:color w:val="008000"/>
          <w:sz w:val="19"/>
        </w:rPr>
        <w:t>//维度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shipLongitude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</w:t>
      </w:r>
      <w:r>
        <w:rPr>
          <w:rFonts w:hint="eastAsia" w:ascii="新宋体" w:hAnsi="新宋体" w:eastAsia="新宋体"/>
          <w:color w:val="008000"/>
          <w:sz w:val="19"/>
        </w:rPr>
        <w:t>//经度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shipDataFrom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//船数据来源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shipMapID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//船在海图上的id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shipMapPos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//船在海图上的pos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shipLeftEngineSpeed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//船左车钟档位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shipRightEngineSpeed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//船右车钟档位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shipModel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//模型ID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shipRudderAngle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</w:t>
      </w:r>
      <w:r>
        <w:rPr>
          <w:rFonts w:hint="eastAsia" w:ascii="新宋体" w:hAnsi="新宋体" w:eastAsia="新宋体"/>
          <w:color w:val="008000"/>
          <w:sz w:val="19"/>
        </w:rPr>
        <w:t>//舵角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shipRateOfTurn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 </w:t>
      </w:r>
      <w:r>
        <w:rPr>
          <w:rFonts w:hint="eastAsia" w:ascii="新宋体" w:hAnsi="新宋体" w:eastAsia="新宋体"/>
          <w:color w:val="008000"/>
          <w:sz w:val="19"/>
        </w:rPr>
        <w:t>//转速率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shipDualDist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         </w:t>
      </w:r>
      <w:r>
        <w:rPr>
          <w:rFonts w:hint="eastAsia" w:ascii="新宋体" w:hAnsi="新宋体" w:eastAsia="新宋体"/>
          <w:color w:val="008000"/>
          <w:sz w:val="19"/>
        </w:rPr>
        <w:t>//航程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shipResetDist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       </w:t>
      </w:r>
      <w:r>
        <w:rPr>
          <w:rFonts w:hint="eastAsia" w:ascii="新宋体" w:hAnsi="新宋体" w:eastAsia="新宋体"/>
          <w:color w:val="008000"/>
          <w:sz w:val="19"/>
        </w:rPr>
        <w:t>//重置后的航程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shipUseOrNot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</w:t>
      </w:r>
      <w:r>
        <w:rPr>
          <w:rFonts w:hint="eastAsia" w:ascii="新宋体" w:hAnsi="新宋体" w:eastAsia="新宋体"/>
          <w:color w:val="008000"/>
          <w:sz w:val="19"/>
        </w:rPr>
        <w:t>//船舶是否可用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M_POINT[] shipPoint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M_POINT[5];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ISStartTrackPlay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>//是否开启船舶轨迹显示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[NonSerialized]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shipScanByAis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 xml:space="preserve">//进去AIS区域 -1-无，0-x-进入radar编号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[NonSerialized]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shipScanByRadar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//进入雷达区域 -1-无 0-x-进入ais编号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[NonSerialized]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CShipTrack shipTrack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>//船舶轨迹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[NonSerialized]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CShipShowBasicShape shipBasicShape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//船舶显示区域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[NonSerialized]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CShipMotion shipMotion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//船舶模型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[NonSerialized]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rPr>
          <w:rFonts w:hint="eastAsia"/>
          <w:sz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shipShowTrackOrNot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//显示或隐藏航迹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1.2.1 船舶添加与显示</w:t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添加船舶时需要填写的船舶信息如下：</w:t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jc w:val="center"/>
      </w:pPr>
      <w:r>
        <w:drawing>
          <wp:inline distT="0" distB="0" distL="114300" distR="114300">
            <wp:extent cx="3569970" cy="231140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lang w:eastAsia="zh-CN"/>
        </w:rPr>
        <w:t>填写完船舶的信息之后，初始化船舶对象，当在海图上点击鼠标左键时，根据获取到的数据屏幕坐标，使用函数</w:t>
      </w:r>
      <w:r>
        <w:rPr>
          <w:rFonts w:hint="eastAsia" w:ascii="新宋体" w:hAnsi="新宋体" w:eastAsia="新宋体"/>
          <w:color w:val="000000"/>
          <w:sz w:val="19"/>
        </w:rPr>
        <w:t xml:space="preserve">GetGeoPoFromScrnPo(mMouseScrnPo.x, mMouseScrnPo.y,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mMouseGeoPo.x,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mMouseGeoPo.y);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获取地理坐标信息，确定船舶的地理位置。在显示船舶的时候，先根据船舶的宽高信息，计算船舶的像素大小，船舶的中心点坐标和前后左右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5个边缘点的坐标，绘制出船舶的轮廓信息。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1.2.3 船舶修改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当点击船舶修改时，将当前船舶数据回传到船舶添加窗口界面，并动态赋值，修改时，只需要根据需要修改上述船舶添加窗口的内容，并修改船舶对象信息即可完成船舶的修改工作。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1.2.4 船舶运动模型的加载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船舶的运动需要依靠船舶运动模型，根据不同类型的船和运行速度，不断计算出船的行驶距离，并更新船的实时位置，即可完成船舶的运动。本系统中每条船绑定一个船舶模型。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1.2.5 船舶轨迹回放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在船舶运动时，实时的保存船舶的运动节点到轨迹列表中，当需要轨迹回放时，循环遍历该轨迹列表，并根据列表数据实时更新船舶的位置，即可完成轨迹回放。</w:t>
      </w:r>
    </w:p>
    <w:p>
      <w:pPr>
        <w:pStyle w:val="3"/>
        <w:snapToGrid w:val="0"/>
        <w:spacing w:before="120" w:after="120" w:line="324" w:lineRule="auto"/>
        <w:rPr>
          <w:rFonts w:hint="eastAsia" w:ascii="黑体" w:eastAsia="黑体"/>
          <w:sz w:val="30"/>
          <w:szCs w:val="30"/>
          <w:lang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1</w:t>
      </w:r>
      <w:r>
        <w:rPr>
          <w:rFonts w:hint="eastAsia" w:ascii="黑体"/>
          <w:sz w:val="30"/>
          <w:szCs w:val="30"/>
        </w:rPr>
        <w:t>.</w:t>
      </w:r>
      <w:r>
        <w:rPr>
          <w:rFonts w:hint="eastAsia" w:ascii="黑体"/>
          <w:sz w:val="30"/>
          <w:szCs w:val="30"/>
          <w:lang w:val="en-US" w:eastAsia="zh-CN"/>
        </w:rPr>
        <w:t>3</w:t>
      </w:r>
      <w:r>
        <w:rPr>
          <w:rFonts w:hint="eastAsia" w:ascii="黑体"/>
          <w:sz w:val="30"/>
          <w:szCs w:val="30"/>
        </w:rPr>
        <w:t xml:space="preserve"> </w:t>
      </w:r>
      <w:r>
        <w:rPr>
          <w:rFonts w:hint="eastAsia" w:ascii="黑体"/>
          <w:sz w:val="30"/>
          <w:szCs w:val="30"/>
          <w:lang w:eastAsia="zh-CN"/>
        </w:rPr>
        <w:t>雷达管理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本系统中雷达管理主要有以下几部分功能，</w:t>
      </w:r>
      <w:r>
        <w:rPr>
          <w:rFonts w:hint="eastAsia"/>
          <w:sz w:val="24"/>
          <w:lang w:val="en-US" w:eastAsia="zh-CN"/>
        </w:rPr>
        <w:t>雷达添加，雷达修改，雷达与电子海图的叠加</w:t>
      </w:r>
      <w:r>
        <w:rPr>
          <w:rFonts w:hint="eastAsia"/>
          <w:sz w:val="24"/>
        </w:rPr>
        <w:t>。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雷达的类结构如下：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//雷达ID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radarMapID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</w:rPr>
        <w:t>//雷达在海图中的ID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String radarName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</w:t>
      </w:r>
      <w:r>
        <w:rPr>
          <w:rFonts w:hint="eastAsia" w:ascii="新宋体" w:hAnsi="新宋体" w:eastAsia="新宋体"/>
          <w:color w:val="008000"/>
          <w:sz w:val="19"/>
        </w:rPr>
        <w:t>//雷达名称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radarScanRadius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</w:t>
      </w:r>
      <w:r>
        <w:rPr>
          <w:rFonts w:hint="eastAsia" w:ascii="新宋体" w:hAnsi="新宋体" w:eastAsia="新宋体"/>
          <w:color w:val="008000"/>
          <w:sz w:val="19"/>
        </w:rPr>
        <w:t>//雷达扫描半径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radarPixelRadius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</w:t>
      </w:r>
      <w:r>
        <w:rPr>
          <w:rFonts w:hint="eastAsia" w:ascii="新宋体" w:hAnsi="新宋体" w:eastAsia="新宋体"/>
          <w:color w:val="008000"/>
          <w:sz w:val="19"/>
        </w:rPr>
        <w:t>//雷达基站像素半径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radarHeight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</w:t>
      </w:r>
      <w:r>
        <w:rPr>
          <w:rFonts w:hint="eastAsia" w:ascii="新宋体" w:hAnsi="新宋体" w:eastAsia="新宋体"/>
          <w:color w:val="008000"/>
          <w:sz w:val="19"/>
        </w:rPr>
        <w:t>//雷达高度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radarAngle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</w:t>
      </w:r>
      <w:r>
        <w:rPr>
          <w:rFonts w:hint="eastAsia" w:ascii="新宋体" w:hAnsi="新宋体" w:eastAsia="新宋体"/>
          <w:color w:val="008000"/>
          <w:sz w:val="19"/>
        </w:rPr>
        <w:t>//雷达安装角度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radarGeoPosX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 </w:t>
      </w:r>
      <w:r>
        <w:rPr>
          <w:rFonts w:hint="eastAsia" w:ascii="新宋体" w:hAnsi="新宋体" w:eastAsia="新宋体"/>
          <w:color w:val="008000"/>
          <w:sz w:val="19"/>
        </w:rPr>
        <w:t>//雷达经纬度坐标X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radarGeoPosY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 </w:t>
      </w:r>
      <w:r>
        <w:rPr>
          <w:rFonts w:hint="eastAsia" w:ascii="新宋体" w:hAnsi="新宋体" w:eastAsia="新宋体"/>
          <w:color w:val="008000"/>
          <w:sz w:val="19"/>
        </w:rPr>
        <w:t>//雷达经纬度坐标Y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radarMapPos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//雷达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海图索引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radarUseOrNot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</w:t>
      </w:r>
      <w:r>
        <w:rPr>
          <w:rFonts w:hint="eastAsia" w:ascii="新宋体" w:hAnsi="新宋体" w:eastAsia="新宋体"/>
          <w:color w:val="008000"/>
          <w:sz w:val="19"/>
        </w:rPr>
        <w:t>//雷达是否启用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radarShowType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</w:t>
      </w:r>
      <w:r>
        <w:rPr>
          <w:rFonts w:hint="eastAsia" w:ascii="新宋体" w:hAnsi="新宋体" w:eastAsia="新宋体"/>
          <w:color w:val="008000"/>
          <w:sz w:val="19"/>
        </w:rPr>
        <w:t>//0 完全显示 1余晖显示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rPr>
          <w:rFonts w:hint="eastAsia"/>
          <w:sz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radarShowColor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 </w:t>
      </w:r>
      <w:r>
        <w:rPr>
          <w:rFonts w:hint="eastAsia" w:ascii="新宋体" w:hAnsi="新宋体" w:eastAsia="新宋体"/>
          <w:color w:val="008000"/>
          <w:sz w:val="19"/>
        </w:rPr>
        <w:t>//雷达显示颜色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1.3.1 雷达添加与显示</w:t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添加雷达时需要填写的雷达信息如下：</w:t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jc w:val="center"/>
      </w:pPr>
      <w:r>
        <w:drawing>
          <wp:inline distT="0" distB="0" distL="114300" distR="114300">
            <wp:extent cx="4074795" cy="2286000"/>
            <wp:effectExtent l="0" t="0" r="190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after="0" w:line="300" w:lineRule="auto"/>
        <w:ind w:firstLine="420" w:firstLineChars="20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eastAsia="zh-CN"/>
        </w:rPr>
        <w:t>填写完雷达的信息之后，初始化雷达对象，当在海图上点击鼠标左键时，根据获取到的数据屏幕坐标，使用函数</w:t>
      </w:r>
      <w:r>
        <w:rPr>
          <w:rFonts w:hint="eastAsia" w:ascii="新宋体" w:hAnsi="新宋体" w:eastAsia="新宋体"/>
          <w:color w:val="000000"/>
          <w:sz w:val="19"/>
        </w:rPr>
        <w:t xml:space="preserve">GetGeoPoFromScrnPo(mMouseScrnPo.x, mMouseScrnPo.y,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mMouseGeoPo.x,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mMouseGeoPo.y);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获取地理坐标信息，确定雷达的地理位置。具体代码如下：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//添加雷达物标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this.ymEncCtrl.tmAppendObjectInLayer(0, (int)M_GEO_TYPE.TYPE_POINT);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currentMouseRadar.radarMapPos = this.ymEncCtrl.tmGetLayerObjectCount(0) - 1;</w:t>
      </w:r>
    </w:p>
    <w:p>
      <w:pPr>
        <w:pStyle w:val="4"/>
        <w:adjustRightInd w:val="0"/>
        <w:snapToGrid w:val="0"/>
        <w:spacing w:after="0" w:line="300" w:lineRule="auto"/>
        <w:ind w:left="378" w:leftChars="180" w:firstLine="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this.ymEncCtrl.tmSetPointObjectCoor(0, currentMouseRadar.radarMapPos, currentMouseRadar.radarGeoPosX, currentMouseRadar.radarGeoPosY);</w:t>
      </w:r>
    </w:p>
    <w:p>
      <w:pPr>
        <w:pStyle w:val="4"/>
        <w:adjustRightInd w:val="0"/>
        <w:snapToGrid w:val="0"/>
        <w:spacing w:after="0" w:line="300" w:lineRule="auto"/>
        <w:ind w:left="378" w:leftChars="180" w:firstLine="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//设置雷达显示的标识</w:t>
      </w:r>
    </w:p>
    <w:p>
      <w:pPr>
        <w:pStyle w:val="4"/>
        <w:adjustRightInd w:val="0"/>
        <w:snapToGrid w:val="0"/>
        <w:spacing w:after="0" w:line="300" w:lineRule="auto"/>
        <w:ind w:left="378" w:leftChars="180" w:firstLine="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.ymEncCtrl.tmSetPointObjectStyleRefLib(0, currentMouseRadar.radarMapPos, 57,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 0, 1, 0);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//设置ym雷达对象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currentMouseRadar.radarMapID = this.ymEncCtrl.AddOneRadar();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//通过雷达ID获取雷达POS</w:t>
      </w:r>
    </w:p>
    <w:p>
      <w:pPr>
        <w:pStyle w:val="4"/>
        <w:adjustRightInd w:val="0"/>
        <w:snapToGrid w:val="0"/>
        <w:spacing w:after="0" w:line="300" w:lineRule="auto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 radarMapPos = ymEncCtrl.GetRadarPosById(currentMouseRadar.radarMapID);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1.3.3 雷达修改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当点击雷达修改时，将当前船舶数据回传到雷达添加窗口界面，并动态赋值，修改时，只需要根据需要修改上述雷达添加窗口的内容，并修改雷达对象信息即可完成雷达的修改工作。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1.3.4 雷达与海图的叠加显示</w:t>
      </w:r>
    </w:p>
    <w:p>
      <w:pPr>
        <w:pStyle w:val="4"/>
        <w:adjustRightInd w:val="0"/>
        <w:snapToGrid w:val="0"/>
        <w:spacing w:after="0"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祥见接口文档，核心代码如下：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2048;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&lt; 512)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512;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//第一象限 x+ y-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tmp_degree = 90.0 - ((i + 1) * degree);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tmp_r = package.radarPixelWidth * (j 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x = tmp_r * Math.Cos(tmp_degree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//求出来的x长度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y = tmp_r * Math.Sin(tmp_degree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//求出来的y长度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 = radarBitmap.GetPixel(Convert.ToInt32(package.radarCenterX + x), Convert.ToInt32(package.radarCenterY - 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&gt; 37)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(color.R &gt; color.G)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1;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//绿色无遮挡1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&gt;= 512 &amp;&amp; i &lt; 1024)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512;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//第二象限 x+ y+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tmp_degree = ((i + 1) * degree) - 90.0;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tmp_r = package.radarPixelWidth * (j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x = tmp_r * Math.Cos(tmp_degree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//求出来的x长度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y = tmp_r * Math.Sin(tmp_degree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//求出来的y长度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 = radarBitmap.GetPixel(Convert.ToInt32(package.radarCenterX + x), Convert.ToInt32(package.radarCenterY + 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(j &gt; 37)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(color.R &gt; color.G)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1;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//绿色无遮挡1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&gt;= 1024 &amp;&amp; i &lt; 1536)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512;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//第三象限 x- y+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tmp_degree = ((i + 1) * degree) - 180.0;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tmp_r = package.radarPixelWidth * (j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x = tmp_r * Math.Cos(tmp_degree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//求出来的x长度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y = tmp_r * Math.Sin(tmp_degree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//求出来的y长度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 = radarBitmap.GetPixel(Convert.ToInt32(package.radarCenterX - x), Convert.ToInt32(package.radarCenterY + 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&gt; 37)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(color.R &gt; color.G)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1;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//绿色无遮挡1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&gt;= 1536)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512;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//第四象限 x- y-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tmp_degree = ((i + 1) * degree) - 270.0;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tmp_r = package.radarPixelWidth * (j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x = tmp_r * Math.Cos(tmp_degree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//求出来的x长度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y = tmp_r * Math.Sin(tmp_degree * Math.PI / 180);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//求出来的y长度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 = radarBitmap.GetPixel(Convert.ToInt32(package.radarCenterX - x), Convert.ToInt32(package.radarCenterY - 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&gt; 37)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(color.R &gt; color.G)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1;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//绿色无遮挡1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dataArray[j]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//红色遮挡0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data = InteropEncDotNet.GetStringFromIntArray(dataArray, 512);</w:t>
            </w:r>
          </w:p>
          <w:p>
            <w:pPr>
              <w:pStyle w:val="4"/>
              <w:adjustRightInd w:val="0"/>
              <w:snapToGrid w:val="0"/>
              <w:spacing w:after="0" w:line="300" w:lineRule="auto"/>
              <w:ind w:left="0" w:leftChars="0" w:firstLine="0" w:firstLineChars="0"/>
              <w:jc w:val="left"/>
              <w:rPr>
                <w:rFonts w:hint="eastAsia" w:eastAsia="新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.ymEncCtrl.SetRadarLineDataByPos(radarYMPos, i,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data, 512);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//设置雷达数据</w:t>
            </w:r>
          </w:p>
        </w:tc>
      </w:tr>
    </w:tbl>
    <w:p>
      <w:pPr>
        <w:pStyle w:val="3"/>
        <w:snapToGrid w:val="0"/>
        <w:spacing w:before="120" w:after="120" w:line="324" w:lineRule="auto"/>
        <w:rPr>
          <w:rFonts w:hint="eastAsia" w:ascii="黑体"/>
          <w:sz w:val="30"/>
          <w:szCs w:val="30"/>
          <w:lang w:val="en-US"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1.4 AIS管理同雷达管理，不再赘述。</w:t>
      </w:r>
    </w:p>
    <w:p>
      <w:pPr>
        <w:pStyle w:val="3"/>
        <w:snapToGrid w:val="0"/>
        <w:spacing w:before="120" w:after="120" w:line="324" w:lineRule="auto"/>
        <w:rPr>
          <w:rFonts w:hint="eastAsia" w:ascii="黑体"/>
          <w:sz w:val="30"/>
          <w:szCs w:val="30"/>
          <w:lang w:val="en-US"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1.5海图操作相关功能，见意码接口文档。</w:t>
      </w:r>
    </w:p>
    <w:p>
      <w:pPr>
        <w:pStyle w:val="3"/>
        <w:snapToGrid w:val="0"/>
        <w:spacing w:before="120" w:after="120" w:line="324" w:lineRule="auto"/>
        <w:rPr>
          <w:rFonts w:hint="eastAsia" w:ascii="黑体"/>
          <w:sz w:val="30"/>
          <w:szCs w:val="30"/>
          <w:lang w:val="en-US"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1.6 数据传输相关功能</w:t>
      </w:r>
    </w:p>
    <w:p>
      <w:pPr>
        <w:rPr>
          <w:rFonts w:hint="eastAsia" w:ascii="黑体"/>
          <w:sz w:val="30"/>
          <w:szCs w:val="30"/>
          <w:lang w:val="en-US"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系统所有的数据交互采用UDP协议网络通信的形式传输，具体的传输以雷达数据为例：</w:t>
      </w:r>
    </w:p>
    <w:p>
      <w:pPr>
        <w:numPr>
          <w:ilvl w:val="0"/>
          <w:numId w:val="1"/>
        </w:numPr>
        <w:ind w:left="420" w:leftChars="0"/>
        <w:rPr>
          <w:rFonts w:hint="eastAsia" w:ascii="黑体"/>
          <w:sz w:val="30"/>
          <w:szCs w:val="30"/>
          <w:lang w:val="en-US"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封装雷达对象，网络通信对象初始化</w:t>
      </w:r>
    </w:p>
    <w:p>
      <w:pPr>
        <w:numPr>
          <w:ilvl w:val="0"/>
          <w:numId w:val="1"/>
        </w:numPr>
        <w:ind w:left="420" w:leftChars="0"/>
        <w:rPr>
          <w:rFonts w:hint="eastAsia" w:ascii="黑体"/>
          <w:sz w:val="30"/>
          <w:szCs w:val="30"/>
          <w:lang w:val="en-US"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雷达对象序列化</w:t>
      </w:r>
    </w:p>
    <w:p>
      <w:pPr>
        <w:numPr>
          <w:ilvl w:val="0"/>
          <w:numId w:val="1"/>
        </w:numPr>
        <w:ind w:left="420" w:leftChars="0"/>
        <w:rPr>
          <w:rFonts w:hint="eastAsia" w:ascii="黑体"/>
          <w:sz w:val="30"/>
          <w:szCs w:val="30"/>
          <w:lang w:val="en-US" w:eastAsia="zh-CN"/>
        </w:rPr>
      </w:pPr>
      <w:r>
        <w:rPr>
          <w:rFonts w:hint="eastAsia" w:ascii="黑体"/>
          <w:sz w:val="30"/>
          <w:szCs w:val="30"/>
          <w:lang w:val="en-US" w:eastAsia="zh-CN"/>
        </w:rPr>
        <w:t>雷达对象网络发送</w:t>
      </w:r>
    </w:p>
    <w:p>
      <w:pPr>
        <w:pStyle w:val="4"/>
        <w:adjustRightInd w:val="0"/>
        <w:snapToGrid w:val="0"/>
        <w:spacing w:after="0" w:line="300" w:lineRule="auto"/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接收端只需要根据同样雷达数据结构接收网络序列化雷达对象即可，然后进行雷达对象的反序列化，保存为本地雷达对象即完成雷达数据的传输。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9D6F8"/>
    <w:multiLevelType w:val="singleLevel"/>
    <w:tmpl w:val="C439D6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1B59"/>
    <w:rsid w:val="0239454D"/>
    <w:rsid w:val="04D23720"/>
    <w:rsid w:val="05973FC4"/>
    <w:rsid w:val="05E970C0"/>
    <w:rsid w:val="05F82385"/>
    <w:rsid w:val="06D46425"/>
    <w:rsid w:val="09FB0A95"/>
    <w:rsid w:val="0A556E76"/>
    <w:rsid w:val="0C6606A7"/>
    <w:rsid w:val="0C743706"/>
    <w:rsid w:val="115176EE"/>
    <w:rsid w:val="12E96FCA"/>
    <w:rsid w:val="13323678"/>
    <w:rsid w:val="15550243"/>
    <w:rsid w:val="16845517"/>
    <w:rsid w:val="17852AD9"/>
    <w:rsid w:val="18884D2B"/>
    <w:rsid w:val="1B32211C"/>
    <w:rsid w:val="1D6B2F07"/>
    <w:rsid w:val="1D81055B"/>
    <w:rsid w:val="20065746"/>
    <w:rsid w:val="20372A57"/>
    <w:rsid w:val="20373289"/>
    <w:rsid w:val="20FD1834"/>
    <w:rsid w:val="21FA59EB"/>
    <w:rsid w:val="228738CE"/>
    <w:rsid w:val="24843381"/>
    <w:rsid w:val="24DB1932"/>
    <w:rsid w:val="259729E7"/>
    <w:rsid w:val="259B2717"/>
    <w:rsid w:val="267E012F"/>
    <w:rsid w:val="272D2983"/>
    <w:rsid w:val="275B37BC"/>
    <w:rsid w:val="28C9189A"/>
    <w:rsid w:val="29CA7E79"/>
    <w:rsid w:val="2AA66ACE"/>
    <w:rsid w:val="2BB71BDE"/>
    <w:rsid w:val="2C115C70"/>
    <w:rsid w:val="2E686CE8"/>
    <w:rsid w:val="2E7A7A00"/>
    <w:rsid w:val="30942B9A"/>
    <w:rsid w:val="30987CB5"/>
    <w:rsid w:val="311A6D22"/>
    <w:rsid w:val="32BC0C9D"/>
    <w:rsid w:val="35C5221A"/>
    <w:rsid w:val="3722336C"/>
    <w:rsid w:val="3912381C"/>
    <w:rsid w:val="3AAC63C9"/>
    <w:rsid w:val="3C424FCE"/>
    <w:rsid w:val="3CDE0EA6"/>
    <w:rsid w:val="3D301108"/>
    <w:rsid w:val="3E60425D"/>
    <w:rsid w:val="40355431"/>
    <w:rsid w:val="40446AB1"/>
    <w:rsid w:val="40C97BEF"/>
    <w:rsid w:val="425C79CF"/>
    <w:rsid w:val="429A0E47"/>
    <w:rsid w:val="49244371"/>
    <w:rsid w:val="49C40297"/>
    <w:rsid w:val="4A4F192A"/>
    <w:rsid w:val="4CF97B8E"/>
    <w:rsid w:val="4D372D81"/>
    <w:rsid w:val="4F250322"/>
    <w:rsid w:val="4FC57441"/>
    <w:rsid w:val="50B4023A"/>
    <w:rsid w:val="511152BD"/>
    <w:rsid w:val="514F196F"/>
    <w:rsid w:val="52266F27"/>
    <w:rsid w:val="55325663"/>
    <w:rsid w:val="55E9304F"/>
    <w:rsid w:val="563167E8"/>
    <w:rsid w:val="5CB7694C"/>
    <w:rsid w:val="5E8B5CD4"/>
    <w:rsid w:val="60F45239"/>
    <w:rsid w:val="62B92496"/>
    <w:rsid w:val="62D00CDF"/>
    <w:rsid w:val="65A7051B"/>
    <w:rsid w:val="66E241FD"/>
    <w:rsid w:val="67AA5499"/>
    <w:rsid w:val="6A473895"/>
    <w:rsid w:val="6B7D4988"/>
    <w:rsid w:val="6DCD0905"/>
    <w:rsid w:val="6E9F11B1"/>
    <w:rsid w:val="6EA372D6"/>
    <w:rsid w:val="714B2983"/>
    <w:rsid w:val="71D21661"/>
    <w:rsid w:val="71FB6173"/>
    <w:rsid w:val="72237D4F"/>
    <w:rsid w:val="76A00468"/>
    <w:rsid w:val="76BE2F88"/>
    <w:rsid w:val="78D87D76"/>
    <w:rsid w:val="78E20D3B"/>
    <w:rsid w:val="7A775996"/>
    <w:rsid w:val="7A953162"/>
    <w:rsid w:val="7CB24919"/>
    <w:rsid w:val="7CBC77B4"/>
    <w:rsid w:val="7EE6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0x24</cp:lastModifiedBy>
  <dcterms:modified xsi:type="dcterms:W3CDTF">2019-01-19T05:36:40Z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